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100"/>
        </w:tabs>
        <w:autoSpaceDE w:val="0"/>
        <w:autoSpaceDN w:val="0"/>
        <w:spacing w:line="360" w:lineRule="auto"/>
        <w:jc w:val="center"/>
        <w:textAlignment w:val="bottom"/>
        <w:rPr>
          <w:b/>
          <w:color w:val="000000"/>
          <w:sz w:val="44"/>
        </w:rPr>
      </w:pPr>
    </w:p>
    <w:p>
      <w:pPr>
        <w:tabs>
          <w:tab w:val="left" w:pos="8100"/>
        </w:tabs>
        <w:autoSpaceDE w:val="0"/>
        <w:autoSpaceDN w:val="0"/>
        <w:spacing w:line="360" w:lineRule="auto"/>
        <w:jc w:val="center"/>
        <w:textAlignment w:val="bottom"/>
        <w:rPr>
          <w:b/>
          <w:color w:val="000000"/>
          <w:sz w:val="44"/>
        </w:rPr>
      </w:pPr>
    </w:p>
    <w:p>
      <w:pPr>
        <w:tabs>
          <w:tab w:val="left" w:pos="8100"/>
        </w:tabs>
        <w:autoSpaceDE w:val="0"/>
        <w:autoSpaceDN w:val="0"/>
        <w:spacing w:line="360" w:lineRule="auto"/>
        <w:jc w:val="center"/>
        <w:textAlignment w:val="bottom"/>
        <w:rPr>
          <w:b/>
          <w:color w:val="000000"/>
          <w:sz w:val="44"/>
        </w:rPr>
      </w:pPr>
    </w:p>
    <w:p>
      <w:pPr>
        <w:tabs>
          <w:tab w:val="left" w:pos="8100"/>
        </w:tabs>
        <w:autoSpaceDE w:val="0"/>
        <w:autoSpaceDN w:val="0"/>
        <w:spacing w:line="360" w:lineRule="auto"/>
        <w:jc w:val="center"/>
        <w:textAlignment w:val="bottom"/>
        <w:rPr>
          <w:b/>
          <w:color w:val="000000"/>
          <w:sz w:val="44"/>
        </w:rPr>
      </w:pPr>
    </w:p>
    <w:p>
      <w:pPr>
        <w:spacing w:line="360" w:lineRule="auto"/>
        <w:jc w:val="center"/>
        <w:rPr>
          <w:b/>
          <w:color w:val="000000"/>
          <w:sz w:val="52"/>
          <w:szCs w:val="52"/>
        </w:rPr>
      </w:pPr>
      <w:r>
        <w:rPr>
          <w:b/>
          <w:color w:val="000000"/>
          <w:sz w:val="52"/>
          <w:szCs w:val="52"/>
        </w:rPr>
        <w:t>房 地 产 估 价 报 告</w:t>
      </w:r>
    </w:p>
    <w:p>
      <w:pPr>
        <w:autoSpaceDE w:val="0"/>
        <w:autoSpaceDN w:val="0"/>
        <w:spacing w:line="360" w:lineRule="auto"/>
        <w:jc w:val="center"/>
        <w:textAlignment w:val="bottom"/>
        <w:rPr>
          <w:rFonts w:eastAsia="楷体"/>
          <w:sz w:val="32"/>
        </w:rPr>
      </w:pPr>
    </w:p>
    <w:p>
      <w:pPr>
        <w:autoSpaceDE w:val="0"/>
        <w:autoSpaceDN w:val="0"/>
        <w:spacing w:line="360" w:lineRule="auto"/>
        <w:jc w:val="center"/>
        <w:textAlignment w:val="bottom"/>
        <w:rPr>
          <w:rFonts w:eastAsia="仿宋_GB2312"/>
          <w:color w:val="000000"/>
          <w:sz w:val="44"/>
        </w:rPr>
      </w:pPr>
    </w:p>
    <w:p>
      <w:pPr>
        <w:autoSpaceDE w:val="0"/>
        <w:autoSpaceDN w:val="0"/>
        <w:spacing w:line="360" w:lineRule="auto"/>
        <w:jc w:val="center"/>
        <w:textAlignment w:val="bottom"/>
        <w:rPr>
          <w:rFonts w:eastAsia="仿宋_GB2312"/>
          <w:color w:val="000000"/>
          <w:sz w:val="44"/>
        </w:rPr>
      </w:pPr>
    </w:p>
    <w:p>
      <w:pPr>
        <w:autoSpaceDE w:val="0"/>
        <w:autoSpaceDN w:val="0"/>
        <w:spacing w:line="360" w:lineRule="auto"/>
        <w:jc w:val="center"/>
        <w:textAlignment w:val="bottom"/>
        <w:rPr>
          <w:rFonts w:eastAsia="仿宋_GB2312"/>
          <w:color w:val="000000"/>
          <w:sz w:val="44"/>
        </w:rPr>
      </w:pPr>
    </w:p>
    <w:p>
      <w:pPr>
        <w:autoSpaceDE w:val="0"/>
        <w:autoSpaceDN w:val="0"/>
        <w:spacing w:line="360" w:lineRule="auto"/>
        <w:ind w:left="3399" w:leftChars="567" w:right="452" w:hanging="2265" w:hangingChars="708"/>
        <w:textAlignment w:val="bottom"/>
        <w:rPr>
          <w:rFonts w:eastAsia="仿宋_GB2312"/>
          <w:color w:val="000000"/>
          <w:sz w:val="32"/>
        </w:rPr>
      </w:pPr>
      <w:r>
        <w:rPr>
          <w:rFonts w:eastAsia="仿宋_GB2312"/>
          <w:color w:val="000000"/>
          <w:sz w:val="32"/>
        </w:rPr>
        <w:t>估价项目名称：青岛市城阳区</w:t>
      </w:r>
      <w:r>
        <w:rPr>
          <w:rFonts w:hint="eastAsia" w:eastAsia="仿宋_GB2312"/>
          <w:color w:val="000000"/>
          <w:sz w:val="32"/>
          <w:lang w:eastAsia="zh-CN"/>
        </w:rPr>
        <w:t>双元路18号160号楼2单元701户</w:t>
      </w:r>
      <w:r>
        <w:rPr>
          <w:rFonts w:eastAsia="仿宋_GB2312"/>
          <w:color w:val="000000"/>
          <w:sz w:val="32"/>
        </w:rPr>
        <w:t xml:space="preserve">房地产价值评估 </w:t>
      </w:r>
    </w:p>
    <w:p>
      <w:pPr>
        <w:autoSpaceDE w:val="0"/>
        <w:autoSpaceDN w:val="0"/>
        <w:spacing w:line="360" w:lineRule="auto"/>
        <w:ind w:left="3257" w:leftChars="539" w:right="110" w:hanging="2179" w:hangingChars="681"/>
        <w:textAlignment w:val="bottom"/>
        <w:rPr>
          <w:rFonts w:eastAsia="仿宋_GB2312"/>
          <w:sz w:val="32"/>
        </w:rPr>
      </w:pPr>
      <w:r>
        <w:rPr>
          <w:rFonts w:eastAsia="仿宋_GB2312"/>
          <w:sz w:val="32"/>
        </w:rPr>
        <w:t>估价委托人：青岛市城阳区人民法院</w:t>
      </w:r>
    </w:p>
    <w:p>
      <w:pPr>
        <w:autoSpaceDE w:val="0"/>
        <w:autoSpaceDN w:val="0"/>
        <w:spacing w:line="360" w:lineRule="auto"/>
        <w:ind w:left="1438" w:leftChars="540" w:hanging="358" w:hangingChars="112"/>
        <w:textAlignment w:val="bottom"/>
        <w:rPr>
          <w:rFonts w:eastAsia="仿宋_GB2312"/>
          <w:sz w:val="32"/>
        </w:rPr>
      </w:pPr>
      <w:r>
        <w:rPr>
          <w:rFonts w:eastAsia="仿宋_GB2312"/>
          <w:sz w:val="32"/>
        </w:rPr>
        <w:t>房地产估价机构：青岛衡信土地房地产评估咨询有限公司</w:t>
      </w:r>
    </w:p>
    <w:p>
      <w:pPr>
        <w:autoSpaceDE w:val="0"/>
        <w:autoSpaceDN w:val="0"/>
        <w:spacing w:line="360" w:lineRule="auto"/>
        <w:ind w:left="1438" w:leftChars="540" w:hanging="358" w:hangingChars="112"/>
        <w:textAlignment w:val="bottom"/>
        <w:rPr>
          <w:rFonts w:eastAsia="仿宋_GB2312"/>
          <w:sz w:val="32"/>
          <w:szCs w:val="32"/>
        </w:rPr>
      </w:pPr>
      <w:r>
        <w:rPr>
          <w:rFonts w:eastAsia="仿宋_GB2312"/>
          <w:sz w:val="32"/>
        </w:rPr>
        <w:t>注册房地产估价师：</w:t>
      </w:r>
      <w:r>
        <w:rPr>
          <w:rFonts w:eastAsia="仿宋_GB2312"/>
          <w:sz w:val="32"/>
          <w:szCs w:val="32"/>
        </w:rPr>
        <w:t>白水彬（注册号：3720160039）</w:t>
      </w:r>
    </w:p>
    <w:p>
      <w:pPr>
        <w:autoSpaceDE w:val="0"/>
        <w:autoSpaceDN w:val="0"/>
        <w:spacing w:line="360" w:lineRule="auto"/>
        <w:ind w:left="1432" w:leftChars="716" w:firstLine="1760" w:firstLineChars="550"/>
        <w:textAlignment w:val="bottom"/>
        <w:rPr>
          <w:rFonts w:eastAsia="仿宋_GB2312"/>
          <w:sz w:val="32"/>
          <w:szCs w:val="32"/>
        </w:rPr>
      </w:pPr>
      <w:r>
        <w:rPr>
          <w:rFonts w:eastAsia="仿宋_GB2312"/>
          <w:sz w:val="32"/>
          <w:szCs w:val="32"/>
        </w:rPr>
        <w:t xml:space="preserve">     王西西（注册号：3720170044）</w:t>
      </w:r>
    </w:p>
    <w:p>
      <w:pPr>
        <w:autoSpaceDE w:val="0"/>
        <w:autoSpaceDN w:val="0"/>
        <w:spacing w:line="360" w:lineRule="auto"/>
        <w:ind w:left="1438" w:leftChars="540" w:hanging="358" w:hangingChars="112"/>
        <w:textAlignment w:val="bottom"/>
        <w:rPr>
          <w:rFonts w:eastAsia="仿宋_GB2312"/>
          <w:sz w:val="32"/>
        </w:rPr>
      </w:pPr>
      <w:r>
        <w:rPr>
          <w:rFonts w:eastAsia="仿宋_GB2312"/>
          <w:sz w:val="32"/>
        </w:rPr>
        <w:t>估价报告出具日期：2018年</w:t>
      </w:r>
      <w:r>
        <w:rPr>
          <w:rFonts w:hint="eastAsia" w:eastAsia="仿宋_GB2312"/>
          <w:sz w:val="32"/>
          <w:lang w:val="en-US" w:eastAsia="zh-CN"/>
        </w:rPr>
        <w:t>7</w:t>
      </w:r>
      <w:r>
        <w:rPr>
          <w:rFonts w:eastAsia="仿宋_GB2312"/>
          <w:sz w:val="32"/>
        </w:rPr>
        <w:t>月</w:t>
      </w:r>
      <w:r>
        <w:rPr>
          <w:rFonts w:hint="eastAsia" w:eastAsia="仿宋_GB2312"/>
          <w:sz w:val="32"/>
          <w:lang w:val="en-US" w:eastAsia="zh-CN"/>
        </w:rPr>
        <w:t>4</w:t>
      </w:r>
      <w:r>
        <w:rPr>
          <w:rFonts w:eastAsia="仿宋_GB2312"/>
          <w:sz w:val="32"/>
        </w:rPr>
        <w:t>日</w:t>
      </w:r>
    </w:p>
    <w:p>
      <w:pPr>
        <w:autoSpaceDE w:val="0"/>
        <w:autoSpaceDN w:val="0"/>
        <w:spacing w:line="360" w:lineRule="auto"/>
        <w:ind w:left="1438" w:leftChars="540" w:hanging="358" w:hangingChars="112"/>
        <w:textAlignment w:val="bottom"/>
        <w:rPr>
          <w:rFonts w:eastAsia="仿宋_GB2312"/>
          <w:sz w:val="32"/>
        </w:rPr>
      </w:pPr>
      <w:r>
        <w:rPr>
          <w:rFonts w:eastAsia="仿宋_GB2312"/>
          <w:sz w:val="32"/>
        </w:rPr>
        <w:t>估价报告编号：青衡房估</w:t>
      </w:r>
      <w:r>
        <w:rPr>
          <w:rFonts w:eastAsia="仿宋_GB2312"/>
          <w:sz w:val="32"/>
          <w:highlight w:val="none"/>
        </w:rPr>
        <w:t>字第</w:t>
      </w:r>
      <w:r>
        <w:rPr>
          <w:rFonts w:hint="eastAsia" w:eastAsia="仿宋_GB2312"/>
          <w:sz w:val="32"/>
          <w:highlight w:val="none"/>
          <w:lang w:eastAsia="zh-CN"/>
        </w:rPr>
        <w:t>180703</w:t>
      </w:r>
      <w:r>
        <w:rPr>
          <w:rFonts w:eastAsia="仿宋_GB2312"/>
          <w:sz w:val="32"/>
          <w:highlight w:val="none"/>
        </w:rPr>
        <w:t>号</w:t>
      </w:r>
    </w:p>
    <w:p>
      <w:pPr>
        <w:rPr>
          <w:rFonts w:eastAsia="黑体"/>
          <w:color w:val="000000"/>
          <w:sz w:val="44"/>
        </w:rPr>
      </w:pPr>
    </w:p>
    <w:p>
      <w:pPr>
        <w:rPr>
          <w:rFonts w:eastAsia="黑体"/>
          <w:color w:val="000000"/>
          <w:sz w:val="44"/>
        </w:rPr>
      </w:pPr>
    </w:p>
    <w:p>
      <w:pPr>
        <w:rPr>
          <w:rFonts w:eastAsia="黑体"/>
          <w:color w:val="000000"/>
          <w:sz w:val="44"/>
        </w:rPr>
      </w:pPr>
    </w:p>
    <w:p>
      <w:pPr>
        <w:rPr>
          <w:rFonts w:eastAsia="黑体"/>
          <w:color w:val="000000"/>
          <w:sz w:val="44"/>
        </w:rPr>
      </w:pPr>
    </w:p>
    <w:p>
      <w:pPr>
        <w:rPr>
          <w:rFonts w:eastAsia="黑体"/>
          <w:color w:val="000000"/>
          <w:sz w:val="44"/>
        </w:rPr>
      </w:pPr>
    </w:p>
    <w:p>
      <w:pPr>
        <w:jc w:val="center"/>
        <w:rPr>
          <w:rFonts w:eastAsia="黑体"/>
          <w:bCs/>
          <w:sz w:val="36"/>
          <w:szCs w:val="36"/>
        </w:rPr>
      </w:pPr>
      <w:bookmarkStart w:id="0" w:name="_Toc450679603"/>
      <w:bookmarkStart w:id="1" w:name="_Toc450140728"/>
      <w:bookmarkStart w:id="2" w:name="_Toc450139889"/>
      <w:r>
        <w:rPr>
          <w:sz w:val="36"/>
          <w:szCs w:val="36"/>
        </w:rPr>
        <w:t>致估价委托人函</w:t>
      </w:r>
      <w:bookmarkEnd w:id="0"/>
      <w:bookmarkEnd w:id="1"/>
      <w:bookmarkEnd w:id="2"/>
    </w:p>
    <w:p>
      <w:pPr>
        <w:spacing w:line="360" w:lineRule="auto"/>
        <w:rPr>
          <w:rFonts w:eastAsia="仿宋_GB2312"/>
          <w:color w:val="000000"/>
          <w:sz w:val="28"/>
          <w:szCs w:val="28"/>
        </w:rPr>
      </w:pPr>
    </w:p>
    <w:p>
      <w:pPr>
        <w:autoSpaceDE w:val="0"/>
        <w:autoSpaceDN w:val="0"/>
        <w:spacing w:line="360" w:lineRule="auto"/>
        <w:jc w:val="both"/>
        <w:textAlignment w:val="bottom"/>
        <w:rPr>
          <w:rFonts w:eastAsia="仿宋_GB2312"/>
          <w:sz w:val="28"/>
          <w:szCs w:val="28"/>
        </w:rPr>
      </w:pPr>
      <w:r>
        <w:rPr>
          <w:rFonts w:eastAsia="仿宋_GB2312"/>
          <w:sz w:val="28"/>
          <w:szCs w:val="28"/>
        </w:rPr>
        <w:t>青岛市城阳区人民法院：</w:t>
      </w:r>
    </w:p>
    <w:p>
      <w:pPr>
        <w:autoSpaceDE w:val="0"/>
        <w:autoSpaceDN w:val="0"/>
        <w:spacing w:line="360" w:lineRule="auto"/>
        <w:ind w:right="2" w:firstLine="537" w:firstLineChars="192"/>
        <w:jc w:val="both"/>
        <w:textAlignment w:val="bottom"/>
        <w:rPr>
          <w:rFonts w:eastAsia="仿宋_GB2312"/>
          <w:sz w:val="28"/>
          <w:szCs w:val="28"/>
        </w:rPr>
      </w:pPr>
      <w:r>
        <w:rPr>
          <w:rFonts w:eastAsia="仿宋_GB2312"/>
          <w:sz w:val="28"/>
          <w:szCs w:val="28"/>
        </w:rPr>
        <w:t>受贵院委托，秉着独立、客观、公正、合法的原则，我们对位于青岛市城阳区</w:t>
      </w:r>
      <w:r>
        <w:rPr>
          <w:rFonts w:hint="eastAsia" w:eastAsia="仿宋_GB2312"/>
          <w:sz w:val="28"/>
          <w:szCs w:val="28"/>
          <w:lang w:eastAsia="zh-CN"/>
        </w:rPr>
        <w:t>双元路18号160号楼2单元701户</w:t>
      </w:r>
      <w:r>
        <w:rPr>
          <w:rFonts w:eastAsia="仿宋_GB2312"/>
          <w:sz w:val="28"/>
          <w:szCs w:val="28"/>
        </w:rPr>
        <w:t>房地产价值进行了评估，根据实地查勘情况和收集的有关资料对估价对象价值进行了专业分析、测算。现将评估报告主要内容说明如下：</w:t>
      </w:r>
    </w:p>
    <w:p>
      <w:pPr>
        <w:autoSpaceDE w:val="0"/>
        <w:autoSpaceDN w:val="0"/>
        <w:spacing w:line="360" w:lineRule="auto"/>
        <w:ind w:right="2" w:firstLine="537" w:firstLineChars="192"/>
        <w:jc w:val="both"/>
        <w:textAlignment w:val="bottom"/>
        <w:rPr>
          <w:rFonts w:eastAsia="仿宋_GB2312"/>
          <w:sz w:val="28"/>
          <w:szCs w:val="28"/>
        </w:rPr>
      </w:pPr>
      <w:r>
        <w:rPr>
          <w:rFonts w:eastAsia="仿宋_GB2312"/>
          <w:sz w:val="28"/>
          <w:szCs w:val="28"/>
        </w:rPr>
        <w:t>价值时点：根据实地查勘日期确定为2018年</w:t>
      </w:r>
      <w:r>
        <w:rPr>
          <w:rFonts w:hint="eastAsia" w:eastAsia="仿宋_GB2312"/>
          <w:sz w:val="28"/>
          <w:szCs w:val="28"/>
          <w:lang w:val="en-US" w:eastAsia="zh-CN"/>
        </w:rPr>
        <w:t>6</w:t>
      </w:r>
      <w:r>
        <w:rPr>
          <w:rFonts w:eastAsia="仿宋_GB2312"/>
          <w:sz w:val="28"/>
          <w:szCs w:val="28"/>
        </w:rPr>
        <w:t>月2</w:t>
      </w:r>
      <w:r>
        <w:rPr>
          <w:rFonts w:hint="eastAsia" w:eastAsia="仿宋_GB2312"/>
          <w:sz w:val="28"/>
          <w:szCs w:val="28"/>
        </w:rPr>
        <w:t>9</w:t>
      </w:r>
      <w:r>
        <w:rPr>
          <w:rFonts w:eastAsia="仿宋_GB2312"/>
          <w:sz w:val="28"/>
          <w:szCs w:val="28"/>
        </w:rPr>
        <w:t>日。</w:t>
      </w:r>
    </w:p>
    <w:p>
      <w:pPr>
        <w:autoSpaceDE w:val="0"/>
        <w:autoSpaceDN w:val="0"/>
        <w:spacing w:line="360" w:lineRule="auto"/>
        <w:ind w:right="2" w:firstLine="537" w:firstLineChars="192"/>
        <w:jc w:val="both"/>
        <w:textAlignment w:val="bottom"/>
        <w:rPr>
          <w:rFonts w:eastAsia="仿宋_GB2312"/>
          <w:sz w:val="28"/>
          <w:szCs w:val="28"/>
        </w:rPr>
      </w:pPr>
      <w:r>
        <w:rPr>
          <w:rFonts w:eastAsia="仿宋_GB2312"/>
          <w:sz w:val="28"/>
          <w:szCs w:val="28"/>
        </w:rPr>
        <w:t>估价对象：根据估价委托人提供的《</w:t>
      </w:r>
      <w:r>
        <w:rPr>
          <w:rFonts w:hint="eastAsia" w:eastAsia="仿宋_GB2312"/>
          <w:sz w:val="28"/>
          <w:szCs w:val="28"/>
          <w:lang w:eastAsia="zh-CN"/>
        </w:rPr>
        <w:t>青岛市房地产登记簿</w:t>
      </w:r>
      <w:r>
        <w:rPr>
          <w:rFonts w:eastAsia="仿宋_GB2312"/>
          <w:sz w:val="28"/>
          <w:szCs w:val="28"/>
        </w:rPr>
        <w:t>》，估价对象房地产权利人为</w:t>
      </w:r>
      <w:r>
        <w:rPr>
          <w:rFonts w:hint="eastAsia" w:eastAsia="仿宋_GB2312"/>
          <w:sz w:val="28"/>
          <w:szCs w:val="28"/>
          <w:lang w:eastAsia="zh-CN"/>
        </w:rPr>
        <w:t>绍先海</w:t>
      </w:r>
      <w:r>
        <w:rPr>
          <w:rFonts w:eastAsia="仿宋_GB2312"/>
          <w:sz w:val="28"/>
          <w:szCs w:val="28"/>
        </w:rPr>
        <w:t>，</w:t>
      </w:r>
      <w:r>
        <w:rPr>
          <w:rFonts w:hint="eastAsia" w:eastAsia="仿宋_GB2312"/>
          <w:sz w:val="28"/>
          <w:szCs w:val="28"/>
          <w:lang w:val="en-US" w:eastAsia="zh-CN"/>
        </w:rPr>
        <w:t>房地产证号为市201584538，</w:t>
      </w:r>
      <w:r>
        <w:rPr>
          <w:rFonts w:eastAsia="仿宋_GB2312"/>
          <w:sz w:val="28"/>
          <w:szCs w:val="28"/>
        </w:rPr>
        <w:t>坐落为城阳区</w:t>
      </w:r>
      <w:r>
        <w:rPr>
          <w:rFonts w:hint="eastAsia" w:eastAsia="仿宋_GB2312"/>
          <w:sz w:val="28"/>
          <w:szCs w:val="28"/>
          <w:lang w:eastAsia="zh-CN"/>
        </w:rPr>
        <w:t>双元路18号160号楼2单元701户</w:t>
      </w:r>
      <w:r>
        <w:rPr>
          <w:rFonts w:eastAsia="仿宋_GB2312"/>
          <w:sz w:val="28"/>
          <w:szCs w:val="28"/>
        </w:rPr>
        <w:t>；房屋结构为</w:t>
      </w:r>
      <w:r>
        <w:rPr>
          <w:rFonts w:hint="eastAsia" w:eastAsia="仿宋_GB2312"/>
          <w:sz w:val="28"/>
          <w:szCs w:val="28"/>
        </w:rPr>
        <w:t>钢混</w:t>
      </w:r>
      <w:r>
        <w:rPr>
          <w:rFonts w:eastAsia="仿宋_GB2312"/>
          <w:sz w:val="28"/>
          <w:szCs w:val="28"/>
        </w:rPr>
        <w:t>，</w:t>
      </w:r>
      <w:r>
        <w:rPr>
          <w:rFonts w:hint="eastAsia" w:eastAsia="仿宋_GB2312"/>
          <w:sz w:val="28"/>
          <w:szCs w:val="28"/>
          <w:lang w:eastAsia="zh-CN"/>
        </w:rPr>
        <w:t>建筑面积为84.44平方米</w:t>
      </w:r>
      <w:r>
        <w:rPr>
          <w:rFonts w:eastAsia="仿宋_GB2312"/>
          <w:sz w:val="28"/>
          <w:szCs w:val="28"/>
        </w:rPr>
        <w:t>，</w:t>
      </w:r>
      <w:r>
        <w:rPr>
          <w:rFonts w:hint="eastAsia" w:eastAsia="仿宋_GB2312"/>
          <w:sz w:val="28"/>
          <w:szCs w:val="28"/>
        </w:rPr>
        <w:t>房屋类型为成套住宅</w:t>
      </w:r>
      <w:r>
        <w:rPr>
          <w:rFonts w:eastAsia="仿宋_GB2312"/>
          <w:sz w:val="28"/>
          <w:szCs w:val="28"/>
        </w:rPr>
        <w:t>。</w:t>
      </w:r>
    </w:p>
    <w:p>
      <w:pPr>
        <w:autoSpaceDE w:val="0"/>
        <w:autoSpaceDN w:val="0"/>
        <w:spacing w:line="360" w:lineRule="auto"/>
        <w:ind w:right="2" w:firstLine="537" w:firstLineChars="192"/>
        <w:jc w:val="both"/>
        <w:textAlignment w:val="bottom"/>
        <w:rPr>
          <w:rFonts w:eastAsia="仿宋_GB2312"/>
          <w:sz w:val="28"/>
          <w:szCs w:val="28"/>
        </w:rPr>
      </w:pPr>
      <w:r>
        <w:rPr>
          <w:rFonts w:eastAsia="仿宋_GB2312"/>
          <w:sz w:val="28"/>
          <w:szCs w:val="28"/>
        </w:rPr>
        <w:t>估价目的：为确定上述房地产在价值时点的市场价值，为法院执行案件提供价值参考依据。</w:t>
      </w:r>
    </w:p>
    <w:p>
      <w:pPr>
        <w:autoSpaceDE w:val="0"/>
        <w:autoSpaceDN w:val="0"/>
        <w:spacing w:line="360" w:lineRule="auto"/>
        <w:ind w:right="2" w:firstLine="537" w:firstLineChars="192"/>
        <w:jc w:val="both"/>
        <w:textAlignment w:val="bottom"/>
        <w:rPr>
          <w:rFonts w:eastAsia="仿宋_GB2312"/>
          <w:sz w:val="28"/>
          <w:szCs w:val="28"/>
          <w:highlight w:val="none"/>
        </w:rPr>
      </w:pPr>
      <w:r>
        <w:rPr>
          <w:rFonts w:eastAsia="仿宋_GB2312"/>
          <w:sz w:val="28"/>
          <w:szCs w:val="28"/>
        </w:rPr>
        <w:t>估价</w:t>
      </w:r>
      <w:r>
        <w:rPr>
          <w:rFonts w:eastAsia="仿宋_GB2312"/>
          <w:sz w:val="28"/>
          <w:szCs w:val="28"/>
          <w:highlight w:val="none"/>
        </w:rPr>
        <w:t>结果：根据估价目的，遵循估价原则，采用比较法</w:t>
      </w:r>
      <w:r>
        <w:rPr>
          <w:rFonts w:hint="eastAsia" w:eastAsia="仿宋_GB2312"/>
          <w:sz w:val="28"/>
          <w:szCs w:val="28"/>
          <w:highlight w:val="none"/>
        </w:rPr>
        <w:t>和收益法</w:t>
      </w:r>
      <w:r>
        <w:rPr>
          <w:rFonts w:eastAsia="仿宋_GB2312"/>
          <w:sz w:val="28"/>
          <w:szCs w:val="28"/>
          <w:highlight w:val="none"/>
        </w:rPr>
        <w:t>，在认真分析现有资料的基础上，对影响房地产市场价格因素进行分析，结合估价对象的状况，确定估价对象在价值时点的房地产单价为</w:t>
      </w:r>
      <w:r>
        <w:rPr>
          <w:rFonts w:hint="eastAsia" w:eastAsia="仿宋_GB2312"/>
          <w:sz w:val="28"/>
          <w:szCs w:val="28"/>
          <w:highlight w:val="none"/>
          <w:lang w:val="en-US" w:eastAsia="zh-CN"/>
        </w:rPr>
        <w:t>17691</w:t>
      </w:r>
      <w:r>
        <w:rPr>
          <w:rFonts w:eastAsia="仿宋_GB2312"/>
          <w:sz w:val="28"/>
          <w:szCs w:val="28"/>
          <w:highlight w:val="none"/>
        </w:rPr>
        <w:t>元/平方米，房地产总价：</w:t>
      </w:r>
      <w:r>
        <w:rPr>
          <w:rFonts w:hint="eastAsia" w:eastAsia="仿宋_GB2312"/>
          <w:sz w:val="28"/>
          <w:szCs w:val="28"/>
          <w:highlight w:val="none"/>
        </w:rPr>
        <w:t>1493828</w:t>
      </w:r>
      <w:r>
        <w:rPr>
          <w:rFonts w:eastAsia="仿宋_GB2312"/>
          <w:sz w:val="28"/>
          <w:szCs w:val="28"/>
          <w:highlight w:val="none"/>
        </w:rPr>
        <w:t>元，大写人民币：</w:t>
      </w:r>
      <w:r>
        <w:rPr>
          <w:rFonts w:hint="eastAsia" w:eastAsia="仿宋_GB2312"/>
          <w:b/>
          <w:bCs/>
          <w:sz w:val="28"/>
          <w:szCs w:val="28"/>
          <w:highlight w:val="none"/>
          <w:lang w:val="en-US" w:eastAsia="zh-CN"/>
        </w:rPr>
        <w:t>壹佰肆拾玖万叁仟捌佰贰拾捌</w:t>
      </w:r>
      <w:r>
        <w:rPr>
          <w:rFonts w:eastAsia="仿宋_GB2312"/>
          <w:b/>
          <w:bCs/>
          <w:sz w:val="28"/>
          <w:szCs w:val="28"/>
          <w:highlight w:val="none"/>
        </w:rPr>
        <w:t>元</w:t>
      </w:r>
      <w:r>
        <w:rPr>
          <w:rFonts w:eastAsia="仿宋_GB2312"/>
          <w:sz w:val="28"/>
          <w:szCs w:val="28"/>
          <w:highlight w:val="none"/>
        </w:rPr>
        <w:t>整。</w:t>
      </w:r>
    </w:p>
    <w:p>
      <w:pPr>
        <w:tabs>
          <w:tab w:val="left" w:pos="5886"/>
        </w:tabs>
        <w:autoSpaceDE w:val="0"/>
        <w:autoSpaceDN w:val="0"/>
        <w:spacing w:line="360" w:lineRule="auto"/>
        <w:ind w:right="2" w:firstLine="537" w:firstLineChars="192"/>
        <w:jc w:val="both"/>
        <w:textAlignment w:val="bottom"/>
        <w:rPr>
          <w:rFonts w:hint="eastAsia" w:eastAsia="仿宋_GB2312"/>
          <w:sz w:val="28"/>
          <w:szCs w:val="28"/>
          <w:highlight w:val="none"/>
          <w:lang w:eastAsia="zh-CN"/>
        </w:rPr>
      </w:pPr>
      <w:r>
        <w:rPr>
          <w:rFonts w:eastAsia="仿宋_GB2312"/>
          <w:sz w:val="28"/>
          <w:szCs w:val="28"/>
          <w:highlight w:val="none"/>
        </w:rPr>
        <w:t>估价报告完成日期：</w:t>
      </w:r>
      <w:r>
        <w:rPr>
          <w:rFonts w:hint="eastAsia" w:eastAsia="仿宋_GB2312"/>
          <w:sz w:val="28"/>
          <w:szCs w:val="28"/>
          <w:highlight w:val="none"/>
          <w:lang w:eastAsia="zh-CN"/>
        </w:rPr>
        <w:t>2018年7月4日</w:t>
      </w:r>
      <w:r>
        <w:rPr>
          <w:rFonts w:eastAsia="仿宋_GB2312"/>
          <w:sz w:val="28"/>
          <w:szCs w:val="28"/>
          <w:highlight w:val="none"/>
        </w:rPr>
        <w:t>。</w:t>
      </w:r>
      <w:r>
        <w:rPr>
          <w:rFonts w:hint="eastAsia" w:eastAsia="仿宋_GB2312"/>
          <w:sz w:val="28"/>
          <w:szCs w:val="28"/>
          <w:highlight w:val="none"/>
          <w:lang w:eastAsia="zh-CN"/>
        </w:rPr>
        <w:tab/>
      </w:r>
    </w:p>
    <w:p>
      <w:pPr>
        <w:autoSpaceDE w:val="0"/>
        <w:autoSpaceDN w:val="0"/>
        <w:spacing w:line="360" w:lineRule="auto"/>
        <w:ind w:right="2" w:firstLine="537" w:firstLineChars="192"/>
        <w:jc w:val="both"/>
        <w:textAlignment w:val="bottom"/>
        <w:rPr>
          <w:rFonts w:eastAsia="仿宋_GB2312"/>
          <w:sz w:val="28"/>
          <w:szCs w:val="28"/>
          <w:highlight w:val="none"/>
        </w:rPr>
      </w:pPr>
      <w:r>
        <w:rPr>
          <w:rFonts w:eastAsia="仿宋_GB2312"/>
          <w:sz w:val="28"/>
          <w:szCs w:val="28"/>
          <w:highlight w:val="none"/>
        </w:rPr>
        <w:t>估价报告使用期限：至估价报告出具之日起一年内有效。</w:t>
      </w:r>
    </w:p>
    <w:p>
      <w:pPr>
        <w:autoSpaceDE w:val="0"/>
        <w:autoSpaceDN w:val="0"/>
        <w:spacing w:line="360" w:lineRule="auto"/>
        <w:ind w:right="2" w:firstLine="537" w:firstLineChars="192"/>
        <w:jc w:val="both"/>
        <w:textAlignment w:val="bottom"/>
        <w:rPr>
          <w:rFonts w:eastAsia="仿宋_GB2312"/>
          <w:sz w:val="28"/>
          <w:szCs w:val="28"/>
        </w:rPr>
      </w:pPr>
      <w:r>
        <w:rPr>
          <w:rFonts w:eastAsia="仿宋_GB2312"/>
          <w:sz w:val="28"/>
          <w:szCs w:val="28"/>
          <w:highlight w:val="none"/>
        </w:rPr>
        <w:t>特别提示：报告使用方只可按照本报告的评估目的使</w:t>
      </w:r>
      <w:r>
        <w:rPr>
          <w:rFonts w:eastAsia="仿宋_GB2312"/>
          <w:sz w:val="28"/>
          <w:szCs w:val="28"/>
        </w:rPr>
        <w:t>用，不得用于其它用途；本报告的全部或部分内容未经本所同意，不得发表于任何公开媒体上。</w:t>
      </w:r>
    </w:p>
    <w:p>
      <w:pPr>
        <w:autoSpaceDE w:val="0"/>
        <w:autoSpaceDN w:val="0"/>
        <w:spacing w:line="480" w:lineRule="exact"/>
        <w:ind w:right="313" w:firstLine="560" w:firstLineChars="200"/>
        <w:jc w:val="both"/>
        <w:textAlignment w:val="bottom"/>
        <w:rPr>
          <w:rFonts w:eastAsia="仿宋_GB2312"/>
          <w:bCs/>
          <w:color w:val="000000"/>
          <w:sz w:val="24"/>
          <w:szCs w:val="24"/>
        </w:rPr>
      </w:pPr>
      <w:r>
        <w:rPr>
          <w:rFonts w:eastAsia="仿宋_GB2312"/>
          <w:bCs/>
          <w:color w:val="000000"/>
          <w:sz w:val="28"/>
          <w:szCs w:val="28"/>
        </w:rPr>
        <w:t>法定代表人签字：</w:t>
      </w:r>
      <w:r>
        <w:rPr>
          <w:rFonts w:eastAsia="仿宋_GB2312"/>
          <w:bCs/>
          <w:color w:val="000000"/>
          <w:sz w:val="24"/>
          <w:szCs w:val="24"/>
        </w:rPr>
        <w:tab/>
      </w:r>
    </w:p>
    <w:p>
      <w:pPr>
        <w:spacing w:line="360" w:lineRule="auto"/>
        <w:jc w:val="right"/>
        <w:rPr>
          <w:rFonts w:eastAsia="仿宋_GB2312"/>
          <w:bCs/>
          <w:color w:val="000000"/>
          <w:sz w:val="28"/>
          <w:szCs w:val="28"/>
        </w:rPr>
      </w:pPr>
    </w:p>
    <w:p>
      <w:pPr>
        <w:spacing w:line="360" w:lineRule="auto"/>
        <w:jc w:val="right"/>
        <w:rPr>
          <w:rFonts w:eastAsia="仿宋_GB2312"/>
          <w:bCs/>
          <w:color w:val="000000"/>
          <w:sz w:val="28"/>
          <w:szCs w:val="28"/>
        </w:rPr>
      </w:pPr>
      <w:r>
        <w:rPr>
          <w:rFonts w:eastAsia="仿宋_GB2312"/>
          <w:bCs/>
          <w:color w:val="000000"/>
          <w:sz w:val="28"/>
          <w:szCs w:val="28"/>
        </w:rPr>
        <w:t>青岛衡信土地房地产评估咨询有限公司</w:t>
      </w:r>
    </w:p>
    <w:p>
      <w:pPr>
        <w:spacing w:line="360" w:lineRule="auto"/>
        <w:ind w:right="26" w:rightChars="13"/>
        <w:jc w:val="center"/>
        <w:rPr>
          <w:rFonts w:eastAsia="仿宋_GB2312"/>
          <w:bCs/>
          <w:color w:val="000000"/>
          <w:sz w:val="28"/>
          <w:szCs w:val="28"/>
        </w:rPr>
      </w:pPr>
      <w:r>
        <w:rPr>
          <w:rFonts w:eastAsia="仿宋_GB2312"/>
          <w:bCs/>
          <w:color w:val="000000"/>
          <w:sz w:val="28"/>
          <w:szCs w:val="28"/>
        </w:rPr>
        <w:t xml:space="preserve">                                  </w:t>
      </w:r>
      <w:r>
        <w:rPr>
          <w:rFonts w:hint="eastAsia" w:eastAsia="仿宋_GB2312"/>
          <w:bCs/>
          <w:color w:val="000000"/>
          <w:sz w:val="28"/>
          <w:szCs w:val="28"/>
          <w:lang w:eastAsia="zh-CN"/>
        </w:rPr>
        <w:t>2018年7月4日</w:t>
      </w:r>
      <w:r>
        <w:rPr>
          <w:rFonts w:hint="eastAsia" w:eastAsia="仿宋_GB2312"/>
          <w:bCs/>
          <w:color w:val="000000"/>
          <w:sz w:val="28"/>
          <w:szCs w:val="28"/>
        </w:rPr>
        <w:br w:type="textWrapping"/>
      </w:r>
    </w:p>
    <w:p>
      <w:pPr>
        <w:spacing w:line="360" w:lineRule="auto"/>
        <w:ind w:right="26" w:rightChars="13"/>
        <w:jc w:val="center"/>
        <w:rPr>
          <w:b/>
          <w:color w:val="000000"/>
          <w:sz w:val="36"/>
          <w:szCs w:val="36"/>
        </w:rPr>
      </w:pPr>
      <w:r>
        <w:rPr>
          <w:b/>
          <w:color w:val="000000"/>
          <w:sz w:val="36"/>
          <w:szCs w:val="36"/>
        </w:rPr>
        <w:t>目   录</w:t>
      </w:r>
    </w:p>
    <w:p>
      <w:pPr>
        <w:tabs>
          <w:tab w:val="left" w:pos="3825"/>
          <w:tab w:val="center" w:pos="4691"/>
        </w:tabs>
        <w:autoSpaceDE w:val="0"/>
        <w:autoSpaceDN w:val="0"/>
        <w:spacing w:line="360" w:lineRule="auto"/>
        <w:textAlignment w:val="bottom"/>
        <w:rPr>
          <w:rFonts w:eastAsia="仿宋_GB2312"/>
          <w:color w:val="000000"/>
          <w:sz w:val="28"/>
          <w:szCs w:val="28"/>
        </w:rPr>
      </w:pPr>
    </w:p>
    <w:sdt>
      <w:sdtPr>
        <w:rPr>
          <w:b/>
          <w:bCs/>
          <w:lang w:val="zh-CN"/>
        </w:rPr>
        <w:id w:val="1913197502"/>
      </w:sdtPr>
      <w:sdtEndPr>
        <w:rPr>
          <w:rFonts w:eastAsia="仿宋_GB2312"/>
          <w:b w:val="0"/>
          <w:bCs w:val="0"/>
          <w:color w:val="000000"/>
          <w:sz w:val="30"/>
          <w:szCs w:val="30"/>
          <w:lang w:val="en-US"/>
        </w:rPr>
      </w:sdtEndPr>
      <w:sdtContent>
        <w:p>
          <w:pPr>
            <w:pStyle w:val="18"/>
            <w:tabs>
              <w:tab w:val="right" w:leader="dot" w:pos="9373"/>
            </w:tabs>
            <w:spacing w:before="120" w:beforeLines="50"/>
            <w:rPr>
              <w:rFonts w:eastAsia="仿宋_GB2312"/>
              <w:kern w:val="2"/>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"_Toc450851460" </w:instrText>
          </w:r>
          <w:r>
            <w:fldChar w:fldCharType="separate"/>
          </w:r>
          <w:r>
            <w:rPr>
              <w:rStyle w:val="27"/>
              <w:rFonts w:eastAsia="仿宋_GB2312"/>
              <w:sz w:val="28"/>
              <w:szCs w:val="28"/>
            </w:rPr>
            <w:t>估价师声明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_Toc450851460 \h </w:instrText>
          </w:r>
          <w:r>
            <w:rPr>
              <w:rFonts w:eastAsia="仿宋_GB2312"/>
              <w:sz w:val="28"/>
              <w:szCs w:val="28"/>
            </w:rPr>
            <w:fldChar w:fldCharType="separate"/>
          </w:r>
          <w:r>
            <w:rPr>
              <w:rFonts w:eastAsia="仿宋_GB2312"/>
              <w:sz w:val="28"/>
              <w:szCs w:val="28"/>
            </w:rPr>
            <w:t>4</w:t>
          </w:r>
          <w:r>
            <w:rPr>
              <w:rFonts w:eastAsia="仿宋_GB2312"/>
              <w:sz w:val="28"/>
              <w:szCs w:val="28"/>
            </w:rPr>
            <w:fldChar w:fldCharType="end"/>
          </w:r>
          <w:r>
            <w:rPr>
              <w:rFonts w:eastAsia="仿宋_GB2312"/>
              <w:sz w:val="28"/>
              <w:szCs w:val="28"/>
            </w:rPr>
            <w:fldChar w:fldCharType="end"/>
          </w:r>
        </w:p>
        <w:p>
          <w:pPr>
            <w:pStyle w:val="18"/>
            <w:tabs>
              <w:tab w:val="right" w:leader="dot" w:pos="9373"/>
            </w:tabs>
            <w:spacing w:before="120" w:beforeLines="50"/>
            <w:rPr>
              <w:rFonts w:eastAsia="仿宋_GB2312"/>
              <w:kern w:val="2"/>
              <w:sz w:val="28"/>
              <w:szCs w:val="28"/>
            </w:rPr>
          </w:pPr>
          <w:r>
            <w:fldChar w:fldCharType="begin"/>
          </w:r>
          <w:r>
            <w:instrText xml:space="preserve"> HYPERLINK \l "_Toc450851461" </w:instrText>
          </w:r>
          <w:r>
            <w:fldChar w:fldCharType="separate"/>
          </w:r>
          <w:r>
            <w:rPr>
              <w:rStyle w:val="27"/>
              <w:rFonts w:eastAsia="仿宋_GB2312"/>
              <w:sz w:val="28"/>
              <w:szCs w:val="28"/>
            </w:rPr>
            <w:t>估价假设和限制条件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_Toc450851461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pPr>
            <w:pStyle w:val="18"/>
            <w:tabs>
              <w:tab w:val="right" w:leader="dot" w:pos="9373"/>
            </w:tabs>
            <w:spacing w:before="120" w:beforeLines="50"/>
            <w:rPr>
              <w:rFonts w:eastAsia="仿宋_GB2312"/>
              <w:kern w:val="2"/>
              <w:sz w:val="28"/>
              <w:szCs w:val="28"/>
            </w:rPr>
          </w:pPr>
          <w:r>
            <w:fldChar w:fldCharType="begin"/>
          </w:r>
          <w:r>
            <w:instrText xml:space="preserve"> HYPERLINK \l "_Toc450851462" </w:instrText>
          </w:r>
          <w:r>
            <w:fldChar w:fldCharType="separate"/>
          </w:r>
          <w:r>
            <w:rPr>
              <w:rStyle w:val="27"/>
              <w:rFonts w:eastAsia="仿宋_GB2312"/>
              <w:sz w:val="28"/>
              <w:szCs w:val="28"/>
            </w:rPr>
            <w:t>估价结果报告</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_Toc450851462 \h </w:instrText>
          </w:r>
          <w:r>
            <w:rPr>
              <w:rFonts w:eastAsia="仿宋_GB2312"/>
              <w:sz w:val="28"/>
              <w:szCs w:val="28"/>
            </w:rPr>
            <w:fldChar w:fldCharType="separate"/>
          </w:r>
          <w:r>
            <w:rPr>
              <w:rFonts w:eastAsia="仿宋_GB2312"/>
              <w:sz w:val="28"/>
              <w:szCs w:val="28"/>
            </w:rPr>
            <w:t>7</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"_Toc450851463" </w:instrText>
          </w:r>
          <w:r>
            <w:fldChar w:fldCharType="separate"/>
          </w:r>
          <w:r>
            <w:rPr>
              <w:rStyle w:val="27"/>
              <w:rFonts w:eastAsia="仿宋_GB2312"/>
              <w:sz w:val="28"/>
              <w:szCs w:val="28"/>
            </w:rPr>
            <w:t>一、估价委托人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_Toc450851463 \h </w:instrText>
          </w:r>
          <w:r>
            <w:rPr>
              <w:rFonts w:eastAsia="仿宋_GB2312"/>
              <w:sz w:val="28"/>
              <w:szCs w:val="28"/>
            </w:rPr>
            <w:fldChar w:fldCharType="separate"/>
          </w:r>
          <w:r>
            <w:rPr>
              <w:rFonts w:eastAsia="仿宋_GB2312"/>
              <w:sz w:val="28"/>
              <w:szCs w:val="28"/>
            </w:rPr>
            <w:t>7</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"_Toc450851464" </w:instrText>
          </w:r>
          <w:r>
            <w:fldChar w:fldCharType="separate"/>
          </w:r>
          <w:r>
            <w:rPr>
              <w:rStyle w:val="27"/>
              <w:rFonts w:eastAsia="仿宋_GB2312"/>
              <w:sz w:val="28"/>
              <w:szCs w:val="28"/>
            </w:rPr>
            <w:t>二、房地产估价机构</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_Toc450851464 \h </w:instrText>
          </w:r>
          <w:r>
            <w:rPr>
              <w:rFonts w:eastAsia="仿宋_GB2312"/>
              <w:sz w:val="28"/>
              <w:szCs w:val="28"/>
            </w:rPr>
            <w:fldChar w:fldCharType="separate"/>
          </w:r>
          <w:r>
            <w:rPr>
              <w:rFonts w:eastAsia="仿宋_GB2312"/>
              <w:sz w:val="28"/>
              <w:szCs w:val="28"/>
            </w:rPr>
            <w:t>7</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"_Toc450851465" </w:instrText>
          </w:r>
          <w:r>
            <w:fldChar w:fldCharType="separate"/>
          </w:r>
          <w:r>
            <w:rPr>
              <w:rStyle w:val="27"/>
              <w:rFonts w:eastAsia="仿宋_GB2312"/>
              <w:sz w:val="28"/>
              <w:szCs w:val="28"/>
            </w:rPr>
            <w:t>三、估价目的</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_Toc450851465 \h </w:instrText>
          </w:r>
          <w:r>
            <w:rPr>
              <w:rFonts w:eastAsia="仿宋_GB2312"/>
              <w:sz w:val="28"/>
              <w:szCs w:val="28"/>
            </w:rPr>
            <w:fldChar w:fldCharType="separate"/>
          </w:r>
          <w:r>
            <w:rPr>
              <w:rFonts w:eastAsia="仿宋_GB2312"/>
              <w:sz w:val="28"/>
              <w:szCs w:val="28"/>
            </w:rPr>
            <w:t>7</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"_Toc450851466" </w:instrText>
          </w:r>
          <w:r>
            <w:fldChar w:fldCharType="separate"/>
          </w:r>
          <w:r>
            <w:rPr>
              <w:rStyle w:val="27"/>
              <w:rFonts w:eastAsia="仿宋_GB2312"/>
              <w:sz w:val="28"/>
              <w:szCs w:val="28"/>
            </w:rPr>
            <w:t>四、估价对象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_Toc450851466 \h </w:instrText>
          </w:r>
          <w:r>
            <w:rPr>
              <w:rFonts w:eastAsia="仿宋_GB2312"/>
              <w:sz w:val="28"/>
              <w:szCs w:val="28"/>
            </w:rPr>
            <w:fldChar w:fldCharType="separate"/>
          </w:r>
          <w:r>
            <w:rPr>
              <w:rFonts w:eastAsia="仿宋_GB2312"/>
              <w:sz w:val="28"/>
              <w:szCs w:val="28"/>
            </w:rPr>
            <w:t>7</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"_Toc450851467" </w:instrText>
          </w:r>
          <w:r>
            <w:fldChar w:fldCharType="separate"/>
          </w:r>
          <w:r>
            <w:rPr>
              <w:rStyle w:val="27"/>
              <w:rFonts w:eastAsia="仿宋_GB2312"/>
              <w:sz w:val="28"/>
              <w:szCs w:val="28"/>
            </w:rPr>
            <w:t>五、价值时点：</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_Toc450851467 \h </w:instrText>
          </w:r>
          <w:r>
            <w:rPr>
              <w:rFonts w:eastAsia="仿宋_GB2312"/>
              <w:sz w:val="28"/>
              <w:szCs w:val="28"/>
            </w:rPr>
            <w:fldChar w:fldCharType="separate"/>
          </w:r>
          <w:r>
            <w:rPr>
              <w:rFonts w:eastAsia="仿宋_GB2312"/>
              <w:sz w:val="28"/>
              <w:szCs w:val="28"/>
            </w:rPr>
            <w:t>8</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"_Toc450851468" </w:instrText>
          </w:r>
          <w:r>
            <w:fldChar w:fldCharType="separate"/>
          </w:r>
          <w:r>
            <w:rPr>
              <w:rStyle w:val="27"/>
              <w:rFonts w:eastAsia="仿宋_GB2312"/>
              <w:sz w:val="28"/>
              <w:szCs w:val="28"/>
            </w:rPr>
            <w:t>六、价值类型：</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_Toc450851468 \h </w:instrText>
          </w:r>
          <w:r>
            <w:rPr>
              <w:rFonts w:eastAsia="仿宋_GB2312"/>
              <w:sz w:val="28"/>
              <w:szCs w:val="28"/>
            </w:rPr>
            <w:fldChar w:fldCharType="separate"/>
          </w:r>
          <w:r>
            <w:rPr>
              <w:rFonts w:eastAsia="仿宋_GB2312"/>
              <w:sz w:val="28"/>
              <w:szCs w:val="28"/>
            </w:rPr>
            <w:t>8</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"_Toc450851469" </w:instrText>
          </w:r>
          <w:r>
            <w:fldChar w:fldCharType="separate"/>
          </w:r>
          <w:r>
            <w:rPr>
              <w:rStyle w:val="27"/>
              <w:rFonts w:eastAsia="仿宋_GB2312"/>
              <w:sz w:val="28"/>
              <w:szCs w:val="28"/>
            </w:rPr>
            <w:t>七、估价原则：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_Toc450851469 \h </w:instrText>
          </w:r>
          <w:r>
            <w:rPr>
              <w:rFonts w:eastAsia="仿宋_GB2312"/>
              <w:sz w:val="28"/>
              <w:szCs w:val="28"/>
            </w:rPr>
            <w:fldChar w:fldCharType="separate"/>
          </w:r>
          <w:r>
            <w:rPr>
              <w:rFonts w:eastAsia="仿宋_GB2312"/>
              <w:sz w:val="28"/>
              <w:szCs w:val="28"/>
            </w:rPr>
            <w:t>8</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"_Toc450851470" </w:instrText>
          </w:r>
          <w:r>
            <w:fldChar w:fldCharType="separate"/>
          </w:r>
          <w:r>
            <w:rPr>
              <w:rStyle w:val="27"/>
              <w:rFonts w:eastAsia="仿宋_GB2312"/>
              <w:sz w:val="28"/>
              <w:szCs w:val="28"/>
            </w:rPr>
            <w:t>八、估价依据：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_Toc450851470 \h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"_Toc450851471" </w:instrText>
          </w:r>
          <w:r>
            <w:fldChar w:fldCharType="separate"/>
          </w:r>
          <w:r>
            <w:rPr>
              <w:rStyle w:val="27"/>
              <w:rFonts w:eastAsia="仿宋_GB2312"/>
              <w:sz w:val="28"/>
              <w:szCs w:val="28"/>
            </w:rPr>
            <w:t>九、估价方法：</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_Toc450851471 \h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"_Toc450851472" </w:instrText>
          </w:r>
          <w:r>
            <w:fldChar w:fldCharType="separate"/>
          </w:r>
          <w:r>
            <w:rPr>
              <w:rStyle w:val="27"/>
              <w:rFonts w:eastAsia="仿宋_GB2312"/>
              <w:sz w:val="28"/>
              <w:szCs w:val="28"/>
            </w:rPr>
            <w:t>十、估价结果：</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_Toc450851472 \h </w:instrText>
          </w:r>
          <w:r>
            <w:rPr>
              <w:rFonts w:eastAsia="仿宋_GB2312"/>
              <w:sz w:val="28"/>
              <w:szCs w:val="28"/>
            </w:rPr>
            <w:fldChar w:fldCharType="separate"/>
          </w:r>
          <w:r>
            <w:rPr>
              <w:rFonts w:eastAsia="仿宋_GB2312"/>
              <w:sz w:val="28"/>
              <w:szCs w:val="28"/>
            </w:rPr>
            <w:t>11</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"_Toc450851473" </w:instrText>
          </w:r>
          <w:r>
            <w:fldChar w:fldCharType="separate"/>
          </w:r>
          <w:r>
            <w:rPr>
              <w:rStyle w:val="27"/>
              <w:rFonts w:eastAsia="仿宋_GB2312"/>
              <w:sz w:val="28"/>
              <w:szCs w:val="28"/>
            </w:rPr>
            <w:t>十一、注册房地产估价师：</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_Toc450851473 \h </w:instrText>
          </w:r>
          <w:r>
            <w:rPr>
              <w:rFonts w:eastAsia="仿宋_GB2312"/>
              <w:sz w:val="28"/>
              <w:szCs w:val="28"/>
            </w:rPr>
            <w:fldChar w:fldCharType="separate"/>
          </w:r>
          <w:r>
            <w:rPr>
              <w:rFonts w:eastAsia="仿宋_GB2312"/>
              <w:sz w:val="28"/>
              <w:szCs w:val="28"/>
            </w:rPr>
            <w:t>11</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"_Toc450851474" </w:instrText>
          </w:r>
          <w:r>
            <w:fldChar w:fldCharType="separate"/>
          </w:r>
          <w:r>
            <w:rPr>
              <w:rStyle w:val="27"/>
              <w:rFonts w:eastAsia="仿宋_GB2312"/>
              <w:sz w:val="28"/>
              <w:szCs w:val="28"/>
            </w:rPr>
            <w:t>十二、实地查勘期</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_Toc450851474 \h </w:instrText>
          </w:r>
          <w:r>
            <w:rPr>
              <w:rFonts w:eastAsia="仿宋_GB2312"/>
              <w:sz w:val="28"/>
              <w:szCs w:val="28"/>
            </w:rPr>
            <w:fldChar w:fldCharType="separate"/>
          </w:r>
          <w:r>
            <w:rPr>
              <w:rFonts w:eastAsia="仿宋_GB2312"/>
              <w:sz w:val="28"/>
              <w:szCs w:val="28"/>
            </w:rPr>
            <w:t>12</w:t>
          </w:r>
          <w:r>
            <w:rPr>
              <w:rFonts w:eastAsia="仿宋_GB2312"/>
              <w:sz w:val="28"/>
              <w:szCs w:val="28"/>
            </w:rPr>
            <w:fldChar w:fldCharType="end"/>
          </w:r>
          <w:r>
            <w:rPr>
              <w:rFonts w:eastAsia="仿宋_GB2312"/>
              <w:sz w:val="28"/>
              <w:szCs w:val="28"/>
            </w:rPr>
            <w:fldChar w:fldCharType="end"/>
          </w:r>
        </w:p>
        <w:p>
          <w:pPr>
            <w:pStyle w:val="20"/>
            <w:tabs>
              <w:tab w:val="right" w:leader="dot" w:pos="9373"/>
            </w:tabs>
            <w:spacing w:before="120" w:beforeLines="50"/>
            <w:ind w:left="400"/>
            <w:rPr>
              <w:rFonts w:eastAsia="仿宋_GB2312"/>
              <w:kern w:val="2"/>
              <w:sz w:val="28"/>
              <w:szCs w:val="28"/>
            </w:rPr>
          </w:pPr>
          <w:r>
            <w:fldChar w:fldCharType="begin"/>
          </w:r>
          <w:r>
            <w:instrText xml:space="preserve"> HYPERLINK \l "_Toc450851475" </w:instrText>
          </w:r>
          <w:r>
            <w:fldChar w:fldCharType="separate"/>
          </w:r>
          <w:r>
            <w:rPr>
              <w:rStyle w:val="27"/>
              <w:rFonts w:eastAsia="仿宋_GB2312"/>
              <w:sz w:val="28"/>
              <w:szCs w:val="28"/>
            </w:rPr>
            <w:t>十三、估价作业期</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_Toc450851475 \h </w:instrText>
          </w:r>
          <w:r>
            <w:rPr>
              <w:rFonts w:eastAsia="仿宋_GB2312"/>
              <w:sz w:val="28"/>
              <w:szCs w:val="28"/>
            </w:rPr>
            <w:fldChar w:fldCharType="separate"/>
          </w:r>
          <w:r>
            <w:rPr>
              <w:rFonts w:eastAsia="仿宋_GB2312"/>
              <w:sz w:val="28"/>
              <w:szCs w:val="28"/>
            </w:rPr>
            <w:t>12</w:t>
          </w:r>
          <w:r>
            <w:rPr>
              <w:rFonts w:eastAsia="仿宋_GB2312"/>
              <w:sz w:val="28"/>
              <w:szCs w:val="28"/>
            </w:rPr>
            <w:fldChar w:fldCharType="end"/>
          </w:r>
          <w:r>
            <w:rPr>
              <w:rFonts w:eastAsia="仿宋_GB2312"/>
              <w:sz w:val="28"/>
              <w:szCs w:val="28"/>
            </w:rPr>
            <w:fldChar w:fldCharType="end"/>
          </w:r>
        </w:p>
        <w:p>
          <w:pPr>
            <w:pStyle w:val="18"/>
            <w:tabs>
              <w:tab w:val="right" w:leader="dot" w:pos="9373"/>
            </w:tabs>
            <w:spacing w:before="120" w:beforeLines="50"/>
            <w:rPr>
              <w:rFonts w:eastAsia="仿宋"/>
              <w:kern w:val="2"/>
              <w:sz w:val="28"/>
              <w:szCs w:val="28"/>
            </w:rPr>
          </w:pPr>
          <w:r>
            <w:fldChar w:fldCharType="begin"/>
          </w:r>
          <w:r>
            <w:instrText xml:space="preserve"> HYPERLINK \l "_Toc450851476" </w:instrText>
          </w:r>
          <w:r>
            <w:fldChar w:fldCharType="separate"/>
          </w:r>
          <w:r>
            <w:rPr>
              <w:rStyle w:val="27"/>
              <w:rFonts w:eastAsia="仿宋_GB2312"/>
              <w:sz w:val="28"/>
              <w:szCs w:val="28"/>
            </w:rPr>
            <w:t>附 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_Toc450851476 \h </w:instrText>
          </w:r>
          <w:r>
            <w:rPr>
              <w:rFonts w:eastAsia="仿宋_GB2312"/>
              <w:sz w:val="28"/>
              <w:szCs w:val="28"/>
            </w:rPr>
            <w:fldChar w:fldCharType="separate"/>
          </w:r>
          <w:r>
            <w:rPr>
              <w:rFonts w:eastAsia="仿宋_GB2312"/>
              <w:sz w:val="28"/>
              <w:szCs w:val="28"/>
            </w:rPr>
            <w:t>13</w:t>
          </w:r>
          <w:r>
            <w:rPr>
              <w:rFonts w:eastAsia="仿宋_GB2312"/>
              <w:sz w:val="28"/>
              <w:szCs w:val="28"/>
            </w:rPr>
            <w:fldChar w:fldCharType="end"/>
          </w:r>
          <w:r>
            <w:rPr>
              <w:rFonts w:eastAsia="仿宋_GB2312"/>
              <w:sz w:val="28"/>
              <w:szCs w:val="28"/>
            </w:rPr>
            <w:fldChar w:fldCharType="end"/>
          </w:r>
        </w:p>
        <w:p>
          <w:pPr>
            <w:spacing w:line="360" w:lineRule="auto"/>
            <w:rPr>
              <w:rFonts w:eastAsia="仿宋_GB2312"/>
              <w:b/>
              <w:sz w:val="28"/>
              <w:szCs w:val="28"/>
            </w:rPr>
          </w:pPr>
          <w:r>
            <w:rPr>
              <w:b/>
              <w:bCs/>
              <w:sz w:val="28"/>
              <w:szCs w:val="28"/>
              <w:lang w:val="zh-CN"/>
            </w:rPr>
            <w:fldChar w:fldCharType="end"/>
          </w:r>
        </w:p>
      </w:sdtContent>
    </w:sdt>
    <w:p>
      <w:pPr>
        <w:tabs>
          <w:tab w:val="left" w:pos="3825"/>
          <w:tab w:val="center" w:pos="4691"/>
        </w:tabs>
        <w:autoSpaceDE w:val="0"/>
        <w:autoSpaceDN w:val="0"/>
        <w:spacing w:line="360" w:lineRule="auto"/>
        <w:textAlignment w:val="bottom"/>
        <w:rPr>
          <w:szCs w:val="36"/>
        </w:rPr>
      </w:pPr>
      <w:r>
        <w:rPr>
          <w:rFonts w:eastAsia="仿宋_GB2312"/>
          <w:b/>
          <w:sz w:val="28"/>
          <w:szCs w:val="28"/>
        </w:rPr>
        <w:br w:type="page"/>
      </w:r>
    </w:p>
    <w:p>
      <w:pPr>
        <w:pStyle w:val="2"/>
        <w:spacing w:before="0" w:after="0" w:line="360" w:lineRule="auto"/>
        <w:rPr>
          <w:szCs w:val="36"/>
        </w:rPr>
      </w:pPr>
      <w:bookmarkStart w:id="3" w:name="_Toc450851460"/>
      <w:bookmarkStart w:id="4" w:name="_Toc450140729"/>
      <w:r>
        <w:rPr>
          <w:szCs w:val="36"/>
        </w:rPr>
        <w:t>估价师声明</w:t>
      </w:r>
      <w:bookmarkEnd w:id="3"/>
      <w:bookmarkEnd w:id="4"/>
      <w:r>
        <w:rPr>
          <w:szCs w:val="36"/>
        </w:rPr>
        <w:t xml:space="preserve">   </w:t>
      </w:r>
    </w:p>
    <w:p>
      <w:pPr>
        <w:autoSpaceDE w:val="0"/>
        <w:autoSpaceDN w:val="0"/>
        <w:spacing w:line="360" w:lineRule="auto"/>
        <w:ind w:right="27" w:firstLine="560" w:firstLineChars="200"/>
        <w:jc w:val="both"/>
        <w:textAlignment w:val="bottom"/>
        <w:rPr>
          <w:rFonts w:eastAsia="仿宋_GB2312"/>
          <w:color w:val="000000"/>
          <w:sz w:val="28"/>
          <w:szCs w:val="28"/>
        </w:rPr>
      </w:pPr>
      <w:r>
        <w:rPr>
          <w:rFonts w:eastAsia="仿宋_GB2312"/>
          <w:color w:val="000000"/>
          <w:sz w:val="28"/>
          <w:szCs w:val="28"/>
        </w:rPr>
        <w:t>我们根据自己的良好知识和职业道德，在此郑重声明：</w:t>
      </w:r>
    </w:p>
    <w:p>
      <w:pPr>
        <w:autoSpaceDE w:val="0"/>
        <w:autoSpaceDN w:val="0"/>
        <w:spacing w:line="360" w:lineRule="auto"/>
        <w:ind w:right="27" w:firstLine="560" w:firstLineChars="200"/>
        <w:jc w:val="both"/>
        <w:textAlignment w:val="bottom"/>
        <w:rPr>
          <w:rFonts w:eastAsia="仿宋_GB2312"/>
          <w:color w:val="000000"/>
          <w:sz w:val="28"/>
          <w:szCs w:val="28"/>
        </w:rPr>
      </w:pPr>
      <w:r>
        <w:rPr>
          <w:rFonts w:eastAsia="仿宋_GB2312"/>
          <w:color w:val="000000"/>
          <w:sz w:val="28"/>
          <w:szCs w:val="28"/>
        </w:rPr>
        <w:t>1、我们在本估价报告中对事实的说明是真实和准确的，没有虚假记载、误导性陈述和重大遗漏。</w:t>
      </w:r>
    </w:p>
    <w:p>
      <w:pPr>
        <w:autoSpaceDE w:val="0"/>
        <w:autoSpaceDN w:val="0"/>
        <w:spacing w:line="360" w:lineRule="auto"/>
        <w:ind w:right="27" w:firstLine="560" w:firstLineChars="200"/>
        <w:jc w:val="both"/>
        <w:textAlignment w:val="bottom"/>
        <w:rPr>
          <w:rFonts w:eastAsia="仿宋_GB2312"/>
          <w:color w:val="000000"/>
          <w:sz w:val="28"/>
          <w:szCs w:val="28"/>
        </w:rPr>
      </w:pPr>
      <w:r>
        <w:rPr>
          <w:rFonts w:eastAsia="仿宋_GB2312"/>
          <w:color w:val="000000"/>
          <w:sz w:val="28"/>
          <w:szCs w:val="28"/>
        </w:rPr>
        <w:t>2、本估价报告中的分析、意见和结论是我们独立、客观、公正的专业分析、意见和结论，但受到本评估报告中已说明的估价假设和限制条件的限制。</w:t>
      </w:r>
    </w:p>
    <w:p>
      <w:pPr>
        <w:autoSpaceDE w:val="0"/>
        <w:autoSpaceDN w:val="0"/>
        <w:spacing w:line="360" w:lineRule="auto"/>
        <w:ind w:right="27" w:firstLine="560" w:firstLineChars="200"/>
        <w:jc w:val="both"/>
        <w:textAlignment w:val="bottom"/>
        <w:rPr>
          <w:rFonts w:eastAsia="仿宋_GB2312"/>
          <w:color w:val="000000"/>
          <w:sz w:val="28"/>
          <w:szCs w:val="28"/>
        </w:rPr>
      </w:pPr>
      <w:r>
        <w:rPr>
          <w:rFonts w:eastAsia="仿宋_GB2312"/>
          <w:color w:val="000000"/>
          <w:sz w:val="28"/>
          <w:szCs w:val="28"/>
        </w:rPr>
        <w:t>3、我们与本估价报告中的估价对象没有现实或潜在的利益，与估价委托人及估价利害关系人没有利害关系，我们也对本估价报告中的估价对象或估价委托人及估价利害关系人没有偏见。</w:t>
      </w:r>
    </w:p>
    <w:p>
      <w:pPr>
        <w:autoSpaceDE w:val="0"/>
        <w:autoSpaceDN w:val="0"/>
        <w:spacing w:line="360" w:lineRule="auto"/>
        <w:ind w:right="27" w:firstLine="560" w:firstLineChars="200"/>
        <w:jc w:val="both"/>
        <w:textAlignment w:val="bottom"/>
        <w:rPr>
          <w:rFonts w:eastAsia="仿宋_GB2312"/>
          <w:color w:val="000000"/>
          <w:sz w:val="28"/>
          <w:szCs w:val="28"/>
        </w:rPr>
      </w:pPr>
      <w:r>
        <w:rPr>
          <w:rFonts w:eastAsia="仿宋_GB2312"/>
          <w:color w:val="000000"/>
          <w:sz w:val="28"/>
          <w:szCs w:val="28"/>
        </w:rPr>
        <w:t>4、我们依照中华人民共和国国家标准《房地产估价规范》和《房地产估价基本术语标准》进行分析，形成意见和结论，撰写本估价报告。</w:t>
      </w:r>
    </w:p>
    <w:p>
      <w:pPr>
        <w:autoSpaceDE w:val="0"/>
        <w:autoSpaceDN w:val="0"/>
        <w:spacing w:line="360" w:lineRule="auto"/>
        <w:ind w:firstLine="630" w:firstLineChars="225"/>
        <w:textAlignment w:val="bottom"/>
        <w:rPr>
          <w:rFonts w:eastAsia="仿宋_GB2312"/>
          <w:sz w:val="28"/>
          <w:szCs w:val="28"/>
        </w:rPr>
      </w:pPr>
      <w:r>
        <w:rPr>
          <w:rFonts w:eastAsia="仿宋_GB2312"/>
          <w:color w:val="000000"/>
          <w:sz w:val="28"/>
          <w:szCs w:val="28"/>
        </w:rPr>
        <w:t>5、</w:t>
      </w:r>
      <w:r>
        <w:rPr>
          <w:rFonts w:eastAsia="仿宋_GB2312"/>
          <w:sz w:val="28"/>
          <w:szCs w:val="28"/>
        </w:rPr>
        <w:t>我们已对本估价报告中的估价对象进行了实地查勘，估价人员对估价对象的勘验仅限于估价对象的外观和使用状况，估价人员不承担对估价对象建筑结构质量进行调查的责任，也不承担对其他被遮盖及难于接触到的部分进行勘验的责任。</w:t>
      </w:r>
    </w:p>
    <w:p>
      <w:pPr>
        <w:autoSpaceDE w:val="0"/>
        <w:autoSpaceDN w:val="0"/>
        <w:spacing w:line="360" w:lineRule="auto"/>
        <w:ind w:firstLine="630" w:firstLineChars="225"/>
        <w:textAlignment w:val="bottom"/>
        <w:rPr>
          <w:rFonts w:eastAsia="仿宋_GB2312"/>
          <w:color w:val="000000"/>
          <w:sz w:val="28"/>
          <w:szCs w:val="28"/>
        </w:rPr>
      </w:pPr>
      <w:r>
        <w:rPr>
          <w:rFonts w:eastAsia="仿宋_GB2312"/>
          <w:color w:val="000000"/>
          <w:sz w:val="28"/>
          <w:szCs w:val="28"/>
        </w:rPr>
        <w:t>6、本报告没有其他专业帮助，未采用其他相关专业意见。</w:t>
      </w:r>
    </w:p>
    <w:p>
      <w:pPr>
        <w:spacing w:line="360" w:lineRule="auto"/>
        <w:jc w:val="center"/>
        <w:rPr>
          <w:rFonts w:eastAsia="仿宋_GB2312"/>
          <w:color w:val="000000"/>
          <w:sz w:val="28"/>
          <w:szCs w:val="28"/>
        </w:rPr>
      </w:pPr>
    </w:p>
    <w:p>
      <w:pPr>
        <w:spacing w:line="360" w:lineRule="auto"/>
        <w:ind w:firstLine="565" w:firstLineChars="202"/>
        <w:rPr>
          <w:rFonts w:eastAsia="仿宋_GB2312"/>
          <w:color w:val="000000"/>
          <w:sz w:val="28"/>
          <w:szCs w:val="28"/>
        </w:rPr>
      </w:pPr>
      <w:r>
        <w:rPr>
          <w:rFonts w:eastAsia="仿宋_GB2312"/>
          <w:color w:val="000000"/>
          <w:sz w:val="28"/>
          <w:szCs w:val="28"/>
        </w:rPr>
        <w:t>注册房地产估价师签字：</w:t>
      </w:r>
    </w:p>
    <w:tbl>
      <w:tblPr>
        <w:tblStyle w:val="29"/>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268"/>
        <w:gridCol w:w="3118"/>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trPr>
        <w:tc>
          <w:tcPr>
            <w:tcW w:w="1985" w:type="dxa"/>
            <w:vAlign w:val="center"/>
          </w:tcPr>
          <w:p>
            <w:pPr>
              <w:jc w:val="center"/>
              <w:rPr>
                <w:rFonts w:eastAsia="仿宋_GB2312"/>
                <w:sz w:val="28"/>
                <w:szCs w:val="28"/>
              </w:rPr>
            </w:pPr>
            <w:r>
              <w:rPr>
                <w:rFonts w:eastAsia="仿宋_GB2312"/>
                <w:sz w:val="28"/>
                <w:szCs w:val="28"/>
              </w:rPr>
              <w:t>姓名</w:t>
            </w:r>
          </w:p>
        </w:tc>
        <w:tc>
          <w:tcPr>
            <w:tcW w:w="2268" w:type="dxa"/>
            <w:vAlign w:val="center"/>
          </w:tcPr>
          <w:p>
            <w:pPr>
              <w:jc w:val="center"/>
              <w:rPr>
                <w:rFonts w:eastAsia="仿宋_GB2312"/>
                <w:sz w:val="28"/>
                <w:szCs w:val="28"/>
              </w:rPr>
            </w:pPr>
            <w:r>
              <w:rPr>
                <w:rFonts w:eastAsia="仿宋_GB2312"/>
                <w:sz w:val="28"/>
                <w:szCs w:val="28"/>
              </w:rPr>
              <w:t>注册号</w:t>
            </w:r>
          </w:p>
        </w:tc>
        <w:tc>
          <w:tcPr>
            <w:tcW w:w="3118" w:type="dxa"/>
            <w:vAlign w:val="center"/>
          </w:tcPr>
          <w:p>
            <w:pPr>
              <w:jc w:val="center"/>
              <w:rPr>
                <w:rFonts w:eastAsia="仿宋_GB2312"/>
                <w:sz w:val="28"/>
                <w:szCs w:val="28"/>
              </w:rPr>
            </w:pPr>
            <w:r>
              <w:rPr>
                <w:rFonts w:eastAsia="仿宋_GB2312"/>
                <w:sz w:val="28"/>
                <w:szCs w:val="28"/>
              </w:rPr>
              <w:t>签名</w:t>
            </w:r>
          </w:p>
        </w:tc>
        <w:tc>
          <w:tcPr>
            <w:tcW w:w="1985" w:type="dxa"/>
            <w:vAlign w:val="center"/>
          </w:tcPr>
          <w:p>
            <w:pPr>
              <w:jc w:val="center"/>
              <w:rPr>
                <w:rFonts w:eastAsia="仿宋_GB2312"/>
                <w:sz w:val="28"/>
                <w:szCs w:val="28"/>
              </w:rPr>
            </w:pPr>
            <w:r>
              <w:rPr>
                <w:rFonts w:eastAsia="仿宋_GB2312"/>
                <w:sz w:val="28"/>
                <w:szCs w:val="28"/>
              </w:rPr>
              <w:t>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985" w:type="dxa"/>
            <w:vAlign w:val="center"/>
          </w:tcPr>
          <w:p>
            <w:pPr>
              <w:jc w:val="center"/>
              <w:rPr>
                <w:rFonts w:eastAsia="仿宋_GB2312"/>
                <w:sz w:val="28"/>
                <w:szCs w:val="28"/>
              </w:rPr>
            </w:pPr>
            <w:r>
              <w:rPr>
                <w:rFonts w:eastAsia="仿宋_GB2312"/>
                <w:sz w:val="28"/>
                <w:szCs w:val="28"/>
              </w:rPr>
              <w:t>白水彬</w:t>
            </w:r>
          </w:p>
        </w:tc>
        <w:tc>
          <w:tcPr>
            <w:tcW w:w="2268" w:type="dxa"/>
            <w:vAlign w:val="center"/>
          </w:tcPr>
          <w:p>
            <w:pPr>
              <w:jc w:val="center"/>
              <w:rPr>
                <w:rFonts w:eastAsia="仿宋_GB2312"/>
                <w:sz w:val="28"/>
                <w:szCs w:val="28"/>
              </w:rPr>
            </w:pPr>
            <w:r>
              <w:rPr>
                <w:rFonts w:eastAsia="仿宋_GB2312"/>
                <w:sz w:val="28"/>
                <w:szCs w:val="28"/>
              </w:rPr>
              <w:t>3720160039</w:t>
            </w:r>
          </w:p>
        </w:tc>
        <w:tc>
          <w:tcPr>
            <w:tcW w:w="3118" w:type="dxa"/>
            <w:vAlign w:val="center"/>
          </w:tcPr>
          <w:p>
            <w:pPr>
              <w:jc w:val="center"/>
              <w:rPr>
                <w:rFonts w:eastAsia="仿宋_GB2312"/>
                <w:sz w:val="28"/>
                <w:szCs w:val="28"/>
              </w:rPr>
            </w:pPr>
          </w:p>
        </w:tc>
        <w:tc>
          <w:tcPr>
            <w:tcW w:w="1985" w:type="dxa"/>
            <w:vAlign w:val="center"/>
          </w:tcPr>
          <w:p>
            <w:pPr>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985" w:type="dxa"/>
            <w:vAlign w:val="center"/>
          </w:tcPr>
          <w:p>
            <w:pPr>
              <w:jc w:val="center"/>
              <w:rPr>
                <w:rFonts w:eastAsia="仿宋_GB2312"/>
                <w:sz w:val="28"/>
                <w:szCs w:val="28"/>
              </w:rPr>
            </w:pPr>
            <w:r>
              <w:rPr>
                <w:rFonts w:eastAsia="仿宋_GB2312"/>
                <w:sz w:val="28"/>
                <w:szCs w:val="28"/>
              </w:rPr>
              <w:t>王西西</w:t>
            </w:r>
          </w:p>
        </w:tc>
        <w:tc>
          <w:tcPr>
            <w:tcW w:w="2268" w:type="dxa"/>
            <w:vAlign w:val="center"/>
          </w:tcPr>
          <w:p>
            <w:pPr>
              <w:jc w:val="center"/>
              <w:rPr>
                <w:rFonts w:eastAsia="仿宋_GB2312"/>
                <w:sz w:val="28"/>
                <w:szCs w:val="28"/>
              </w:rPr>
            </w:pPr>
            <w:r>
              <w:rPr>
                <w:rFonts w:eastAsia="仿宋_GB2312"/>
                <w:sz w:val="28"/>
                <w:szCs w:val="28"/>
              </w:rPr>
              <w:t>3720170044</w:t>
            </w:r>
          </w:p>
        </w:tc>
        <w:tc>
          <w:tcPr>
            <w:tcW w:w="3118" w:type="dxa"/>
            <w:vAlign w:val="center"/>
          </w:tcPr>
          <w:p>
            <w:pPr>
              <w:jc w:val="center"/>
              <w:rPr>
                <w:rFonts w:eastAsia="仿宋_GB2312"/>
                <w:sz w:val="28"/>
                <w:szCs w:val="28"/>
              </w:rPr>
            </w:pPr>
          </w:p>
        </w:tc>
        <w:tc>
          <w:tcPr>
            <w:tcW w:w="1985" w:type="dxa"/>
            <w:vAlign w:val="center"/>
          </w:tcPr>
          <w:p>
            <w:pPr>
              <w:jc w:val="center"/>
              <w:rPr>
                <w:rFonts w:eastAsia="仿宋_GB2312"/>
                <w:sz w:val="28"/>
                <w:szCs w:val="28"/>
              </w:rPr>
            </w:pPr>
          </w:p>
        </w:tc>
      </w:tr>
    </w:tbl>
    <w:p>
      <w:pPr>
        <w:pStyle w:val="2"/>
        <w:spacing w:before="0" w:after="0" w:line="360" w:lineRule="auto"/>
        <w:rPr>
          <w:szCs w:val="36"/>
        </w:rPr>
      </w:pPr>
      <w:bookmarkStart w:id="5" w:name="_Toc450140730"/>
      <w:bookmarkStart w:id="6" w:name="_Toc450851461"/>
    </w:p>
    <w:p>
      <w:pPr>
        <w:pStyle w:val="2"/>
        <w:spacing w:before="0" w:after="0" w:line="360" w:lineRule="auto"/>
        <w:rPr>
          <w:szCs w:val="36"/>
        </w:rPr>
      </w:pPr>
      <w:r>
        <w:rPr>
          <w:szCs w:val="36"/>
        </w:rPr>
        <w:t>估价假设和限制条件</w:t>
      </w:r>
      <w:bookmarkEnd w:id="5"/>
      <w:bookmarkEnd w:id="6"/>
    </w:p>
    <w:p>
      <w:pPr>
        <w:autoSpaceDE w:val="0"/>
        <w:autoSpaceDN w:val="0"/>
        <w:spacing w:line="360" w:lineRule="auto"/>
        <w:textAlignment w:val="bottom"/>
        <w:rPr>
          <w:rFonts w:eastAsia="仿宋_GB2312"/>
          <w:sz w:val="28"/>
          <w:szCs w:val="28"/>
        </w:rPr>
      </w:pPr>
    </w:p>
    <w:p>
      <w:pPr>
        <w:autoSpaceDE w:val="0"/>
        <w:autoSpaceDN w:val="0"/>
        <w:spacing w:line="360" w:lineRule="auto"/>
        <w:textAlignment w:val="bottom"/>
        <w:rPr>
          <w:rFonts w:eastAsia="仿宋_GB2312"/>
          <w:sz w:val="28"/>
          <w:szCs w:val="28"/>
        </w:rPr>
      </w:pPr>
      <w:r>
        <w:rPr>
          <w:rFonts w:eastAsia="仿宋_GB2312"/>
          <w:sz w:val="28"/>
          <w:szCs w:val="28"/>
        </w:rPr>
        <w:t>一、本次估价的一般假设：</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1、估价对象产权明晰，用途合法，布局完整，手续齐全，可在公开市场上自由转让。</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2、估价对象配套设备能正常使用、建筑质量符合安全标准、周围无环境污染，使用中无安全隐患。</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3、市场供应关系、市场结构保持稳定，未发生重大变化或实质性改变。</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4、本估价报告所出具的结果是公允的市场价值，即在价值时点预期能够成交的可能价格，它依据了以下假设：</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 xml:space="preserve">（1）在价值时点前，相对于物业的特性和房地产市场状况而言，有一段合理的谈判周期，在此周期内，市场状态和价值水平是静止不变的； </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（2）该物业可以在公开市场上自由转让，市场上存在自愿销售的卖者和自愿购买的买者；</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（3）不考虑特殊买家的附加出价，不考虑遇有不可抗力或未来市场变化风险和短期强制处分等因素。</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（4）未考虑价值时点以后结构质量、使用功能布局、设备安装和装修变化对估价结果的影响。</w:t>
      </w:r>
    </w:p>
    <w:p>
      <w:pPr>
        <w:autoSpaceDE w:val="0"/>
        <w:autoSpaceDN w:val="0"/>
        <w:spacing w:line="360" w:lineRule="auto"/>
        <w:textAlignment w:val="bottom"/>
        <w:rPr>
          <w:rFonts w:eastAsia="仿宋_GB2312"/>
          <w:sz w:val="28"/>
          <w:szCs w:val="28"/>
        </w:rPr>
      </w:pPr>
      <w:r>
        <w:rPr>
          <w:rFonts w:hint="eastAsia" w:eastAsia="仿宋_GB2312"/>
          <w:sz w:val="28"/>
          <w:szCs w:val="28"/>
        </w:rPr>
        <w:t>二</w:t>
      </w:r>
      <w:r>
        <w:rPr>
          <w:rFonts w:eastAsia="仿宋_GB2312"/>
          <w:sz w:val="28"/>
          <w:szCs w:val="28"/>
        </w:rPr>
        <w:t>、背离事实假设：</w:t>
      </w:r>
    </w:p>
    <w:p>
      <w:pPr>
        <w:autoSpaceDE w:val="0"/>
        <w:autoSpaceDN w:val="0"/>
        <w:spacing w:line="360" w:lineRule="auto"/>
        <w:ind w:firstLine="560" w:firstLineChars="200"/>
        <w:textAlignment w:val="bottom"/>
        <w:rPr>
          <w:rFonts w:hint="eastAsia" w:eastAsia="仿宋_GB2312"/>
          <w:sz w:val="28"/>
          <w:szCs w:val="28"/>
          <w:lang w:val="en-US" w:eastAsia="zh-CN"/>
        </w:rPr>
      </w:pPr>
      <w:r>
        <w:rPr>
          <w:rFonts w:hint="eastAsia" w:eastAsia="仿宋_GB2312"/>
          <w:sz w:val="28"/>
          <w:szCs w:val="28"/>
          <w:lang w:val="en-US" w:eastAsia="zh-CN"/>
        </w:rPr>
        <w:t>1、</w:t>
      </w:r>
      <w:r>
        <w:rPr>
          <w:rFonts w:hint="eastAsia" w:eastAsia="仿宋_GB2312"/>
          <w:sz w:val="28"/>
          <w:szCs w:val="28"/>
          <w:highlight w:val="none"/>
          <w:lang w:val="en-US" w:eastAsia="zh-CN"/>
        </w:rPr>
        <w:t>现场勘查时评估人员未能进入室内勘查，</w:t>
      </w:r>
      <w:r>
        <w:rPr>
          <w:rFonts w:hint="eastAsia" w:eastAsia="仿宋_GB2312"/>
          <w:sz w:val="28"/>
          <w:szCs w:val="28"/>
          <w:highlight w:val="none"/>
        </w:rPr>
        <w:t>本次评估假设估价对象装修状况为</w:t>
      </w:r>
      <w:r>
        <w:rPr>
          <w:rFonts w:hint="eastAsia" w:eastAsia="仿宋_GB2312"/>
          <w:sz w:val="28"/>
          <w:szCs w:val="28"/>
          <w:highlight w:val="none"/>
          <w:lang w:val="en-US" w:eastAsia="zh-CN"/>
        </w:rPr>
        <w:t>毛坯</w:t>
      </w:r>
      <w:r>
        <w:rPr>
          <w:rFonts w:hint="eastAsia" w:eastAsia="仿宋_GB2312"/>
          <w:sz w:val="28"/>
          <w:szCs w:val="28"/>
          <w:highlight w:val="none"/>
        </w:rPr>
        <w:t>。</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lang w:val="en-US" w:eastAsia="zh-CN"/>
        </w:rPr>
        <w:t>2、</w:t>
      </w:r>
      <w:r>
        <w:rPr>
          <w:rFonts w:eastAsia="仿宋_GB2312"/>
          <w:sz w:val="28"/>
          <w:szCs w:val="28"/>
        </w:rPr>
        <w:t>根据委托方提供的资料，截至价值时点，估价对象已办理抵押权登记，而本次估价是以估价对象除租赁权之外无任何他项权利限制为假设前提，且未考虑形成该资产可能存在负债条件下计算得出的。</w:t>
      </w:r>
    </w:p>
    <w:p>
      <w:pPr>
        <w:autoSpaceDE w:val="0"/>
        <w:autoSpaceDN w:val="0"/>
        <w:spacing w:line="360" w:lineRule="auto"/>
        <w:textAlignment w:val="bottom"/>
        <w:rPr>
          <w:rFonts w:hint="eastAsia" w:eastAsia="仿宋_GB2312"/>
          <w:sz w:val="28"/>
          <w:szCs w:val="28"/>
        </w:rPr>
      </w:pPr>
    </w:p>
    <w:p>
      <w:pPr>
        <w:autoSpaceDE w:val="0"/>
        <w:autoSpaceDN w:val="0"/>
        <w:spacing w:line="360" w:lineRule="auto"/>
        <w:textAlignment w:val="bottom"/>
        <w:rPr>
          <w:rFonts w:eastAsia="仿宋_GB2312"/>
          <w:sz w:val="28"/>
          <w:szCs w:val="28"/>
        </w:rPr>
      </w:pPr>
      <w:r>
        <w:rPr>
          <w:rFonts w:hint="eastAsia" w:eastAsia="仿宋_GB2312"/>
          <w:sz w:val="28"/>
          <w:szCs w:val="28"/>
        </w:rPr>
        <w:t>三</w:t>
      </w:r>
      <w:r>
        <w:rPr>
          <w:rFonts w:eastAsia="仿宋_GB2312"/>
          <w:sz w:val="28"/>
          <w:szCs w:val="28"/>
        </w:rPr>
        <w:t>、报告使用限制：</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1、本估价报告所出具的结果仅供估价委托人作为执行案件的价值参考依据，不可用作其它用途。</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2、本估价报告所出具的结果为价值时点的房地产市场价值，随着时间的推移以及房地产市场状况的变化，该结果需作相应调整。本估价报告的应用有效期为自报告提交之日起壹年。</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3、本报告专为估价委托人所使用，未经本公司同意，不得向估价委托人和估价报告审查部门之外的单位和个人提供</w:t>
      </w:r>
      <w:r>
        <w:rPr>
          <w:rFonts w:hint="eastAsia" w:eastAsia="仿宋_GB2312"/>
          <w:sz w:val="28"/>
          <w:szCs w:val="28"/>
        </w:rPr>
        <w:t>；</w:t>
      </w:r>
      <w:r>
        <w:rPr>
          <w:rFonts w:eastAsia="仿宋_GB2312"/>
          <w:sz w:val="28"/>
          <w:szCs w:val="28"/>
        </w:rPr>
        <w:t>报告的全部或部分内容不得发表于任何公开媒体上。</w:t>
      </w:r>
    </w:p>
    <w:p>
      <w:pPr>
        <w:pStyle w:val="2"/>
        <w:spacing w:before="0" w:after="0" w:line="360" w:lineRule="auto"/>
        <w:rPr>
          <w:szCs w:val="36"/>
        </w:rPr>
      </w:pPr>
      <w:r>
        <w:rPr>
          <w:rFonts w:eastAsia="仿宋_GB2312"/>
          <w:sz w:val="28"/>
          <w:szCs w:val="28"/>
        </w:rPr>
        <w:br w:type="page"/>
      </w:r>
      <w:bookmarkStart w:id="7" w:name="_Toc450851462"/>
      <w:bookmarkStart w:id="8" w:name="_Toc450140731"/>
      <w:r>
        <w:rPr>
          <w:szCs w:val="36"/>
        </w:rPr>
        <w:t>估价结果报告</w:t>
      </w:r>
      <w:bookmarkEnd w:id="7"/>
      <w:bookmarkEnd w:id="8"/>
    </w:p>
    <w:p>
      <w:pPr>
        <w:pStyle w:val="3"/>
        <w:spacing w:before="0" w:after="0" w:line="360" w:lineRule="auto"/>
        <w:rPr>
          <w:rFonts w:ascii="Times New Roman" w:hAnsi="Times New Roman" w:eastAsia="仿宋_GB2312"/>
          <w:sz w:val="30"/>
          <w:szCs w:val="30"/>
        </w:rPr>
      </w:pPr>
      <w:bookmarkStart w:id="9" w:name="_Toc450851463"/>
      <w:bookmarkStart w:id="10" w:name="_Toc450140732"/>
      <w:r>
        <w:rPr>
          <w:rFonts w:ascii="Times New Roman" w:hAnsi="Times New Roman" w:eastAsia="仿宋_GB2312"/>
          <w:sz w:val="30"/>
          <w:szCs w:val="30"/>
        </w:rPr>
        <w:t>一、估价委托人</w:t>
      </w:r>
      <w:bookmarkEnd w:id="9"/>
      <w:bookmarkEnd w:id="10"/>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名称：青岛市城阳区人民法院</w:t>
      </w:r>
      <w:bookmarkStart w:id="11" w:name="_Toc450140733"/>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地址：青岛市城阳区正阳路199号</w:t>
      </w:r>
    </w:p>
    <w:p>
      <w:pPr>
        <w:pStyle w:val="3"/>
        <w:spacing w:before="0" w:after="0" w:line="360" w:lineRule="auto"/>
        <w:rPr>
          <w:rFonts w:ascii="Times New Roman" w:hAnsi="Times New Roman" w:eastAsia="仿宋_GB2312"/>
          <w:sz w:val="30"/>
          <w:szCs w:val="30"/>
        </w:rPr>
      </w:pPr>
      <w:bookmarkStart w:id="12" w:name="_Toc450851464"/>
      <w:r>
        <w:rPr>
          <w:rFonts w:ascii="Times New Roman" w:hAnsi="Times New Roman" w:eastAsia="仿宋_GB2312"/>
          <w:sz w:val="30"/>
          <w:szCs w:val="30"/>
        </w:rPr>
        <w:t>二、房地产估价机构</w:t>
      </w:r>
      <w:bookmarkEnd w:id="11"/>
      <w:bookmarkEnd w:id="12"/>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单位名称：青岛衡信土地房地产评估咨询有限公司</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地址：青岛市市北区合肥路16号</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法定代表人：刘玲玲</w:t>
      </w:r>
    </w:p>
    <w:p>
      <w:pPr>
        <w:autoSpaceDE w:val="0"/>
        <w:autoSpaceDN w:val="0"/>
        <w:spacing w:line="360" w:lineRule="auto"/>
        <w:ind w:firstLine="560" w:firstLineChars="200"/>
        <w:textAlignment w:val="bottom"/>
        <w:rPr>
          <w:rFonts w:hint="eastAsia" w:eastAsia="仿宋_GB2312"/>
          <w:sz w:val="28"/>
          <w:szCs w:val="28"/>
          <w:lang w:eastAsia="zh-CN"/>
        </w:rPr>
      </w:pPr>
      <w:r>
        <w:rPr>
          <w:rFonts w:eastAsia="仿宋_GB2312"/>
          <w:sz w:val="28"/>
          <w:szCs w:val="28"/>
        </w:rPr>
        <w:t>资质等级：</w:t>
      </w:r>
      <w:r>
        <w:rPr>
          <w:rFonts w:hint="eastAsia" w:eastAsia="仿宋_GB2312"/>
          <w:sz w:val="28"/>
          <w:szCs w:val="28"/>
          <w:lang w:val="en-US" w:eastAsia="zh-CN"/>
        </w:rPr>
        <w:t>贰级</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联 系 人：刘光磊</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联系电话：0532-82657975</w:t>
      </w:r>
    </w:p>
    <w:p>
      <w:pPr>
        <w:pStyle w:val="3"/>
        <w:spacing w:before="0" w:after="0" w:line="360" w:lineRule="auto"/>
        <w:rPr>
          <w:rFonts w:ascii="Times New Roman" w:hAnsi="Times New Roman" w:eastAsia="仿宋_GB2312"/>
          <w:sz w:val="30"/>
          <w:szCs w:val="30"/>
        </w:rPr>
      </w:pPr>
      <w:bookmarkStart w:id="13" w:name="_Toc450140734"/>
      <w:bookmarkStart w:id="14" w:name="_Toc450851465"/>
      <w:r>
        <w:rPr>
          <w:rFonts w:ascii="Times New Roman" w:hAnsi="Times New Roman" w:eastAsia="仿宋_GB2312"/>
          <w:sz w:val="30"/>
          <w:szCs w:val="30"/>
        </w:rPr>
        <w:t>三、估价目的</w:t>
      </w:r>
      <w:bookmarkEnd w:id="13"/>
      <w:bookmarkEnd w:id="14"/>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本次估价目的是根据估价委托人的要求对</w:t>
      </w:r>
      <w:r>
        <w:rPr>
          <w:rFonts w:hint="eastAsia" w:eastAsia="仿宋_GB2312"/>
          <w:sz w:val="28"/>
          <w:szCs w:val="28"/>
          <w:lang w:eastAsia="zh-CN"/>
        </w:rPr>
        <w:t>绍先海</w:t>
      </w:r>
      <w:r>
        <w:rPr>
          <w:rFonts w:eastAsia="仿宋_GB2312"/>
          <w:sz w:val="28"/>
          <w:szCs w:val="28"/>
        </w:rPr>
        <w:t>所有的位于青岛市城阳区</w:t>
      </w:r>
      <w:r>
        <w:rPr>
          <w:rFonts w:hint="eastAsia" w:eastAsia="仿宋_GB2312"/>
          <w:color w:val="000000"/>
          <w:sz w:val="28"/>
          <w:szCs w:val="28"/>
          <w:lang w:eastAsia="zh-CN"/>
        </w:rPr>
        <w:t>双元路18号160号楼2单元701户</w:t>
      </w:r>
      <w:r>
        <w:rPr>
          <w:rFonts w:eastAsia="仿宋_GB2312"/>
          <w:sz w:val="28"/>
          <w:szCs w:val="28"/>
        </w:rPr>
        <w:t>房地产价值进行评估，确定上述房地产在价值时点的市场价值，为法院执行案件提供价值参考依据。</w:t>
      </w:r>
    </w:p>
    <w:p>
      <w:pPr>
        <w:pStyle w:val="3"/>
        <w:spacing w:before="0" w:after="0" w:line="360" w:lineRule="auto"/>
        <w:rPr>
          <w:rFonts w:ascii="Times New Roman" w:hAnsi="Times New Roman" w:eastAsia="仿宋_GB2312"/>
          <w:sz w:val="30"/>
          <w:szCs w:val="30"/>
        </w:rPr>
      </w:pPr>
      <w:bookmarkStart w:id="15" w:name="_Toc450851466"/>
      <w:bookmarkStart w:id="16" w:name="_Toc450140735"/>
      <w:r>
        <w:rPr>
          <w:rFonts w:ascii="Times New Roman" w:hAnsi="Times New Roman" w:eastAsia="仿宋_GB2312"/>
          <w:sz w:val="30"/>
          <w:szCs w:val="30"/>
        </w:rPr>
        <w:t>四、估价对象</w:t>
      </w:r>
      <w:bookmarkEnd w:id="15"/>
      <w:bookmarkEnd w:id="16"/>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1、估价对象概况</w:t>
      </w:r>
    </w:p>
    <w:p>
      <w:pPr>
        <w:autoSpaceDE w:val="0"/>
        <w:autoSpaceDN w:val="0"/>
        <w:spacing w:line="360" w:lineRule="auto"/>
        <w:ind w:right="2" w:firstLine="537" w:firstLineChars="192"/>
        <w:jc w:val="both"/>
        <w:textAlignment w:val="bottom"/>
        <w:rPr>
          <w:rFonts w:eastAsia="仿宋_GB2312"/>
          <w:sz w:val="28"/>
          <w:szCs w:val="28"/>
        </w:rPr>
      </w:pPr>
      <w:r>
        <w:rPr>
          <w:rFonts w:eastAsia="仿宋_GB2312"/>
          <w:sz w:val="28"/>
          <w:szCs w:val="28"/>
        </w:rPr>
        <w:t>估价对象为</w:t>
      </w:r>
      <w:r>
        <w:rPr>
          <w:rFonts w:hint="eastAsia" w:eastAsia="仿宋_GB2312"/>
          <w:sz w:val="28"/>
          <w:szCs w:val="28"/>
          <w:lang w:eastAsia="zh-CN"/>
        </w:rPr>
        <w:t>绍先海</w:t>
      </w:r>
      <w:r>
        <w:rPr>
          <w:rFonts w:eastAsia="仿宋_GB2312"/>
          <w:sz w:val="28"/>
          <w:szCs w:val="28"/>
        </w:rPr>
        <w:t>所有的位于青岛市城阳区</w:t>
      </w:r>
      <w:r>
        <w:rPr>
          <w:rFonts w:hint="eastAsia" w:eastAsia="仿宋_GB2312"/>
          <w:color w:val="000000"/>
          <w:sz w:val="28"/>
          <w:szCs w:val="28"/>
          <w:lang w:eastAsia="zh-CN"/>
        </w:rPr>
        <w:t>双元路18号160号楼2单元701户</w:t>
      </w:r>
      <w:r>
        <w:rPr>
          <w:rFonts w:eastAsia="仿宋_GB2312"/>
          <w:sz w:val="28"/>
          <w:szCs w:val="28"/>
        </w:rPr>
        <w:t>房地产，根据估价委托人提供的《</w:t>
      </w:r>
      <w:r>
        <w:rPr>
          <w:rFonts w:hint="eastAsia" w:eastAsia="仿宋_GB2312"/>
          <w:sz w:val="28"/>
          <w:szCs w:val="28"/>
          <w:lang w:eastAsia="zh-CN"/>
        </w:rPr>
        <w:t>青岛市房地产登记簿</w:t>
      </w:r>
      <w:r>
        <w:rPr>
          <w:rFonts w:eastAsia="仿宋_GB2312"/>
          <w:sz w:val="28"/>
          <w:szCs w:val="28"/>
        </w:rPr>
        <w:t>》，估价对象房地产权利人为</w:t>
      </w:r>
      <w:r>
        <w:rPr>
          <w:rFonts w:hint="eastAsia" w:eastAsia="仿宋_GB2312"/>
          <w:sz w:val="28"/>
          <w:szCs w:val="28"/>
          <w:lang w:eastAsia="zh-CN"/>
        </w:rPr>
        <w:t>绍先海</w:t>
      </w:r>
      <w:r>
        <w:rPr>
          <w:rFonts w:eastAsia="仿宋_GB2312"/>
          <w:sz w:val="28"/>
          <w:szCs w:val="28"/>
        </w:rPr>
        <w:t>，</w:t>
      </w:r>
      <w:r>
        <w:rPr>
          <w:rFonts w:hint="eastAsia" w:eastAsia="仿宋_GB2312"/>
          <w:sz w:val="28"/>
          <w:szCs w:val="28"/>
          <w:lang w:val="en-US" w:eastAsia="zh-CN"/>
        </w:rPr>
        <w:t>房地产证号为市201584538，</w:t>
      </w:r>
      <w:r>
        <w:rPr>
          <w:rFonts w:eastAsia="仿宋_GB2312"/>
          <w:sz w:val="28"/>
          <w:szCs w:val="28"/>
        </w:rPr>
        <w:t>房屋结构为</w:t>
      </w:r>
      <w:r>
        <w:rPr>
          <w:rFonts w:hint="eastAsia" w:eastAsia="仿宋_GB2312"/>
          <w:sz w:val="28"/>
          <w:szCs w:val="28"/>
        </w:rPr>
        <w:t>钢混</w:t>
      </w:r>
      <w:r>
        <w:rPr>
          <w:rFonts w:eastAsia="仿宋_GB2312"/>
          <w:sz w:val="28"/>
          <w:szCs w:val="28"/>
        </w:rPr>
        <w:t>，</w:t>
      </w:r>
      <w:r>
        <w:rPr>
          <w:rFonts w:hint="eastAsia" w:eastAsia="仿宋_GB2312"/>
          <w:sz w:val="28"/>
          <w:szCs w:val="28"/>
          <w:lang w:eastAsia="zh-CN"/>
        </w:rPr>
        <w:t>建筑面积为84.44平方米</w:t>
      </w:r>
      <w:r>
        <w:rPr>
          <w:rFonts w:eastAsia="仿宋_GB2312"/>
          <w:sz w:val="28"/>
          <w:szCs w:val="28"/>
        </w:rPr>
        <w:t>，</w:t>
      </w:r>
      <w:r>
        <w:rPr>
          <w:rFonts w:hint="eastAsia" w:eastAsia="仿宋_GB2312"/>
          <w:sz w:val="28"/>
          <w:szCs w:val="28"/>
        </w:rPr>
        <w:t>房屋类型为成套住宅</w:t>
      </w:r>
      <w:r>
        <w:rPr>
          <w:rFonts w:eastAsia="仿宋_GB2312"/>
          <w:sz w:val="28"/>
          <w:szCs w:val="28"/>
        </w:rPr>
        <w:t>。</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根据实地查勘，估价对象所在小区为</w:t>
      </w:r>
      <w:r>
        <w:rPr>
          <w:rFonts w:hint="eastAsia" w:eastAsia="仿宋_GB2312"/>
          <w:sz w:val="28"/>
          <w:szCs w:val="28"/>
          <w:lang w:eastAsia="zh-CN"/>
        </w:rPr>
        <w:t>卓越蔚蓝群岛</w:t>
      </w:r>
      <w:r>
        <w:rPr>
          <w:rFonts w:eastAsia="仿宋_GB2312"/>
          <w:sz w:val="28"/>
          <w:szCs w:val="28"/>
        </w:rPr>
        <w:t>小区，现状用途为住宅，周边多为住宅小区；距离</w:t>
      </w:r>
      <w:r>
        <w:rPr>
          <w:rFonts w:hint="eastAsia" w:eastAsia="仿宋_GB2312"/>
          <w:sz w:val="28"/>
          <w:szCs w:val="28"/>
          <w:lang w:val="en-US" w:eastAsia="zh-CN"/>
        </w:rPr>
        <w:t>青兰高速</w:t>
      </w:r>
      <w:r>
        <w:rPr>
          <w:rFonts w:eastAsia="仿宋_GB2312"/>
          <w:sz w:val="28"/>
          <w:szCs w:val="28"/>
        </w:rPr>
        <w:t>较近，对外交通状况良好，附近有</w:t>
      </w:r>
      <w:r>
        <w:rPr>
          <w:rFonts w:hint="eastAsia" w:eastAsia="仿宋_GB2312"/>
          <w:sz w:val="28"/>
          <w:szCs w:val="28"/>
          <w:lang w:val="en-US" w:eastAsia="zh-CN"/>
        </w:rPr>
        <w:t>934</w:t>
      </w:r>
      <w:r>
        <w:rPr>
          <w:rFonts w:eastAsia="仿宋_GB2312"/>
          <w:sz w:val="28"/>
          <w:szCs w:val="28"/>
        </w:rPr>
        <w:t>路、</w:t>
      </w:r>
      <w:r>
        <w:rPr>
          <w:rFonts w:hint="eastAsia" w:eastAsia="仿宋_GB2312"/>
          <w:sz w:val="28"/>
          <w:szCs w:val="28"/>
          <w:lang w:val="en-US" w:eastAsia="zh-CN"/>
        </w:rPr>
        <w:t>122</w:t>
      </w:r>
      <w:r>
        <w:rPr>
          <w:rFonts w:eastAsia="仿宋_GB2312"/>
          <w:sz w:val="28"/>
          <w:szCs w:val="28"/>
        </w:rPr>
        <w:t>路、</w:t>
      </w:r>
      <w:r>
        <w:rPr>
          <w:rFonts w:hint="eastAsia" w:eastAsia="仿宋_GB2312"/>
          <w:sz w:val="28"/>
          <w:szCs w:val="28"/>
          <w:lang w:val="en-US" w:eastAsia="zh-CN"/>
        </w:rPr>
        <w:t>733</w:t>
      </w:r>
      <w:r>
        <w:rPr>
          <w:rFonts w:eastAsia="仿宋_GB2312"/>
          <w:sz w:val="28"/>
          <w:szCs w:val="28"/>
        </w:rPr>
        <w:t>路等公共交通路线，公共交通较便捷；周边有宾馆、银行、学校等公共配套设施，公共配套设施较完善。</w:t>
      </w:r>
    </w:p>
    <w:p>
      <w:pPr>
        <w:autoSpaceDE w:val="0"/>
        <w:autoSpaceDN w:val="0"/>
        <w:spacing w:line="360" w:lineRule="auto"/>
        <w:ind w:firstLine="560" w:firstLineChars="200"/>
        <w:textAlignment w:val="bottom"/>
        <w:rPr>
          <w:rFonts w:eastAsia="仿宋_GB2312"/>
          <w:sz w:val="28"/>
          <w:szCs w:val="28"/>
        </w:rPr>
      </w:pP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2、土地基本状况</w:t>
      </w:r>
    </w:p>
    <w:p>
      <w:pPr>
        <w:autoSpaceDE w:val="0"/>
        <w:autoSpaceDN w:val="0"/>
        <w:spacing w:line="360" w:lineRule="auto"/>
        <w:ind w:firstLine="560" w:firstLineChars="200"/>
        <w:textAlignment w:val="bottom"/>
        <w:rPr>
          <w:rFonts w:hint="eastAsia" w:eastAsia="仿宋_GB2312"/>
          <w:sz w:val="28"/>
        </w:rPr>
      </w:pPr>
      <w:r>
        <w:rPr>
          <w:rFonts w:eastAsia="仿宋_GB2312"/>
          <w:sz w:val="28"/>
          <w:szCs w:val="28"/>
        </w:rPr>
        <w:t>根据估价委托人提供的《</w:t>
      </w:r>
      <w:r>
        <w:rPr>
          <w:rFonts w:hint="eastAsia" w:eastAsia="仿宋_GB2312"/>
          <w:sz w:val="28"/>
          <w:szCs w:val="28"/>
          <w:lang w:eastAsia="zh-CN"/>
        </w:rPr>
        <w:t>青岛市房地产登记簿</w:t>
      </w:r>
      <w:r>
        <w:rPr>
          <w:rFonts w:eastAsia="仿宋_GB2312"/>
          <w:sz w:val="28"/>
          <w:szCs w:val="28"/>
        </w:rPr>
        <w:t>》，估价对象</w:t>
      </w:r>
      <w:r>
        <w:rPr>
          <w:rFonts w:hint="eastAsia" w:eastAsia="仿宋_GB2312"/>
          <w:sz w:val="28"/>
          <w:szCs w:val="28"/>
        </w:rPr>
        <w:t>所在</w:t>
      </w:r>
      <w:r>
        <w:rPr>
          <w:rFonts w:eastAsia="仿宋_GB2312"/>
          <w:sz w:val="28"/>
        </w:rPr>
        <w:t>土地</w:t>
      </w:r>
      <w:r>
        <w:rPr>
          <w:rFonts w:hint="eastAsia" w:eastAsia="仿宋_GB2312"/>
          <w:sz w:val="28"/>
        </w:rPr>
        <w:t>使用权</w:t>
      </w:r>
      <w:r>
        <w:rPr>
          <w:rFonts w:hint="eastAsia" w:eastAsia="仿宋_GB2312"/>
          <w:sz w:val="28"/>
          <w:lang w:val="en-US" w:eastAsia="zh-CN"/>
        </w:rPr>
        <w:t>类型</w:t>
      </w:r>
      <w:r>
        <w:rPr>
          <w:rFonts w:hint="eastAsia" w:eastAsia="仿宋_GB2312"/>
          <w:sz w:val="28"/>
        </w:rPr>
        <w:t>为出让，</w:t>
      </w:r>
      <w:r>
        <w:rPr>
          <w:rFonts w:hint="eastAsia" w:eastAsia="仿宋_GB2312"/>
          <w:sz w:val="28"/>
          <w:szCs w:val="28"/>
        </w:rPr>
        <w:t>地号：</w:t>
      </w:r>
      <w:r>
        <w:rPr>
          <w:rFonts w:hint="eastAsia" w:eastAsia="仿宋_GB2312"/>
          <w:sz w:val="28"/>
          <w:szCs w:val="28"/>
          <w:lang w:eastAsia="zh-CN"/>
        </w:rPr>
        <w:t>1400300300021000</w:t>
      </w:r>
      <w:r>
        <w:rPr>
          <w:rFonts w:hint="eastAsia" w:eastAsia="仿宋_GB2312"/>
          <w:sz w:val="28"/>
          <w:szCs w:val="28"/>
        </w:rPr>
        <w:t>，</w:t>
      </w:r>
      <w:r>
        <w:rPr>
          <w:rFonts w:eastAsia="仿宋_GB2312"/>
          <w:sz w:val="28"/>
        </w:rPr>
        <w:t>土地使用期限</w:t>
      </w:r>
      <w:r>
        <w:rPr>
          <w:rFonts w:hint="eastAsia" w:eastAsia="仿宋_GB2312"/>
          <w:sz w:val="28"/>
          <w:lang w:val="en-US" w:eastAsia="zh-CN"/>
        </w:rPr>
        <w:t>到2076年11月2日止</w:t>
      </w:r>
      <w:r>
        <w:rPr>
          <w:rFonts w:hint="eastAsia" w:eastAsia="仿宋_GB2312"/>
          <w:sz w:val="28"/>
        </w:rPr>
        <w:t>，土地批准用途为城镇</w:t>
      </w:r>
      <w:r>
        <w:rPr>
          <w:rFonts w:hint="eastAsia" w:eastAsia="仿宋_GB2312"/>
          <w:sz w:val="28"/>
          <w:lang w:val="en-US" w:eastAsia="zh-CN"/>
        </w:rPr>
        <w:t>单一</w:t>
      </w:r>
      <w:r>
        <w:rPr>
          <w:rFonts w:hint="eastAsia" w:eastAsia="仿宋_GB2312"/>
          <w:sz w:val="28"/>
        </w:rPr>
        <w:t>住宅用地。</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w:t>
      </w:r>
      <w:r>
        <w:rPr>
          <w:rFonts w:hint="eastAsia" w:eastAsia="仿宋_GB2312"/>
          <w:sz w:val="28"/>
          <w:szCs w:val="28"/>
        </w:rPr>
        <w:t>委托方提供资料及</w:t>
      </w:r>
      <w:r>
        <w:rPr>
          <w:rFonts w:eastAsia="仿宋_GB2312"/>
          <w:sz w:val="28"/>
          <w:szCs w:val="28"/>
        </w:rPr>
        <w:t>实地查勘情况，估价对象所在宗地东至</w:t>
      </w:r>
      <w:r>
        <w:rPr>
          <w:rFonts w:hint="eastAsia" w:eastAsia="仿宋_GB2312"/>
          <w:sz w:val="28"/>
          <w:szCs w:val="28"/>
          <w:lang w:val="en-US" w:eastAsia="zh-CN"/>
        </w:rPr>
        <w:t>长江</w:t>
      </w:r>
      <w:r>
        <w:rPr>
          <w:rFonts w:eastAsia="仿宋_GB2312"/>
          <w:sz w:val="28"/>
          <w:szCs w:val="28"/>
        </w:rPr>
        <w:t>路、南至</w:t>
      </w:r>
      <w:r>
        <w:rPr>
          <w:rFonts w:hint="eastAsia" w:eastAsia="仿宋_GB2312"/>
          <w:sz w:val="28"/>
          <w:szCs w:val="28"/>
          <w:lang w:val="en-US" w:eastAsia="zh-CN"/>
        </w:rPr>
        <w:t>白沙河</w:t>
      </w:r>
      <w:r>
        <w:rPr>
          <w:rFonts w:hint="eastAsia" w:eastAsia="仿宋_GB2312"/>
          <w:sz w:val="28"/>
          <w:szCs w:val="28"/>
        </w:rPr>
        <w:t>路</w:t>
      </w:r>
      <w:r>
        <w:rPr>
          <w:rFonts w:eastAsia="仿宋_GB2312"/>
          <w:sz w:val="28"/>
          <w:szCs w:val="28"/>
        </w:rPr>
        <w:t>、</w:t>
      </w:r>
      <w:r>
        <w:rPr>
          <w:rFonts w:hint="eastAsia" w:eastAsia="仿宋_GB2312"/>
          <w:sz w:val="28"/>
          <w:szCs w:val="28"/>
          <w:lang w:val="en-US" w:eastAsia="zh-CN"/>
        </w:rPr>
        <w:t>西至通路、</w:t>
      </w:r>
      <w:r>
        <w:rPr>
          <w:rFonts w:eastAsia="仿宋_GB2312"/>
          <w:sz w:val="28"/>
          <w:szCs w:val="28"/>
        </w:rPr>
        <w:t>北至</w:t>
      </w:r>
      <w:r>
        <w:rPr>
          <w:rFonts w:hint="eastAsia" w:eastAsia="仿宋_GB2312"/>
          <w:sz w:val="28"/>
          <w:szCs w:val="28"/>
          <w:lang w:val="en-US" w:eastAsia="zh-CN"/>
        </w:rPr>
        <w:t>阿里山</w:t>
      </w:r>
      <w:r>
        <w:rPr>
          <w:rFonts w:hint="eastAsia" w:eastAsia="仿宋_GB2312"/>
          <w:sz w:val="28"/>
          <w:szCs w:val="28"/>
        </w:rPr>
        <w:t>路</w:t>
      </w:r>
      <w:r>
        <w:rPr>
          <w:rFonts w:eastAsia="仿宋_GB2312"/>
          <w:sz w:val="28"/>
          <w:szCs w:val="28"/>
        </w:rPr>
        <w:t>，</w:t>
      </w:r>
      <w:r>
        <w:rPr>
          <w:rFonts w:hint="eastAsia" w:eastAsia="仿宋_GB2312"/>
          <w:sz w:val="28"/>
        </w:rPr>
        <w:t>共用使用权面积</w:t>
      </w:r>
      <w:r>
        <w:rPr>
          <w:rFonts w:hint="eastAsia" w:eastAsia="仿宋_GB2312"/>
          <w:sz w:val="28"/>
          <w:lang w:val="en-US" w:eastAsia="zh-CN"/>
        </w:rPr>
        <w:t>101940</w:t>
      </w:r>
      <w:r>
        <w:rPr>
          <w:rFonts w:hint="eastAsia" w:eastAsia="仿宋_GB2312"/>
          <w:sz w:val="28"/>
        </w:rPr>
        <w:t>平方米，</w:t>
      </w:r>
      <w:r>
        <w:rPr>
          <w:rFonts w:eastAsia="仿宋_GB2312"/>
          <w:sz w:val="28"/>
          <w:szCs w:val="28"/>
        </w:rPr>
        <w:t>宗地</w:t>
      </w:r>
      <w:r>
        <w:rPr>
          <w:rFonts w:hint="eastAsia" w:eastAsia="仿宋_GB2312"/>
          <w:sz w:val="28"/>
          <w:szCs w:val="28"/>
        </w:rPr>
        <w:t>形状规则，地势较平坦，</w:t>
      </w:r>
      <w:r>
        <w:rPr>
          <w:rFonts w:eastAsia="仿宋_GB2312"/>
          <w:sz w:val="28"/>
          <w:szCs w:val="28"/>
        </w:rPr>
        <w:t>地质状况一般，地形条件一般。宗地内实际开发程度为七通一平（上水、下水、通路、通电、燃气、暖气、通讯，场地平整）。</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3、建筑物基本状况</w:t>
      </w:r>
    </w:p>
    <w:p>
      <w:pPr>
        <w:autoSpaceDE w:val="0"/>
        <w:autoSpaceDN w:val="0"/>
        <w:spacing w:line="360" w:lineRule="auto"/>
        <w:ind w:firstLine="560" w:firstLineChars="200"/>
        <w:textAlignment w:val="bottom"/>
        <w:rPr>
          <w:rFonts w:eastAsia="仿宋_GB2312"/>
          <w:sz w:val="30"/>
          <w:szCs w:val="30"/>
        </w:rPr>
      </w:pPr>
      <w:r>
        <w:rPr>
          <w:rFonts w:eastAsia="仿宋_GB2312"/>
          <w:sz w:val="28"/>
          <w:szCs w:val="28"/>
        </w:rPr>
        <w:t>根据实地查勘，估价对象所在建筑物地上共</w:t>
      </w:r>
      <w:r>
        <w:rPr>
          <w:rFonts w:hint="eastAsia" w:eastAsia="仿宋_GB2312"/>
          <w:sz w:val="28"/>
          <w:szCs w:val="28"/>
          <w:lang w:val="en-US" w:eastAsia="zh-CN"/>
        </w:rPr>
        <w:t>11</w:t>
      </w:r>
      <w:r>
        <w:rPr>
          <w:rFonts w:eastAsia="仿宋_GB2312"/>
          <w:sz w:val="28"/>
          <w:szCs w:val="28"/>
        </w:rPr>
        <w:t>层，房屋结构为</w:t>
      </w:r>
      <w:r>
        <w:rPr>
          <w:rFonts w:hint="eastAsia" w:eastAsia="仿宋_GB2312"/>
          <w:sz w:val="28"/>
          <w:szCs w:val="28"/>
        </w:rPr>
        <w:t>钢混</w:t>
      </w:r>
      <w:r>
        <w:rPr>
          <w:rFonts w:eastAsia="仿宋_GB2312"/>
          <w:sz w:val="28"/>
          <w:szCs w:val="28"/>
        </w:rPr>
        <w:t>结构，建成于20</w:t>
      </w:r>
      <w:r>
        <w:rPr>
          <w:rFonts w:hint="eastAsia" w:eastAsia="仿宋_GB2312"/>
          <w:sz w:val="28"/>
          <w:szCs w:val="28"/>
          <w:lang w:val="en-US" w:eastAsia="zh-CN"/>
        </w:rPr>
        <w:t>15</w:t>
      </w:r>
      <w:r>
        <w:rPr>
          <w:rFonts w:eastAsia="仿宋_GB2312"/>
          <w:sz w:val="28"/>
          <w:szCs w:val="28"/>
        </w:rPr>
        <w:t>年；楼座公共部位：外墙</w:t>
      </w:r>
      <w:r>
        <w:rPr>
          <w:rFonts w:hint="eastAsia" w:eastAsia="仿宋_GB2312"/>
          <w:sz w:val="28"/>
          <w:szCs w:val="28"/>
        </w:rPr>
        <w:t>刷涂料</w:t>
      </w:r>
      <w:r>
        <w:rPr>
          <w:rFonts w:eastAsia="仿宋_GB2312"/>
          <w:sz w:val="28"/>
          <w:szCs w:val="28"/>
        </w:rPr>
        <w:t>，内墙面</w:t>
      </w:r>
      <w:r>
        <w:rPr>
          <w:rFonts w:hint="eastAsia" w:eastAsia="仿宋_GB2312"/>
          <w:sz w:val="28"/>
          <w:szCs w:val="28"/>
          <w:lang w:val="en-US" w:eastAsia="zh-CN"/>
        </w:rPr>
        <w:t>贴瓷砖</w:t>
      </w:r>
      <w:r>
        <w:rPr>
          <w:rFonts w:eastAsia="仿宋_GB2312"/>
          <w:sz w:val="28"/>
          <w:szCs w:val="28"/>
        </w:rPr>
        <w:t>，</w:t>
      </w:r>
      <w:r>
        <w:rPr>
          <w:rFonts w:hint="eastAsia" w:eastAsia="仿宋_GB2312"/>
          <w:sz w:val="28"/>
          <w:szCs w:val="28"/>
          <w:lang w:val="en-US" w:eastAsia="zh-CN"/>
        </w:rPr>
        <w:t>地砖</w:t>
      </w:r>
      <w:r>
        <w:rPr>
          <w:rFonts w:eastAsia="仿宋_GB2312"/>
          <w:sz w:val="28"/>
          <w:szCs w:val="28"/>
        </w:rPr>
        <w:t>地面</w:t>
      </w:r>
      <w:r>
        <w:rPr>
          <w:rFonts w:hint="eastAsia" w:eastAsia="仿宋_GB2312"/>
          <w:sz w:val="28"/>
          <w:szCs w:val="28"/>
        </w:rPr>
        <w:t>，</w:t>
      </w:r>
      <w:r>
        <w:rPr>
          <w:rFonts w:eastAsia="仿宋_GB2312"/>
          <w:sz w:val="28"/>
          <w:szCs w:val="28"/>
        </w:rPr>
        <w:t>单元门为</w:t>
      </w:r>
      <w:r>
        <w:rPr>
          <w:rFonts w:hint="eastAsia" w:eastAsia="仿宋_GB2312"/>
          <w:sz w:val="28"/>
          <w:szCs w:val="28"/>
        </w:rPr>
        <w:t>铝合金玻璃</w:t>
      </w:r>
      <w:r>
        <w:rPr>
          <w:rFonts w:eastAsia="仿宋_GB2312"/>
          <w:sz w:val="28"/>
          <w:szCs w:val="28"/>
        </w:rPr>
        <w:t>防盗门，楼梯间为</w:t>
      </w:r>
      <w:r>
        <w:rPr>
          <w:rFonts w:hint="eastAsia" w:eastAsia="仿宋_GB2312"/>
          <w:sz w:val="28"/>
          <w:szCs w:val="28"/>
          <w:lang w:val="en-US" w:eastAsia="zh-CN"/>
        </w:rPr>
        <w:t>瓷砖</w:t>
      </w:r>
      <w:r>
        <w:rPr>
          <w:rFonts w:eastAsia="仿宋_GB2312"/>
          <w:sz w:val="28"/>
          <w:szCs w:val="28"/>
        </w:rPr>
        <w:t>踏步、</w:t>
      </w:r>
      <w:r>
        <w:rPr>
          <w:rFonts w:hint="eastAsia" w:eastAsia="仿宋_GB2312"/>
          <w:sz w:val="28"/>
          <w:szCs w:val="28"/>
        </w:rPr>
        <w:t>铁</w:t>
      </w:r>
      <w:r>
        <w:rPr>
          <w:rFonts w:eastAsia="仿宋_GB2312"/>
          <w:sz w:val="28"/>
          <w:szCs w:val="28"/>
        </w:rPr>
        <w:t>护栏，楼层布局为</w:t>
      </w:r>
      <w:r>
        <w:rPr>
          <w:rFonts w:hint="eastAsia" w:eastAsia="仿宋_GB2312"/>
          <w:sz w:val="28"/>
          <w:szCs w:val="28"/>
          <w:lang w:val="en-US" w:eastAsia="zh-CN"/>
        </w:rPr>
        <w:t>1</w:t>
      </w:r>
      <w:r>
        <w:rPr>
          <w:rFonts w:eastAsia="仿宋_GB2312"/>
          <w:sz w:val="28"/>
          <w:szCs w:val="28"/>
        </w:rPr>
        <w:t>梯</w:t>
      </w:r>
      <w:r>
        <w:rPr>
          <w:rFonts w:hint="eastAsia" w:eastAsia="仿宋_GB2312"/>
          <w:sz w:val="28"/>
          <w:szCs w:val="28"/>
          <w:lang w:val="en-US" w:eastAsia="zh-CN"/>
        </w:rPr>
        <w:t>2</w:t>
      </w:r>
      <w:r>
        <w:rPr>
          <w:rFonts w:eastAsia="仿宋_GB2312"/>
          <w:sz w:val="28"/>
          <w:szCs w:val="28"/>
        </w:rPr>
        <w:t>户。估价对象所在层数为</w:t>
      </w:r>
      <w:r>
        <w:rPr>
          <w:rFonts w:hint="eastAsia" w:eastAsia="仿宋_GB2312"/>
          <w:sz w:val="28"/>
          <w:szCs w:val="28"/>
          <w:lang w:val="en-US" w:eastAsia="zh-CN"/>
        </w:rPr>
        <w:t>7</w:t>
      </w:r>
      <w:r>
        <w:rPr>
          <w:rFonts w:eastAsia="仿宋_GB2312"/>
          <w:sz w:val="28"/>
          <w:szCs w:val="28"/>
        </w:rPr>
        <w:t>层，房屋入户门为防盗</w:t>
      </w:r>
      <w:r>
        <w:rPr>
          <w:rFonts w:hint="eastAsia" w:eastAsia="仿宋_GB2312"/>
          <w:sz w:val="28"/>
          <w:szCs w:val="28"/>
        </w:rPr>
        <w:t>木</w:t>
      </w:r>
      <w:r>
        <w:rPr>
          <w:rFonts w:eastAsia="仿宋_GB2312"/>
          <w:sz w:val="28"/>
          <w:szCs w:val="28"/>
        </w:rPr>
        <w:t>门，</w:t>
      </w:r>
      <w:r>
        <w:rPr>
          <w:rFonts w:hint="eastAsia" w:eastAsia="仿宋_GB2312"/>
          <w:sz w:val="28"/>
          <w:szCs w:val="28"/>
          <w:lang w:val="en-US" w:eastAsia="zh-CN"/>
        </w:rPr>
        <w:t>因未能入户勘察，本次评估</w:t>
      </w:r>
      <w:r>
        <w:rPr>
          <w:rFonts w:eastAsia="仿宋_GB2312"/>
          <w:sz w:val="28"/>
          <w:szCs w:val="28"/>
        </w:rPr>
        <w:t>室内装修</w:t>
      </w:r>
      <w:bookmarkStart w:id="17" w:name="_Toc450851467"/>
      <w:bookmarkStart w:id="18" w:name="_Toc450140736"/>
      <w:r>
        <w:rPr>
          <w:rFonts w:hint="eastAsia" w:eastAsia="仿宋_GB2312"/>
          <w:sz w:val="28"/>
          <w:szCs w:val="28"/>
        </w:rPr>
        <w:t>设定为毛坯。</w:t>
      </w:r>
    </w:p>
    <w:p>
      <w:pPr>
        <w:pStyle w:val="3"/>
        <w:spacing w:before="0" w:after="0" w:line="360" w:lineRule="auto"/>
        <w:contextualSpacing/>
        <w:rPr>
          <w:rFonts w:ascii="Times New Roman" w:hAnsi="Times New Roman" w:eastAsia="仿宋_GB2312"/>
          <w:sz w:val="30"/>
          <w:szCs w:val="30"/>
        </w:rPr>
      </w:pPr>
      <w:r>
        <w:rPr>
          <w:rFonts w:ascii="Times New Roman" w:hAnsi="Times New Roman" w:eastAsia="仿宋_GB2312"/>
          <w:sz w:val="30"/>
          <w:szCs w:val="30"/>
        </w:rPr>
        <w:t>五、价值时点：</w:t>
      </w:r>
      <w:bookmarkEnd w:id="17"/>
      <w:bookmarkEnd w:id="18"/>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根据实地查勘日期，确定价值时点为</w:t>
      </w:r>
      <w:r>
        <w:rPr>
          <w:rFonts w:hint="eastAsia" w:eastAsia="仿宋_GB2312"/>
          <w:sz w:val="28"/>
          <w:szCs w:val="28"/>
          <w:lang w:eastAsia="zh-CN"/>
        </w:rPr>
        <w:t>2018年6月29日</w:t>
      </w:r>
      <w:r>
        <w:rPr>
          <w:rFonts w:eastAsia="仿宋_GB2312"/>
          <w:sz w:val="28"/>
          <w:szCs w:val="28"/>
        </w:rPr>
        <w:t>。</w:t>
      </w:r>
    </w:p>
    <w:p>
      <w:pPr>
        <w:pStyle w:val="3"/>
        <w:spacing w:before="0" w:after="0" w:line="360" w:lineRule="auto"/>
        <w:contextualSpacing/>
        <w:rPr>
          <w:rFonts w:ascii="Times New Roman" w:hAnsi="Times New Roman" w:eastAsia="仿宋_GB2312"/>
          <w:sz w:val="30"/>
          <w:szCs w:val="30"/>
        </w:rPr>
      </w:pPr>
      <w:bookmarkStart w:id="19" w:name="_Toc450851468"/>
      <w:bookmarkStart w:id="20" w:name="_Toc450140737"/>
      <w:r>
        <w:rPr>
          <w:rFonts w:ascii="Times New Roman" w:hAnsi="Times New Roman" w:eastAsia="仿宋_GB2312"/>
          <w:sz w:val="30"/>
          <w:szCs w:val="30"/>
        </w:rPr>
        <w:t>六、价值类型：</w:t>
      </w:r>
      <w:bookmarkEnd w:id="19"/>
      <w:bookmarkEnd w:id="20"/>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本次估价的结果为前述房地产在价值时点的公开市场价值。</w:t>
      </w:r>
    </w:p>
    <w:p>
      <w:pPr>
        <w:pStyle w:val="3"/>
        <w:spacing w:before="0" w:after="0" w:line="360" w:lineRule="auto"/>
        <w:contextualSpacing/>
        <w:rPr>
          <w:rFonts w:ascii="Times New Roman" w:hAnsi="Times New Roman" w:eastAsia="仿宋_GB2312"/>
          <w:sz w:val="30"/>
          <w:szCs w:val="30"/>
        </w:rPr>
      </w:pPr>
      <w:bookmarkStart w:id="21" w:name="_Toc450851469"/>
      <w:bookmarkStart w:id="22" w:name="_Toc450140738"/>
      <w:r>
        <w:rPr>
          <w:rFonts w:ascii="Times New Roman" w:hAnsi="Times New Roman" w:eastAsia="仿宋_GB2312"/>
          <w:sz w:val="30"/>
          <w:szCs w:val="30"/>
        </w:rPr>
        <w:t>七、估价原则：</w:t>
      </w:r>
      <w:bookmarkEnd w:id="21"/>
      <w:bookmarkEnd w:id="22"/>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本次估价遵循合法原则、独立、客观、公正原则、价值时点原则、替代原则、最高最佳利用原则等房地产估价原则。</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1、合法原则：</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合法原则要求房地产估价应以估价对象的合法权益为前提进行。合法权益包括合法产权、合法使用、合法处分等方面，在合法产权方面，应以房地产权属证书和有关证件为依据；在合法使用方面，应以城市规划、土地用途管制等为依据；在合法处分方面，应以法律、法规和合同等允许的处分方式为依据；在其他方面，如评估出的价格必须符合国家的价格政策。</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2、独立、客观、公正原则：</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独立、客观、公正原则要求注册房地产估价师站在中立的立场上，评估出对各方当事人来说均是公平合理的价格。</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3、价值时点原则：</w:t>
      </w:r>
    </w:p>
    <w:p>
      <w:pPr>
        <w:autoSpaceDE w:val="0"/>
        <w:autoSpaceDN w:val="0"/>
        <w:spacing w:line="360" w:lineRule="auto"/>
        <w:ind w:firstLine="536" w:firstLineChars="200"/>
        <w:textAlignment w:val="bottom"/>
        <w:rPr>
          <w:rFonts w:eastAsia="仿宋_GB2312"/>
          <w:spacing w:val="-6"/>
          <w:sz w:val="28"/>
          <w:szCs w:val="28"/>
        </w:rPr>
      </w:pPr>
      <w:r>
        <w:rPr>
          <w:rFonts w:eastAsia="仿宋_GB2312"/>
          <w:spacing w:val="-6"/>
          <w:sz w:val="28"/>
          <w:szCs w:val="28"/>
        </w:rPr>
        <w:t>房地产市场是不断变化的，房地产价格具有很强的时间性，它是某一时点上的价格。在不同时点，同一宗房地产往往会有不同的价格。价值时点原则是指求取某一时点上的价格，所以在评估一宗房地产的价格时，必须假定市场停止在价值时点上，同时估价对象房地产的状况通常也是以其在该时点的状况为准。</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4、替代原则：</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市场运行规律，在同一商品市场中，商品或提供服务的效用相同或大致相似时，价格低者吸引需求，即有两个以上互有替代性的商品或服务同时存在时，商品或服务的价格中经过相互影响与比较之后来确定的。房地产价格也同样遵循替代规律，受其它具有相同使用价值的房地产，即同类型具有替代可能的房地产价格所牵制。换言之，具有相同使用价值、替代可能的房地产之间，会相互影响和竞争，使价格相互牵制而趋于一致。</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5、最高最佳利用原则：</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所谓最高最佳利用是房地产在法律上允许、技术上可能、财务上可行并使价值最大的合理、可能的利用，包括最佳的用途、规模、档次等。它的一种具体表现，是以能使估价对象获利最多的用途和开发强度来衡量。这是因为在房地产市场中，每位房地产拥有者在主观上都试图充分地发挥房地产的潜力，采用最高最佳利用方式，取得最大的收益。</w:t>
      </w:r>
    </w:p>
    <w:p>
      <w:pPr>
        <w:pStyle w:val="3"/>
        <w:spacing w:before="0" w:after="0" w:line="360" w:lineRule="auto"/>
        <w:contextualSpacing/>
        <w:rPr>
          <w:rFonts w:ascii="Times New Roman" w:hAnsi="Times New Roman" w:eastAsia="仿宋_GB2312"/>
          <w:sz w:val="30"/>
          <w:szCs w:val="30"/>
        </w:rPr>
      </w:pPr>
      <w:bookmarkStart w:id="23" w:name="_Toc450851470"/>
      <w:bookmarkStart w:id="24" w:name="_Toc450140739"/>
      <w:r>
        <w:rPr>
          <w:rFonts w:ascii="Times New Roman" w:hAnsi="Times New Roman" w:eastAsia="仿宋_GB2312"/>
          <w:sz w:val="30"/>
          <w:szCs w:val="30"/>
        </w:rPr>
        <w:t>八、估价依据：</w:t>
      </w:r>
      <w:bookmarkEnd w:id="23"/>
      <w:bookmarkEnd w:id="24"/>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1、《中华人民共和国城市房地产管理法》；</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2、《中华人民共和国土地管理法》；</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3、</w:t>
      </w:r>
      <w:r>
        <w:rPr>
          <w:rFonts w:hint="eastAsia" w:eastAsia="仿宋_GB2312"/>
          <w:sz w:val="28"/>
          <w:szCs w:val="28"/>
        </w:rPr>
        <w:t>《中华人民共和国资产评估法》；</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4、</w:t>
      </w:r>
      <w:r>
        <w:rPr>
          <w:rFonts w:eastAsia="仿宋_GB2312"/>
          <w:sz w:val="28"/>
          <w:szCs w:val="28"/>
        </w:rPr>
        <w:t>中华人民共和国《房地产估价规范》（GB/T 50291-2015）；</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5</w:t>
      </w:r>
      <w:r>
        <w:rPr>
          <w:rFonts w:eastAsia="仿宋_GB2312"/>
          <w:sz w:val="28"/>
          <w:szCs w:val="28"/>
        </w:rPr>
        <w:t>、中华人民共和国《房地产估价基本术语标准》（GB/T 50899-2013）；</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6</w:t>
      </w:r>
      <w:r>
        <w:rPr>
          <w:rFonts w:eastAsia="仿宋_GB2312"/>
          <w:sz w:val="28"/>
          <w:szCs w:val="28"/>
        </w:rPr>
        <w:t>、《青岛市城市房屋估价管理暂行办法》；</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7</w:t>
      </w:r>
      <w:r>
        <w:rPr>
          <w:rFonts w:eastAsia="仿宋_GB2312"/>
          <w:sz w:val="28"/>
          <w:szCs w:val="28"/>
        </w:rPr>
        <w:t>、《青岛市城市房屋估价标准》；</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8</w:t>
      </w:r>
      <w:r>
        <w:rPr>
          <w:rFonts w:eastAsia="仿宋_GB2312"/>
          <w:sz w:val="28"/>
          <w:szCs w:val="28"/>
        </w:rPr>
        <w:t>、《青岛市各类房屋质量等级评定标准》；</w:t>
      </w:r>
    </w:p>
    <w:p>
      <w:pPr>
        <w:autoSpaceDE w:val="0"/>
        <w:autoSpaceDN w:val="0"/>
        <w:spacing w:line="360" w:lineRule="auto"/>
        <w:ind w:firstLine="560" w:firstLineChars="200"/>
        <w:textAlignment w:val="bottom"/>
        <w:rPr>
          <w:rFonts w:eastAsia="仿宋_GB2312"/>
          <w:sz w:val="28"/>
          <w:szCs w:val="28"/>
          <w:highlight w:val="none"/>
        </w:rPr>
      </w:pPr>
      <w:r>
        <w:rPr>
          <w:rFonts w:hint="eastAsia" w:eastAsia="仿宋_GB2312"/>
          <w:sz w:val="28"/>
          <w:szCs w:val="28"/>
        </w:rPr>
        <w:t>9</w:t>
      </w:r>
      <w:r>
        <w:rPr>
          <w:rFonts w:eastAsia="仿宋_GB2312"/>
          <w:sz w:val="28"/>
          <w:szCs w:val="28"/>
        </w:rPr>
        <w:t>、《司法鉴定流程管理和</w:t>
      </w:r>
      <w:r>
        <w:rPr>
          <w:rFonts w:eastAsia="仿宋_GB2312"/>
          <w:sz w:val="28"/>
          <w:szCs w:val="28"/>
          <w:highlight w:val="none"/>
        </w:rPr>
        <w:t>相关文书技术规范》；</w:t>
      </w:r>
    </w:p>
    <w:p>
      <w:pPr>
        <w:autoSpaceDE w:val="0"/>
        <w:autoSpaceDN w:val="0"/>
        <w:spacing w:line="360" w:lineRule="auto"/>
        <w:ind w:firstLine="560" w:firstLineChars="200"/>
        <w:textAlignment w:val="bottom"/>
        <w:rPr>
          <w:rFonts w:eastAsia="仿宋_GB2312"/>
          <w:sz w:val="28"/>
          <w:szCs w:val="28"/>
          <w:highlight w:val="none"/>
        </w:rPr>
      </w:pPr>
      <w:r>
        <w:rPr>
          <w:rFonts w:hint="eastAsia" w:eastAsia="仿宋_GB2312"/>
          <w:sz w:val="28"/>
          <w:szCs w:val="28"/>
          <w:highlight w:val="none"/>
        </w:rPr>
        <w:t>10</w:t>
      </w:r>
      <w:r>
        <w:rPr>
          <w:rFonts w:eastAsia="仿宋_GB2312"/>
          <w:sz w:val="28"/>
          <w:szCs w:val="28"/>
          <w:highlight w:val="none"/>
        </w:rPr>
        <w:t>、《司法鉴定委托书》（（201</w:t>
      </w:r>
      <w:r>
        <w:rPr>
          <w:rFonts w:hint="eastAsia" w:eastAsia="仿宋_GB2312"/>
          <w:sz w:val="28"/>
          <w:szCs w:val="28"/>
          <w:highlight w:val="none"/>
          <w:lang w:val="en-US" w:eastAsia="zh-CN"/>
        </w:rPr>
        <w:t>8</w:t>
      </w:r>
      <w:r>
        <w:rPr>
          <w:rFonts w:eastAsia="仿宋_GB2312"/>
          <w:sz w:val="28"/>
          <w:szCs w:val="28"/>
          <w:highlight w:val="none"/>
        </w:rPr>
        <w:t>）鲁0214法司鉴</w:t>
      </w:r>
      <w:r>
        <w:rPr>
          <w:rFonts w:hint="eastAsia" w:eastAsia="仿宋_GB2312"/>
          <w:sz w:val="28"/>
          <w:szCs w:val="28"/>
          <w:highlight w:val="none"/>
          <w:lang w:val="en-US" w:eastAsia="zh-CN"/>
        </w:rPr>
        <w:t>677</w:t>
      </w:r>
      <w:r>
        <w:rPr>
          <w:rFonts w:eastAsia="仿宋_GB2312"/>
          <w:sz w:val="28"/>
          <w:szCs w:val="28"/>
          <w:highlight w:val="none"/>
        </w:rPr>
        <w:t>号）；</w:t>
      </w:r>
    </w:p>
    <w:p>
      <w:pPr>
        <w:autoSpaceDE w:val="0"/>
        <w:autoSpaceDN w:val="0"/>
        <w:spacing w:line="360" w:lineRule="auto"/>
        <w:ind w:firstLine="560" w:firstLineChars="200"/>
        <w:textAlignment w:val="bottom"/>
        <w:rPr>
          <w:rFonts w:eastAsia="仿宋_GB2312"/>
          <w:sz w:val="28"/>
          <w:szCs w:val="28"/>
          <w:highlight w:val="none"/>
        </w:rPr>
      </w:pPr>
      <w:r>
        <w:rPr>
          <w:rFonts w:hint="eastAsia" w:eastAsia="仿宋_GB2312"/>
          <w:sz w:val="28"/>
          <w:szCs w:val="28"/>
          <w:highlight w:val="none"/>
          <w:lang w:val="en-US" w:eastAsia="zh-CN"/>
        </w:rPr>
        <w:t>11</w:t>
      </w:r>
      <w:r>
        <w:rPr>
          <w:rFonts w:eastAsia="仿宋_GB2312"/>
          <w:sz w:val="28"/>
          <w:szCs w:val="28"/>
          <w:highlight w:val="none"/>
        </w:rPr>
        <w:t>、《</w:t>
      </w:r>
      <w:r>
        <w:rPr>
          <w:rFonts w:hint="eastAsia" w:eastAsia="仿宋_GB2312"/>
          <w:sz w:val="28"/>
          <w:szCs w:val="28"/>
          <w:highlight w:val="none"/>
          <w:lang w:eastAsia="zh-CN"/>
        </w:rPr>
        <w:t>青岛市房地产登记簿</w:t>
      </w:r>
      <w:r>
        <w:rPr>
          <w:rFonts w:eastAsia="仿宋_GB2312"/>
          <w:sz w:val="28"/>
          <w:szCs w:val="28"/>
          <w:highlight w:val="none"/>
        </w:rPr>
        <w:t>》；</w:t>
      </w:r>
    </w:p>
    <w:p>
      <w:pPr>
        <w:autoSpaceDE w:val="0"/>
        <w:autoSpaceDN w:val="0"/>
        <w:spacing w:line="360" w:lineRule="auto"/>
        <w:ind w:firstLine="560" w:firstLineChars="200"/>
        <w:textAlignment w:val="bottom"/>
        <w:rPr>
          <w:rFonts w:eastAsia="仿宋_GB2312"/>
          <w:sz w:val="28"/>
          <w:szCs w:val="28"/>
          <w:highlight w:val="none"/>
        </w:rPr>
      </w:pPr>
      <w:r>
        <w:rPr>
          <w:rFonts w:eastAsia="仿宋_GB2312"/>
          <w:sz w:val="28"/>
          <w:szCs w:val="28"/>
          <w:highlight w:val="none"/>
        </w:rPr>
        <w:t>1</w:t>
      </w:r>
      <w:r>
        <w:rPr>
          <w:rFonts w:hint="eastAsia" w:eastAsia="仿宋_GB2312"/>
          <w:sz w:val="28"/>
          <w:szCs w:val="28"/>
          <w:highlight w:val="none"/>
          <w:lang w:val="en-US" w:eastAsia="zh-CN"/>
        </w:rPr>
        <w:t>2</w:t>
      </w:r>
      <w:r>
        <w:rPr>
          <w:rFonts w:eastAsia="仿宋_GB2312"/>
          <w:sz w:val="28"/>
          <w:szCs w:val="28"/>
          <w:highlight w:val="none"/>
        </w:rPr>
        <w:t>、估价委托人提供的其他资料；</w:t>
      </w:r>
    </w:p>
    <w:p>
      <w:pPr>
        <w:tabs>
          <w:tab w:val="left" w:pos="7876"/>
        </w:tabs>
        <w:autoSpaceDE w:val="0"/>
        <w:autoSpaceDN w:val="0"/>
        <w:spacing w:line="360" w:lineRule="auto"/>
        <w:ind w:firstLine="560" w:firstLineChars="200"/>
        <w:textAlignment w:val="bottom"/>
        <w:rPr>
          <w:rFonts w:hint="eastAsia" w:eastAsia="仿宋_GB2312"/>
          <w:sz w:val="28"/>
          <w:szCs w:val="28"/>
          <w:lang w:eastAsia="zh-CN"/>
        </w:rPr>
      </w:pPr>
      <w:r>
        <w:rPr>
          <w:rFonts w:eastAsia="仿宋_GB2312"/>
          <w:sz w:val="28"/>
          <w:szCs w:val="28"/>
        </w:rPr>
        <w:t>1</w:t>
      </w:r>
      <w:r>
        <w:rPr>
          <w:rFonts w:hint="eastAsia" w:eastAsia="仿宋_GB2312"/>
          <w:sz w:val="28"/>
          <w:szCs w:val="28"/>
          <w:lang w:val="en-US" w:eastAsia="zh-CN"/>
        </w:rPr>
        <w:t>3</w:t>
      </w:r>
      <w:r>
        <w:rPr>
          <w:rFonts w:eastAsia="仿宋_GB2312"/>
          <w:sz w:val="28"/>
          <w:szCs w:val="28"/>
        </w:rPr>
        <w:t>、房地产市场行情信息资料；</w:t>
      </w:r>
      <w:r>
        <w:rPr>
          <w:rFonts w:hint="eastAsia" w:eastAsia="仿宋_GB2312"/>
          <w:sz w:val="28"/>
          <w:szCs w:val="28"/>
          <w:lang w:eastAsia="zh-CN"/>
        </w:rPr>
        <w:tab/>
      </w:r>
      <w:bookmarkStart w:id="45" w:name="_GoBack"/>
      <w:bookmarkEnd w:id="45"/>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w:t>
      </w:r>
      <w:r>
        <w:rPr>
          <w:rFonts w:hint="eastAsia" w:eastAsia="仿宋_GB2312"/>
          <w:sz w:val="28"/>
          <w:szCs w:val="28"/>
          <w:lang w:val="en-US" w:eastAsia="zh-CN"/>
        </w:rPr>
        <w:t>4</w:t>
      </w:r>
      <w:r>
        <w:rPr>
          <w:rFonts w:eastAsia="仿宋_GB2312"/>
          <w:sz w:val="28"/>
          <w:szCs w:val="28"/>
        </w:rPr>
        <w:t>、估价人员现场勘估情况记录。</w:t>
      </w:r>
    </w:p>
    <w:p>
      <w:pPr>
        <w:pStyle w:val="3"/>
        <w:spacing w:before="0" w:after="0" w:line="360" w:lineRule="auto"/>
        <w:rPr>
          <w:rFonts w:ascii="Times New Roman" w:hAnsi="Times New Roman" w:eastAsia="仿宋_GB2312"/>
          <w:sz w:val="30"/>
          <w:szCs w:val="30"/>
        </w:rPr>
      </w:pPr>
      <w:bookmarkStart w:id="25" w:name="_Toc450140740"/>
      <w:bookmarkStart w:id="26" w:name="_Toc450851471"/>
      <w:r>
        <w:rPr>
          <w:rFonts w:ascii="Times New Roman" w:hAnsi="Times New Roman" w:eastAsia="仿宋_GB2312"/>
          <w:sz w:val="30"/>
          <w:szCs w:val="30"/>
        </w:rPr>
        <w:t>九、估价方法：</w:t>
      </w:r>
      <w:bookmarkEnd w:id="25"/>
      <w:bookmarkEnd w:id="26"/>
    </w:p>
    <w:p>
      <w:pPr>
        <w:widowControl w:val="0"/>
        <w:autoSpaceDE w:val="0"/>
        <w:autoSpaceDN w:val="0"/>
        <w:spacing w:line="360" w:lineRule="auto"/>
        <w:ind w:firstLine="560" w:firstLineChars="200"/>
        <w:textAlignment w:val="bottom"/>
        <w:rPr>
          <w:rFonts w:eastAsia="仿宋"/>
          <w:sz w:val="28"/>
          <w:szCs w:val="28"/>
        </w:rPr>
      </w:pPr>
      <w:r>
        <w:rPr>
          <w:rFonts w:eastAsia="仿宋"/>
          <w:sz w:val="28"/>
          <w:szCs w:val="28"/>
        </w:rPr>
        <w:t>根据《房地产估价规范》，房地产估价常用的方法有比较法、收益法、成本法、假设开发法等几种方法。估价人员在认真分析所掌握的资料并进行了实地勘察之后，确定采用比较法和收益法进行评估。</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1、宜选用的估价方法：</w:t>
      </w:r>
    </w:p>
    <w:p>
      <w:pPr>
        <w:widowControl w:val="0"/>
        <w:autoSpaceDE w:val="0"/>
        <w:autoSpaceDN w:val="0"/>
        <w:spacing w:line="360" w:lineRule="auto"/>
        <w:ind w:firstLine="630" w:firstLineChars="225"/>
        <w:textAlignment w:val="bottom"/>
        <w:rPr>
          <w:rFonts w:eastAsia="仿宋"/>
          <w:sz w:val="28"/>
          <w:szCs w:val="28"/>
        </w:rPr>
      </w:pPr>
      <w:r>
        <w:rPr>
          <w:rFonts w:eastAsia="仿宋"/>
          <w:sz w:val="28"/>
          <w:szCs w:val="28"/>
        </w:rPr>
        <w:t>（1）比较法是将估价对象与在价值时点近期有过交易的类似房地产进行比较，对这些类似房地产的已知价格作适当的修正，以此估算估价对象的客观合理价值或价格的方法。</w:t>
      </w:r>
      <w:r>
        <w:rPr>
          <w:rFonts w:hint="eastAsia" w:eastAsia="仿宋_GB2312"/>
          <w:sz w:val="28"/>
          <w:szCs w:val="28"/>
        </w:rPr>
        <w:t>该方法仅适用于市场比较稳定，有大量丰富交易实例的地区，并且交易实例与估价对象应有相关性和替代性；</w:t>
      </w:r>
      <w:r>
        <w:rPr>
          <w:rFonts w:eastAsia="仿宋"/>
          <w:sz w:val="28"/>
          <w:szCs w:val="28"/>
        </w:rPr>
        <w:t>根据估价对象的特点和实际状况，在认真分析所掌握的资料并进行了实地查勘及市场调查之后，得出该区域房地产市场活跃，存在较多同类房地产交易</w:t>
      </w:r>
      <w:r>
        <w:rPr>
          <w:rFonts w:hint="eastAsia" w:eastAsia="仿宋"/>
          <w:sz w:val="28"/>
          <w:szCs w:val="28"/>
        </w:rPr>
        <w:t>实例</w:t>
      </w:r>
      <w:r>
        <w:rPr>
          <w:rFonts w:eastAsia="仿宋"/>
          <w:sz w:val="28"/>
          <w:szCs w:val="28"/>
        </w:rPr>
        <w:t>，故选取比较法作为本次估价的评估方法。</w:t>
      </w:r>
    </w:p>
    <w:p>
      <w:pPr>
        <w:autoSpaceDE w:val="0"/>
        <w:autoSpaceDN w:val="0"/>
        <w:spacing w:line="360" w:lineRule="auto"/>
        <w:ind w:firstLine="560" w:firstLineChars="200"/>
        <w:textAlignment w:val="bottom"/>
        <w:rPr>
          <w:rFonts w:eastAsia="仿宋"/>
          <w:sz w:val="28"/>
          <w:szCs w:val="28"/>
        </w:rPr>
      </w:pPr>
      <w:r>
        <w:rPr>
          <w:rFonts w:eastAsia="仿宋"/>
          <w:sz w:val="28"/>
          <w:szCs w:val="28"/>
        </w:rPr>
        <w:t>（2）收益法</w:t>
      </w:r>
      <w:r>
        <w:rPr>
          <w:rFonts w:eastAsia="仿宋_GB2312"/>
          <w:color w:val="000000"/>
          <w:sz w:val="28"/>
          <w:szCs w:val="28"/>
        </w:rPr>
        <w:t>是在估算评估对象在未来每年预期纯收益的基础上，以一定的还原利率，将评估对象在未来每年的纯收益折算为评估时日收益总和的一种估价方法；</w:t>
      </w:r>
      <w:r>
        <w:rPr>
          <w:rFonts w:eastAsia="仿宋"/>
          <w:sz w:val="28"/>
          <w:szCs w:val="28"/>
        </w:rPr>
        <w:t>适用于房地产租赁市场比较活跃的地区，估价对象所在区域</w:t>
      </w:r>
      <w:r>
        <w:rPr>
          <w:rFonts w:eastAsia="仿宋_GB2312"/>
          <w:sz w:val="28"/>
          <w:szCs w:val="28"/>
        </w:rPr>
        <w:t>公开市场上类似房地产租赁市场比较活跃，物业的客观收益能通过市场调查得到，且估价对象作为住宅，具有收益性，适于选用收益法测算该房地产的收益价值，故选取收益法作为本次估价的评估方法之一。</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2、不宜选用的估价方法：</w:t>
      </w:r>
    </w:p>
    <w:p>
      <w:pPr>
        <w:autoSpaceDE w:val="0"/>
        <w:autoSpaceDN w:val="0"/>
        <w:spacing w:line="360" w:lineRule="auto"/>
        <w:ind w:firstLine="536" w:firstLineChars="200"/>
        <w:textAlignment w:val="bottom"/>
        <w:rPr>
          <w:rFonts w:eastAsia="仿宋"/>
          <w:spacing w:val="-6"/>
          <w:sz w:val="28"/>
          <w:szCs w:val="28"/>
        </w:rPr>
      </w:pPr>
      <w:r>
        <w:rPr>
          <w:rFonts w:eastAsia="仿宋"/>
          <w:spacing w:val="-6"/>
          <w:sz w:val="28"/>
          <w:szCs w:val="28"/>
        </w:rPr>
        <w:t>（1）</w:t>
      </w:r>
      <w:r>
        <w:rPr>
          <w:rFonts w:eastAsia="仿宋_GB2312"/>
          <w:spacing w:val="-6"/>
          <w:sz w:val="28"/>
        </w:rPr>
        <w:t>成本法是在价值时点以开发或建造估价对象所需要的各项成本费用之和为基础，再加上正常利润和税金，得出估价对象的重置价格，然后再扣除折旧，以此估算估价对象的客观合理价格或价值的方法</w:t>
      </w:r>
      <w:r>
        <w:rPr>
          <w:rFonts w:eastAsia="仿宋"/>
          <w:spacing w:val="-6"/>
          <w:sz w:val="28"/>
          <w:szCs w:val="28"/>
        </w:rPr>
        <w:t>。成本法较为适用于如学校、工厂、医院、图书馆等较少发生交易的或非经营性、非收益性的房地产价值的评估，估价对象用途为住宅，可出租具有收益性，不适用该方法进行测算。</w:t>
      </w:r>
    </w:p>
    <w:p>
      <w:pPr>
        <w:autoSpaceDE w:val="0"/>
        <w:autoSpaceDN w:val="0"/>
        <w:spacing w:line="360" w:lineRule="auto"/>
        <w:ind w:firstLine="560" w:firstLineChars="200"/>
        <w:textAlignment w:val="bottom"/>
        <w:rPr>
          <w:rFonts w:eastAsia="仿宋"/>
          <w:sz w:val="28"/>
          <w:szCs w:val="28"/>
        </w:rPr>
      </w:pPr>
      <w:r>
        <w:rPr>
          <w:rFonts w:eastAsia="仿宋"/>
          <w:sz w:val="28"/>
          <w:szCs w:val="28"/>
        </w:rPr>
        <w:t>（2）假设开发法</w:t>
      </w:r>
      <w:r>
        <w:rPr>
          <w:rFonts w:hint="eastAsia" w:eastAsia="仿宋_GB2312"/>
          <w:sz w:val="28"/>
          <w:szCs w:val="28"/>
        </w:rPr>
        <w:t>是在测算完成开发后的不动产正常交易价格的基础上，扣除预计的正常开发成本及有关专业费有、利息、利润和税费等，以价格余额来估算待估宗地价格的方法；</w:t>
      </w:r>
      <w:r>
        <w:rPr>
          <w:rFonts w:eastAsia="仿宋"/>
          <w:sz w:val="28"/>
          <w:szCs w:val="28"/>
        </w:rPr>
        <w:t>适用于具有开发或再开发潜力的房地产价值测算，多用于可供开发的土地、在建工程、可重新开发，更新改造或变更用途的房地产价值评估，估价对象为已开发完成的房地产，且无再开发改造的必要，故不适用该方法进行评估。</w:t>
      </w:r>
    </w:p>
    <w:p>
      <w:pPr>
        <w:pStyle w:val="3"/>
        <w:spacing w:before="0" w:after="0" w:line="360" w:lineRule="auto"/>
        <w:rPr>
          <w:rFonts w:ascii="Times New Roman" w:hAnsi="Times New Roman" w:eastAsia="仿宋_GB2312"/>
          <w:sz w:val="30"/>
          <w:szCs w:val="30"/>
        </w:rPr>
      </w:pPr>
      <w:bookmarkStart w:id="27" w:name="_Toc450851472"/>
      <w:bookmarkStart w:id="28" w:name="_Toc450140741"/>
      <w:r>
        <w:rPr>
          <w:rFonts w:ascii="Times New Roman" w:hAnsi="Times New Roman" w:eastAsia="仿宋_GB2312"/>
          <w:sz w:val="30"/>
          <w:szCs w:val="30"/>
        </w:rPr>
        <w:t>十、估价结果：</w:t>
      </w:r>
      <w:bookmarkEnd w:id="27"/>
      <w:bookmarkEnd w:id="28"/>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注册房地产估价师经过实地查勘和市场调查，遵照国家法律法规和技术标准，遵循独立、客观、公正、合法的原则，选用比较法</w:t>
      </w:r>
      <w:r>
        <w:rPr>
          <w:rFonts w:hint="eastAsia" w:eastAsia="仿宋_GB2312"/>
          <w:sz w:val="28"/>
          <w:szCs w:val="28"/>
        </w:rPr>
        <w:t>和收益法</w:t>
      </w:r>
      <w:r>
        <w:rPr>
          <w:rFonts w:eastAsia="仿宋_GB2312"/>
          <w:sz w:val="28"/>
          <w:szCs w:val="28"/>
        </w:rPr>
        <w:t>进行了分析、测算和判断，最终得出以下结论：</w:t>
      </w:r>
    </w:p>
    <w:p>
      <w:pPr>
        <w:autoSpaceDE w:val="0"/>
        <w:autoSpaceDN w:val="0"/>
        <w:spacing w:line="360" w:lineRule="auto"/>
        <w:ind w:firstLine="560" w:firstLineChars="200"/>
        <w:textAlignment w:val="bottom"/>
        <w:rPr>
          <w:rFonts w:eastAsia="仿宋_GB2312"/>
          <w:sz w:val="28"/>
          <w:szCs w:val="28"/>
        </w:rPr>
      </w:pPr>
      <w:bookmarkStart w:id="29" w:name="_Toc450140742"/>
      <w:bookmarkStart w:id="30" w:name="_Toc450851473"/>
      <w:r>
        <w:rPr>
          <w:rFonts w:eastAsia="仿宋_GB2312"/>
          <w:sz w:val="28"/>
          <w:szCs w:val="28"/>
        </w:rPr>
        <w:t>本次估价对象为青岛市城阳区</w:t>
      </w:r>
      <w:r>
        <w:rPr>
          <w:rFonts w:hint="eastAsia" w:eastAsia="仿宋_GB2312"/>
          <w:sz w:val="28"/>
          <w:szCs w:val="28"/>
          <w:lang w:eastAsia="zh-CN"/>
        </w:rPr>
        <w:t>双元路18号160号楼2单元701户</w:t>
      </w:r>
      <w:r>
        <w:rPr>
          <w:rFonts w:eastAsia="仿宋_GB2312"/>
          <w:sz w:val="28"/>
          <w:szCs w:val="28"/>
        </w:rPr>
        <w:t>房地产，房屋</w:t>
      </w:r>
      <w:r>
        <w:rPr>
          <w:rFonts w:hint="eastAsia" w:eastAsia="仿宋_GB2312"/>
          <w:sz w:val="28"/>
          <w:szCs w:val="28"/>
          <w:lang w:eastAsia="zh-CN"/>
        </w:rPr>
        <w:t>建筑面积为84.44平方米</w:t>
      </w:r>
      <w:r>
        <w:rPr>
          <w:rFonts w:eastAsia="仿宋_GB2312"/>
          <w:sz w:val="28"/>
          <w:szCs w:val="28"/>
        </w:rPr>
        <w:t>，在价值时点的房地产单价</w:t>
      </w:r>
      <w:r>
        <w:rPr>
          <w:rFonts w:eastAsia="仿宋_GB2312"/>
          <w:sz w:val="28"/>
          <w:szCs w:val="28"/>
          <w:highlight w:val="none"/>
        </w:rPr>
        <w:t>为</w:t>
      </w:r>
      <w:r>
        <w:rPr>
          <w:rFonts w:hint="eastAsia" w:eastAsia="仿宋_GB2312"/>
          <w:sz w:val="28"/>
          <w:szCs w:val="28"/>
          <w:highlight w:val="none"/>
          <w:lang w:val="en-US" w:eastAsia="zh-CN"/>
        </w:rPr>
        <w:t>17691</w:t>
      </w:r>
      <w:r>
        <w:rPr>
          <w:rFonts w:eastAsia="仿宋_GB2312"/>
          <w:sz w:val="28"/>
          <w:szCs w:val="28"/>
          <w:highlight w:val="none"/>
        </w:rPr>
        <w:t>元/平方米，房地产总价：</w:t>
      </w:r>
      <w:r>
        <w:rPr>
          <w:rFonts w:hint="eastAsia" w:eastAsia="仿宋_GB2312"/>
          <w:sz w:val="28"/>
          <w:szCs w:val="28"/>
          <w:highlight w:val="none"/>
        </w:rPr>
        <w:t>1493828</w:t>
      </w:r>
      <w:r>
        <w:rPr>
          <w:rFonts w:eastAsia="仿宋_GB2312"/>
          <w:sz w:val="28"/>
          <w:szCs w:val="28"/>
          <w:highlight w:val="none"/>
        </w:rPr>
        <w:t>元，大写人民币：</w:t>
      </w:r>
      <w:r>
        <w:rPr>
          <w:rFonts w:hint="eastAsia" w:eastAsia="仿宋_GB2312"/>
          <w:b/>
          <w:bCs/>
          <w:sz w:val="28"/>
          <w:szCs w:val="28"/>
          <w:highlight w:val="none"/>
          <w:lang w:val="en-US" w:eastAsia="zh-CN"/>
        </w:rPr>
        <w:t>壹佰肆拾玖万叁仟捌佰贰拾捌</w:t>
      </w:r>
      <w:r>
        <w:rPr>
          <w:rFonts w:eastAsia="仿宋_GB2312"/>
          <w:b/>
          <w:bCs/>
          <w:sz w:val="28"/>
          <w:szCs w:val="28"/>
          <w:highlight w:val="none"/>
        </w:rPr>
        <w:t>元</w:t>
      </w:r>
      <w:r>
        <w:rPr>
          <w:rFonts w:eastAsia="仿宋_GB2312"/>
          <w:sz w:val="28"/>
          <w:szCs w:val="28"/>
          <w:highlight w:val="none"/>
        </w:rPr>
        <w:t>整。</w:t>
      </w:r>
    </w:p>
    <w:p>
      <w:pPr>
        <w:autoSpaceDE w:val="0"/>
        <w:autoSpaceDN w:val="0"/>
        <w:spacing w:line="360" w:lineRule="auto"/>
        <w:ind w:firstLine="560" w:firstLineChars="200"/>
        <w:textAlignment w:val="bottom"/>
        <w:rPr>
          <w:rFonts w:eastAsia="仿宋_GB2312"/>
          <w:sz w:val="28"/>
          <w:szCs w:val="28"/>
        </w:rPr>
      </w:pPr>
    </w:p>
    <w:p>
      <w:pPr>
        <w:autoSpaceDE w:val="0"/>
        <w:autoSpaceDN w:val="0"/>
        <w:spacing w:line="360" w:lineRule="auto"/>
        <w:ind w:firstLine="560" w:firstLineChars="200"/>
        <w:textAlignment w:val="bottom"/>
        <w:rPr>
          <w:rFonts w:eastAsia="仿宋_GB2312"/>
          <w:sz w:val="28"/>
          <w:szCs w:val="28"/>
        </w:rPr>
      </w:pPr>
    </w:p>
    <w:p>
      <w:pPr>
        <w:autoSpaceDE w:val="0"/>
        <w:autoSpaceDN w:val="0"/>
        <w:spacing w:line="360" w:lineRule="auto"/>
        <w:ind w:firstLine="560" w:firstLineChars="200"/>
        <w:textAlignment w:val="bottom"/>
        <w:rPr>
          <w:rFonts w:eastAsia="仿宋_GB2312"/>
          <w:sz w:val="28"/>
          <w:szCs w:val="28"/>
        </w:rPr>
      </w:pPr>
    </w:p>
    <w:p>
      <w:pPr>
        <w:autoSpaceDE w:val="0"/>
        <w:autoSpaceDN w:val="0"/>
        <w:spacing w:line="360" w:lineRule="auto"/>
        <w:ind w:firstLine="560" w:firstLineChars="200"/>
        <w:textAlignment w:val="bottom"/>
        <w:rPr>
          <w:rFonts w:eastAsia="仿宋_GB2312"/>
          <w:sz w:val="28"/>
          <w:szCs w:val="28"/>
        </w:rPr>
      </w:pPr>
    </w:p>
    <w:p>
      <w:pPr>
        <w:autoSpaceDE w:val="0"/>
        <w:autoSpaceDN w:val="0"/>
        <w:spacing w:line="360" w:lineRule="auto"/>
        <w:ind w:firstLine="560" w:firstLineChars="200"/>
        <w:textAlignment w:val="bottom"/>
        <w:rPr>
          <w:rFonts w:eastAsia="仿宋_GB2312"/>
          <w:sz w:val="28"/>
          <w:szCs w:val="28"/>
        </w:rPr>
      </w:pPr>
    </w:p>
    <w:p>
      <w:pPr>
        <w:pStyle w:val="3"/>
        <w:spacing w:before="0" w:after="0" w:line="360" w:lineRule="auto"/>
        <w:rPr>
          <w:rFonts w:ascii="Times New Roman" w:hAnsi="Times New Roman" w:eastAsia="仿宋_GB2312"/>
          <w:sz w:val="30"/>
          <w:szCs w:val="30"/>
        </w:rPr>
        <w:sectPr>
          <w:footerReference r:id="rId5" w:type="first"/>
          <w:footerReference r:id="rId3" w:type="default"/>
          <w:footerReference r:id="rId4" w:type="even"/>
          <w:pgSz w:w="11907" w:h="16840"/>
          <w:pgMar w:top="1134" w:right="1106" w:bottom="1134" w:left="1418" w:header="720" w:footer="720" w:gutter="0"/>
          <w:pgNumType w:start="1"/>
          <w:cols w:space="720" w:num="1"/>
          <w:docGrid w:linePitch="272" w:charSpace="0"/>
        </w:sectPr>
      </w:pPr>
    </w:p>
    <w:p>
      <w:pPr>
        <w:pStyle w:val="3"/>
        <w:spacing w:before="0" w:after="0" w:line="360" w:lineRule="auto"/>
        <w:rPr>
          <w:rFonts w:ascii="Times New Roman" w:hAnsi="Times New Roman" w:eastAsia="仿宋_GB2312"/>
          <w:sz w:val="30"/>
          <w:szCs w:val="30"/>
        </w:rPr>
      </w:pPr>
      <w:r>
        <w:rPr>
          <w:rFonts w:ascii="Times New Roman" w:hAnsi="Times New Roman" w:eastAsia="仿宋_GB2312"/>
          <w:sz w:val="30"/>
          <w:szCs w:val="30"/>
        </w:rPr>
        <w:t>十一、注册房地产估价师</w:t>
      </w:r>
      <w:bookmarkEnd w:id="29"/>
      <w:r>
        <w:rPr>
          <w:rFonts w:ascii="Times New Roman" w:hAnsi="Times New Roman" w:eastAsia="仿宋_GB2312"/>
          <w:sz w:val="30"/>
          <w:szCs w:val="30"/>
        </w:rPr>
        <w:t>：</w:t>
      </w:r>
      <w:bookmarkEnd w:id="30"/>
    </w:p>
    <w:tbl>
      <w:tblPr>
        <w:tblStyle w:val="29"/>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268"/>
        <w:gridCol w:w="3118"/>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985" w:type="dxa"/>
            <w:vAlign w:val="center"/>
          </w:tcPr>
          <w:p>
            <w:pPr>
              <w:jc w:val="center"/>
              <w:rPr>
                <w:rFonts w:eastAsia="仿宋_GB2312"/>
                <w:sz w:val="28"/>
                <w:szCs w:val="28"/>
              </w:rPr>
            </w:pPr>
            <w:r>
              <w:rPr>
                <w:rFonts w:eastAsia="仿宋_GB2312"/>
                <w:sz w:val="28"/>
                <w:szCs w:val="28"/>
              </w:rPr>
              <w:t>姓名</w:t>
            </w:r>
          </w:p>
        </w:tc>
        <w:tc>
          <w:tcPr>
            <w:tcW w:w="2268" w:type="dxa"/>
            <w:vAlign w:val="center"/>
          </w:tcPr>
          <w:p>
            <w:pPr>
              <w:jc w:val="center"/>
              <w:rPr>
                <w:rFonts w:eastAsia="仿宋_GB2312"/>
                <w:sz w:val="28"/>
                <w:szCs w:val="28"/>
              </w:rPr>
            </w:pPr>
            <w:r>
              <w:rPr>
                <w:rFonts w:eastAsia="仿宋_GB2312"/>
                <w:sz w:val="28"/>
                <w:szCs w:val="28"/>
              </w:rPr>
              <w:t>注册号</w:t>
            </w:r>
          </w:p>
        </w:tc>
        <w:tc>
          <w:tcPr>
            <w:tcW w:w="3118" w:type="dxa"/>
            <w:vAlign w:val="center"/>
          </w:tcPr>
          <w:p>
            <w:pPr>
              <w:jc w:val="center"/>
              <w:rPr>
                <w:rFonts w:eastAsia="仿宋_GB2312"/>
                <w:sz w:val="28"/>
                <w:szCs w:val="28"/>
              </w:rPr>
            </w:pPr>
            <w:r>
              <w:rPr>
                <w:rFonts w:eastAsia="仿宋_GB2312"/>
                <w:sz w:val="28"/>
                <w:szCs w:val="28"/>
              </w:rPr>
              <w:t>签名</w:t>
            </w:r>
          </w:p>
        </w:tc>
        <w:tc>
          <w:tcPr>
            <w:tcW w:w="1985" w:type="dxa"/>
            <w:vAlign w:val="center"/>
          </w:tcPr>
          <w:p>
            <w:pPr>
              <w:jc w:val="center"/>
              <w:rPr>
                <w:rFonts w:eastAsia="仿宋_GB2312"/>
                <w:sz w:val="28"/>
                <w:szCs w:val="28"/>
              </w:rPr>
            </w:pPr>
            <w:r>
              <w:rPr>
                <w:rFonts w:eastAsia="仿宋_GB2312"/>
                <w:sz w:val="28"/>
                <w:szCs w:val="28"/>
              </w:rPr>
              <w:t>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985" w:type="dxa"/>
            <w:vAlign w:val="center"/>
          </w:tcPr>
          <w:p>
            <w:pPr>
              <w:jc w:val="center"/>
              <w:rPr>
                <w:rFonts w:eastAsia="仿宋_GB2312"/>
                <w:sz w:val="28"/>
                <w:szCs w:val="28"/>
              </w:rPr>
            </w:pPr>
            <w:r>
              <w:rPr>
                <w:rFonts w:eastAsia="仿宋_GB2312"/>
                <w:sz w:val="28"/>
                <w:szCs w:val="28"/>
              </w:rPr>
              <w:t>白水彬</w:t>
            </w:r>
          </w:p>
        </w:tc>
        <w:tc>
          <w:tcPr>
            <w:tcW w:w="2268" w:type="dxa"/>
            <w:vAlign w:val="center"/>
          </w:tcPr>
          <w:p>
            <w:pPr>
              <w:jc w:val="center"/>
              <w:rPr>
                <w:rFonts w:eastAsia="仿宋_GB2312"/>
                <w:sz w:val="28"/>
                <w:szCs w:val="28"/>
              </w:rPr>
            </w:pPr>
            <w:r>
              <w:rPr>
                <w:rFonts w:eastAsia="仿宋_GB2312"/>
                <w:sz w:val="28"/>
                <w:szCs w:val="28"/>
              </w:rPr>
              <w:t>3720160039</w:t>
            </w:r>
          </w:p>
        </w:tc>
        <w:tc>
          <w:tcPr>
            <w:tcW w:w="3118" w:type="dxa"/>
            <w:vAlign w:val="center"/>
          </w:tcPr>
          <w:p>
            <w:pPr>
              <w:jc w:val="center"/>
              <w:rPr>
                <w:rFonts w:eastAsia="仿宋_GB2312"/>
                <w:sz w:val="28"/>
                <w:szCs w:val="28"/>
              </w:rPr>
            </w:pPr>
          </w:p>
        </w:tc>
        <w:tc>
          <w:tcPr>
            <w:tcW w:w="1985" w:type="dxa"/>
            <w:vAlign w:val="center"/>
          </w:tcPr>
          <w:p>
            <w:pPr>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985" w:type="dxa"/>
            <w:vAlign w:val="center"/>
          </w:tcPr>
          <w:p>
            <w:pPr>
              <w:jc w:val="center"/>
              <w:rPr>
                <w:rFonts w:eastAsia="仿宋_GB2312"/>
                <w:sz w:val="28"/>
                <w:szCs w:val="28"/>
              </w:rPr>
            </w:pPr>
            <w:r>
              <w:rPr>
                <w:rFonts w:eastAsia="仿宋_GB2312"/>
                <w:sz w:val="28"/>
                <w:szCs w:val="28"/>
              </w:rPr>
              <w:t>王西西</w:t>
            </w:r>
          </w:p>
        </w:tc>
        <w:tc>
          <w:tcPr>
            <w:tcW w:w="2268" w:type="dxa"/>
            <w:vAlign w:val="center"/>
          </w:tcPr>
          <w:p>
            <w:pPr>
              <w:jc w:val="center"/>
              <w:rPr>
                <w:rFonts w:eastAsia="仿宋_GB2312"/>
                <w:sz w:val="28"/>
                <w:szCs w:val="28"/>
              </w:rPr>
            </w:pPr>
            <w:r>
              <w:rPr>
                <w:rFonts w:eastAsia="仿宋_GB2312"/>
                <w:sz w:val="28"/>
                <w:szCs w:val="28"/>
              </w:rPr>
              <w:t>3720170044</w:t>
            </w:r>
          </w:p>
        </w:tc>
        <w:tc>
          <w:tcPr>
            <w:tcW w:w="3118" w:type="dxa"/>
            <w:vAlign w:val="center"/>
          </w:tcPr>
          <w:p>
            <w:pPr>
              <w:jc w:val="center"/>
              <w:rPr>
                <w:rFonts w:eastAsia="仿宋_GB2312"/>
                <w:sz w:val="28"/>
                <w:szCs w:val="28"/>
              </w:rPr>
            </w:pPr>
          </w:p>
        </w:tc>
        <w:tc>
          <w:tcPr>
            <w:tcW w:w="1985" w:type="dxa"/>
            <w:vAlign w:val="center"/>
          </w:tcPr>
          <w:p>
            <w:pPr>
              <w:jc w:val="center"/>
              <w:rPr>
                <w:rFonts w:eastAsia="仿宋_GB2312"/>
                <w:sz w:val="28"/>
                <w:szCs w:val="28"/>
              </w:rPr>
            </w:pPr>
          </w:p>
        </w:tc>
      </w:tr>
    </w:tbl>
    <w:p>
      <w:pPr>
        <w:rPr>
          <w:rFonts w:eastAsia="仿宋_GB2312"/>
          <w:sz w:val="30"/>
          <w:szCs w:val="30"/>
        </w:rPr>
      </w:pPr>
      <w:bookmarkStart w:id="31" w:name="_Toc450851474"/>
      <w:bookmarkStart w:id="32" w:name="_Toc349230884"/>
      <w:bookmarkStart w:id="33" w:name="_Toc450140743"/>
    </w:p>
    <w:p>
      <w:pPr>
        <w:pStyle w:val="3"/>
        <w:spacing w:before="0" w:after="0" w:line="360" w:lineRule="auto"/>
        <w:rPr>
          <w:rFonts w:ascii="Times New Roman" w:hAnsi="Times New Roman" w:eastAsia="仿宋_GB2312"/>
          <w:sz w:val="30"/>
          <w:szCs w:val="30"/>
        </w:rPr>
      </w:pPr>
      <w:r>
        <w:rPr>
          <w:rFonts w:ascii="Times New Roman" w:hAnsi="Times New Roman" w:eastAsia="仿宋_GB2312"/>
          <w:sz w:val="30"/>
          <w:szCs w:val="30"/>
        </w:rPr>
        <w:t>十二、实地查勘期</w:t>
      </w:r>
      <w:bookmarkEnd w:id="31"/>
      <w:bookmarkEnd w:id="32"/>
      <w:bookmarkEnd w:id="33"/>
    </w:p>
    <w:p>
      <w:pPr>
        <w:autoSpaceDE w:val="0"/>
        <w:autoSpaceDN w:val="0"/>
        <w:spacing w:line="360" w:lineRule="auto"/>
        <w:ind w:firstLine="560" w:firstLineChars="200"/>
        <w:textAlignment w:val="bottom"/>
        <w:rPr>
          <w:rFonts w:hint="eastAsia" w:eastAsia="仿宋_GB2312"/>
          <w:sz w:val="28"/>
          <w:szCs w:val="28"/>
          <w:lang w:eastAsia="zh-CN"/>
        </w:rPr>
      </w:pPr>
      <w:r>
        <w:rPr>
          <w:rFonts w:hint="eastAsia" w:eastAsia="仿宋_GB2312"/>
          <w:sz w:val="28"/>
          <w:szCs w:val="28"/>
          <w:lang w:eastAsia="zh-CN"/>
        </w:rPr>
        <w:t>2018年6月29日</w:t>
      </w:r>
    </w:p>
    <w:p>
      <w:pPr>
        <w:pStyle w:val="3"/>
        <w:spacing w:before="0" w:after="0" w:line="360" w:lineRule="auto"/>
        <w:rPr>
          <w:rFonts w:ascii="Times New Roman" w:hAnsi="Times New Roman" w:eastAsia="仿宋_GB2312"/>
          <w:sz w:val="30"/>
          <w:szCs w:val="30"/>
        </w:rPr>
      </w:pPr>
      <w:bookmarkStart w:id="34" w:name="_Toc450851475"/>
      <w:bookmarkStart w:id="35" w:name="_Toc349230885"/>
      <w:bookmarkStart w:id="36" w:name="_Toc450140744"/>
      <w:r>
        <w:rPr>
          <w:rFonts w:ascii="Times New Roman" w:hAnsi="Times New Roman" w:eastAsia="仿宋_GB2312"/>
          <w:sz w:val="30"/>
          <w:szCs w:val="30"/>
        </w:rPr>
        <w:t>十三、估价作业期</w:t>
      </w:r>
      <w:bookmarkEnd w:id="34"/>
      <w:bookmarkEnd w:id="35"/>
      <w:bookmarkEnd w:id="36"/>
    </w:p>
    <w:p>
      <w:pPr>
        <w:autoSpaceDE w:val="0"/>
        <w:autoSpaceDN w:val="0"/>
        <w:spacing w:line="360" w:lineRule="auto"/>
        <w:ind w:firstLine="560" w:firstLineChars="200"/>
        <w:textAlignment w:val="bottom"/>
        <w:rPr>
          <w:rFonts w:hint="eastAsia" w:eastAsia="仿宋_GB2312"/>
          <w:sz w:val="28"/>
          <w:szCs w:val="28"/>
          <w:lang w:eastAsia="zh-CN"/>
        </w:rPr>
      </w:pPr>
      <w:r>
        <w:rPr>
          <w:rFonts w:hint="eastAsia" w:eastAsia="仿宋_GB2312"/>
          <w:sz w:val="28"/>
          <w:szCs w:val="28"/>
          <w:lang w:eastAsia="zh-CN"/>
        </w:rPr>
        <w:t>2018年6月2</w:t>
      </w:r>
      <w:r>
        <w:rPr>
          <w:rFonts w:hint="eastAsia" w:eastAsia="仿宋_GB2312"/>
          <w:sz w:val="28"/>
          <w:szCs w:val="28"/>
          <w:lang w:val="en-US" w:eastAsia="zh-CN"/>
        </w:rPr>
        <w:t>7</w:t>
      </w:r>
      <w:r>
        <w:rPr>
          <w:rFonts w:hint="eastAsia" w:eastAsia="仿宋_GB2312"/>
          <w:sz w:val="28"/>
          <w:szCs w:val="28"/>
          <w:lang w:eastAsia="zh-CN"/>
        </w:rPr>
        <w:t>日至2018年7月4日</w:t>
      </w:r>
    </w:p>
    <w:p>
      <w:pPr>
        <w:autoSpaceDE w:val="0"/>
        <w:autoSpaceDN w:val="0"/>
        <w:spacing w:line="360" w:lineRule="auto"/>
        <w:ind w:right="313" w:firstLine="565" w:firstLineChars="202"/>
        <w:textAlignment w:val="bottom"/>
        <w:rPr>
          <w:rFonts w:eastAsia="仿宋_GB2312"/>
          <w:color w:val="000000"/>
          <w:sz w:val="28"/>
          <w:szCs w:val="28"/>
        </w:rPr>
      </w:pPr>
    </w:p>
    <w:p>
      <w:pPr>
        <w:autoSpaceDE w:val="0"/>
        <w:autoSpaceDN w:val="0"/>
        <w:spacing w:line="360" w:lineRule="auto"/>
        <w:ind w:right="313" w:firstLine="565" w:firstLineChars="202"/>
        <w:textAlignment w:val="bottom"/>
        <w:rPr>
          <w:rFonts w:eastAsia="仿宋_GB2312"/>
          <w:color w:val="000000"/>
          <w:sz w:val="28"/>
          <w:szCs w:val="28"/>
        </w:rPr>
      </w:pPr>
    </w:p>
    <w:p>
      <w:pPr>
        <w:autoSpaceDE w:val="0"/>
        <w:autoSpaceDN w:val="0"/>
        <w:spacing w:line="360" w:lineRule="auto"/>
        <w:ind w:right="313" w:firstLine="565" w:firstLineChars="202"/>
        <w:textAlignment w:val="bottom"/>
        <w:rPr>
          <w:rFonts w:eastAsia="仿宋_GB2312"/>
          <w:color w:val="000000"/>
          <w:sz w:val="28"/>
          <w:szCs w:val="28"/>
        </w:rPr>
      </w:pPr>
    </w:p>
    <w:p>
      <w:pPr>
        <w:autoSpaceDE w:val="0"/>
        <w:autoSpaceDN w:val="0"/>
        <w:spacing w:line="360" w:lineRule="auto"/>
        <w:ind w:right="313" w:firstLine="565" w:firstLineChars="202"/>
        <w:textAlignment w:val="bottom"/>
        <w:rPr>
          <w:rFonts w:eastAsia="仿宋_GB2312"/>
          <w:color w:val="000000"/>
          <w:sz w:val="28"/>
          <w:szCs w:val="28"/>
        </w:rPr>
      </w:pPr>
    </w:p>
    <w:p>
      <w:pPr>
        <w:autoSpaceDE w:val="0"/>
        <w:autoSpaceDN w:val="0"/>
        <w:spacing w:line="360" w:lineRule="auto"/>
        <w:ind w:right="313" w:firstLine="565" w:firstLineChars="202"/>
        <w:textAlignment w:val="bottom"/>
        <w:rPr>
          <w:rFonts w:eastAsia="仿宋_GB2312"/>
          <w:color w:val="000000"/>
          <w:sz w:val="28"/>
          <w:szCs w:val="28"/>
        </w:rPr>
      </w:pPr>
    </w:p>
    <w:p>
      <w:pPr>
        <w:autoSpaceDE w:val="0"/>
        <w:autoSpaceDN w:val="0"/>
        <w:spacing w:line="360" w:lineRule="auto"/>
        <w:ind w:right="313" w:firstLine="565" w:firstLineChars="202"/>
        <w:textAlignment w:val="bottom"/>
        <w:rPr>
          <w:rFonts w:eastAsia="仿宋_GB2312"/>
          <w:color w:val="000000"/>
          <w:sz w:val="28"/>
          <w:szCs w:val="28"/>
        </w:rPr>
      </w:pPr>
    </w:p>
    <w:p>
      <w:pPr>
        <w:spacing w:line="360" w:lineRule="auto"/>
        <w:ind w:firstLine="3220" w:firstLineChars="1150"/>
        <w:jc w:val="right"/>
        <w:rPr>
          <w:rFonts w:eastAsia="仿宋_GB2312"/>
          <w:color w:val="000000"/>
          <w:sz w:val="28"/>
          <w:szCs w:val="28"/>
        </w:rPr>
      </w:pPr>
      <w:r>
        <w:rPr>
          <w:rFonts w:eastAsia="仿宋_GB2312"/>
          <w:color w:val="000000"/>
          <w:sz w:val="28"/>
          <w:szCs w:val="28"/>
        </w:rPr>
        <w:t xml:space="preserve">青岛衡信土地房地产评估咨询有限公司 </w:t>
      </w:r>
    </w:p>
    <w:p>
      <w:pPr>
        <w:spacing w:line="360" w:lineRule="auto"/>
        <w:ind w:firstLine="811"/>
        <w:rPr>
          <w:szCs w:val="36"/>
        </w:rPr>
      </w:pPr>
      <w:r>
        <w:rPr>
          <w:rFonts w:eastAsia="仿宋_GB2312"/>
          <w:color w:val="000000"/>
          <w:sz w:val="28"/>
          <w:szCs w:val="28"/>
        </w:rPr>
        <w:t xml:space="preserve">                       </w:t>
      </w:r>
      <w:r>
        <w:rPr>
          <w:rFonts w:eastAsia="仿宋_GB2312"/>
          <w:color w:val="FF0000"/>
          <w:sz w:val="28"/>
          <w:szCs w:val="28"/>
        </w:rPr>
        <w:t xml:space="preserve">              </w:t>
      </w:r>
      <w:r>
        <w:rPr>
          <w:rFonts w:hint="eastAsia" w:eastAsia="仿宋_GB2312"/>
          <w:sz w:val="28"/>
          <w:szCs w:val="28"/>
          <w:lang w:eastAsia="zh-CN"/>
        </w:rPr>
        <w:t>2018年7月4日</w:t>
      </w:r>
      <w:r>
        <w:rPr>
          <w:rFonts w:eastAsia="仿宋_GB2312"/>
          <w:sz w:val="28"/>
          <w:szCs w:val="28"/>
        </w:rPr>
        <w:t xml:space="preserve"> </w:t>
      </w:r>
      <w:bookmarkStart w:id="37" w:name="_Toc450851476"/>
      <w:bookmarkStart w:id="38" w:name="_Toc450140745"/>
    </w:p>
    <w:p>
      <w:pPr>
        <w:pStyle w:val="2"/>
        <w:spacing w:before="0" w:after="0" w:line="360" w:lineRule="auto"/>
        <w:rPr>
          <w:szCs w:val="36"/>
        </w:rPr>
      </w:pPr>
    </w:p>
    <w:p>
      <w:pPr>
        <w:pStyle w:val="2"/>
        <w:spacing w:before="0" w:after="0" w:line="360" w:lineRule="auto"/>
        <w:rPr>
          <w:szCs w:val="36"/>
        </w:rPr>
      </w:pPr>
    </w:p>
    <w:p>
      <w:pPr>
        <w:pStyle w:val="2"/>
        <w:spacing w:before="0" w:after="0" w:line="360" w:lineRule="auto"/>
        <w:rPr>
          <w:szCs w:val="36"/>
        </w:rPr>
      </w:pPr>
    </w:p>
    <w:p>
      <w:pPr>
        <w:pStyle w:val="2"/>
        <w:spacing w:before="0" w:after="0" w:line="360" w:lineRule="auto"/>
        <w:rPr>
          <w:szCs w:val="36"/>
        </w:rPr>
      </w:pPr>
    </w:p>
    <w:p>
      <w:pPr>
        <w:pStyle w:val="2"/>
        <w:spacing w:before="0" w:after="0" w:line="360" w:lineRule="auto"/>
        <w:rPr>
          <w:szCs w:val="36"/>
        </w:rPr>
        <w:sectPr>
          <w:pgSz w:w="11907" w:h="16840"/>
          <w:pgMar w:top="1134" w:right="1106" w:bottom="1134" w:left="1418" w:header="720" w:footer="720" w:gutter="0"/>
          <w:cols w:space="720" w:num="1"/>
          <w:docGrid w:linePitch="272" w:charSpace="0"/>
        </w:sectPr>
      </w:pPr>
    </w:p>
    <w:p>
      <w:pPr>
        <w:pStyle w:val="2"/>
        <w:spacing w:before="0" w:after="0" w:line="360" w:lineRule="auto"/>
        <w:rPr>
          <w:szCs w:val="36"/>
        </w:rPr>
      </w:pPr>
    </w:p>
    <w:p>
      <w:pPr>
        <w:pStyle w:val="2"/>
        <w:spacing w:before="0" w:after="0" w:line="360" w:lineRule="auto"/>
        <w:rPr>
          <w:szCs w:val="36"/>
        </w:rPr>
      </w:pPr>
      <w:r>
        <w:rPr>
          <w:szCs w:val="36"/>
        </w:rPr>
        <w:t>附 件</w:t>
      </w:r>
      <w:bookmarkEnd w:id="37"/>
      <w:bookmarkEnd w:id="38"/>
    </w:p>
    <w:p>
      <w:pPr>
        <w:pStyle w:val="3"/>
        <w:keepNext w:val="0"/>
        <w:keepLines w:val="0"/>
        <w:widowControl w:val="0"/>
        <w:spacing w:before="0" w:after="0" w:line="360" w:lineRule="auto"/>
        <w:ind w:firstLine="600" w:firstLineChars="200"/>
        <w:contextualSpacing/>
        <w:rPr>
          <w:rFonts w:hint="eastAsia" w:ascii="Times New Roman" w:hAnsi="Times New Roman" w:eastAsia="仿宋_GB2312"/>
          <w:b w:val="0"/>
          <w:color w:val="000000"/>
          <w:sz w:val="28"/>
          <w:szCs w:val="28"/>
          <w:lang w:eastAsia="zh-CN"/>
        </w:rPr>
      </w:pPr>
      <w:bookmarkStart w:id="39" w:name="_Toc450851477"/>
      <w:r>
        <w:rPr>
          <w:rFonts w:ascii="Times New Roman" w:hAnsi="Times New Roman" w:eastAsia="仿宋_GB2312"/>
          <w:b w:val="0"/>
          <w:sz w:val="30"/>
          <w:szCs w:val="30"/>
        </w:rPr>
        <w:t>1、</w:t>
      </w:r>
      <w:bookmarkEnd w:id="39"/>
      <w:r>
        <w:rPr>
          <w:rFonts w:hint="eastAsia" w:ascii="Times New Roman" w:hAnsi="Times New Roman" w:eastAsia="仿宋_GB2312"/>
          <w:b w:val="0"/>
          <w:sz w:val="30"/>
          <w:szCs w:val="30"/>
          <w:lang w:val="en-US" w:eastAsia="zh-CN"/>
        </w:rPr>
        <w:t>司法鉴定委托书</w:t>
      </w:r>
    </w:p>
    <w:p>
      <w:pPr>
        <w:pStyle w:val="3"/>
        <w:keepNext w:val="0"/>
        <w:keepLines w:val="0"/>
        <w:widowControl w:val="0"/>
        <w:spacing w:before="0" w:after="240" w:afterLines="100" w:line="360" w:lineRule="auto"/>
        <w:ind w:firstLine="600" w:firstLineChars="200"/>
        <w:contextualSpacing/>
        <w:rPr>
          <w:rFonts w:hint="eastAsia" w:ascii="Times New Roman" w:hAnsi="Times New Roman" w:eastAsia="仿宋_GB2312"/>
          <w:b w:val="0"/>
          <w:sz w:val="30"/>
          <w:szCs w:val="30"/>
          <w:lang w:eastAsia="zh-CN"/>
        </w:rPr>
      </w:pPr>
      <w:bookmarkStart w:id="40" w:name="_Toc450851478"/>
      <w:r>
        <w:rPr>
          <w:rFonts w:ascii="Times New Roman" w:hAnsi="Times New Roman" w:eastAsia="仿宋_GB2312"/>
          <w:b w:val="0"/>
          <w:sz w:val="30"/>
          <w:szCs w:val="30"/>
        </w:rPr>
        <w:t>2、</w:t>
      </w:r>
      <w:bookmarkEnd w:id="40"/>
      <w:r>
        <w:rPr>
          <w:rFonts w:hint="eastAsia" w:ascii="Times New Roman" w:hAnsi="Times New Roman" w:eastAsia="仿宋_GB2312"/>
          <w:b w:val="0"/>
          <w:sz w:val="30"/>
          <w:szCs w:val="30"/>
          <w:lang w:eastAsia="zh-CN"/>
        </w:rPr>
        <w:t>青岛市房地产登记簿</w:t>
      </w:r>
    </w:p>
    <w:p>
      <w:pPr>
        <w:pStyle w:val="3"/>
        <w:keepNext w:val="0"/>
        <w:keepLines w:val="0"/>
        <w:widowControl w:val="0"/>
        <w:spacing w:before="0" w:after="240" w:afterLines="100" w:line="360" w:lineRule="auto"/>
        <w:ind w:firstLine="600" w:firstLineChars="200"/>
        <w:contextualSpacing/>
        <w:rPr>
          <w:rFonts w:ascii="Times New Roman" w:hAnsi="Times New Roman" w:eastAsia="仿宋_GB2312"/>
          <w:b w:val="0"/>
          <w:sz w:val="30"/>
          <w:szCs w:val="30"/>
        </w:rPr>
      </w:pPr>
      <w:bookmarkStart w:id="41" w:name="_Toc450851479"/>
      <w:r>
        <w:rPr>
          <w:rFonts w:ascii="Times New Roman" w:hAnsi="Times New Roman" w:eastAsia="仿宋_GB2312"/>
          <w:b w:val="0"/>
          <w:sz w:val="30"/>
          <w:szCs w:val="30"/>
        </w:rPr>
        <w:t>3、估价对象位置示意图</w:t>
      </w:r>
      <w:bookmarkEnd w:id="41"/>
    </w:p>
    <w:p>
      <w:pPr>
        <w:pStyle w:val="3"/>
        <w:keepNext w:val="0"/>
        <w:keepLines w:val="0"/>
        <w:widowControl w:val="0"/>
        <w:spacing w:before="0" w:after="240" w:afterLines="100" w:line="360" w:lineRule="auto"/>
        <w:ind w:firstLine="600" w:firstLineChars="200"/>
        <w:contextualSpacing/>
        <w:rPr>
          <w:rFonts w:ascii="Times New Roman" w:hAnsi="Times New Roman" w:eastAsia="仿宋_GB2312"/>
          <w:b w:val="0"/>
          <w:sz w:val="30"/>
          <w:szCs w:val="30"/>
        </w:rPr>
      </w:pPr>
      <w:bookmarkStart w:id="42" w:name="_Toc450851480"/>
      <w:r>
        <w:rPr>
          <w:rFonts w:ascii="Times New Roman" w:hAnsi="Times New Roman" w:eastAsia="仿宋_GB2312"/>
          <w:b w:val="0"/>
          <w:sz w:val="30"/>
          <w:szCs w:val="30"/>
        </w:rPr>
        <w:t>4、估价对象照片</w:t>
      </w:r>
      <w:bookmarkEnd w:id="42"/>
    </w:p>
    <w:p>
      <w:pPr>
        <w:pStyle w:val="3"/>
        <w:keepNext w:val="0"/>
        <w:keepLines w:val="0"/>
        <w:widowControl w:val="0"/>
        <w:spacing w:before="0" w:after="0" w:line="360" w:lineRule="auto"/>
        <w:ind w:firstLine="600" w:firstLineChars="200"/>
        <w:contextualSpacing/>
        <w:rPr>
          <w:rFonts w:ascii="Times New Roman" w:hAnsi="Times New Roman" w:eastAsia="仿宋_GB2312"/>
          <w:b w:val="0"/>
          <w:sz w:val="30"/>
          <w:szCs w:val="30"/>
        </w:rPr>
      </w:pPr>
      <w:bookmarkStart w:id="43" w:name="_Toc450851481"/>
      <w:r>
        <w:rPr>
          <w:rFonts w:ascii="Times New Roman" w:hAnsi="Times New Roman" w:eastAsia="仿宋_GB2312"/>
          <w:b w:val="0"/>
          <w:sz w:val="30"/>
          <w:szCs w:val="30"/>
        </w:rPr>
        <w:t>5、</w:t>
      </w:r>
      <w:bookmarkEnd w:id="43"/>
      <w:r>
        <w:rPr>
          <w:rFonts w:ascii="Times New Roman" w:hAnsi="Times New Roman" w:eastAsia="仿宋_GB2312"/>
          <w:b w:val="0"/>
          <w:sz w:val="30"/>
          <w:szCs w:val="30"/>
        </w:rPr>
        <w:t>房地产估价机构资质证书副本</w:t>
      </w:r>
    </w:p>
    <w:p>
      <w:pPr>
        <w:pStyle w:val="3"/>
        <w:keepNext w:val="0"/>
        <w:keepLines w:val="0"/>
        <w:widowControl w:val="0"/>
        <w:spacing w:before="0" w:after="0" w:line="360" w:lineRule="auto"/>
        <w:ind w:firstLine="600" w:firstLineChars="200"/>
        <w:contextualSpacing/>
        <w:rPr>
          <w:rFonts w:ascii="Times New Roman" w:hAnsi="Times New Roman" w:eastAsia="仿宋_GB2312"/>
          <w:b w:val="0"/>
          <w:sz w:val="30"/>
          <w:szCs w:val="30"/>
        </w:rPr>
      </w:pPr>
      <w:bookmarkStart w:id="44" w:name="_Toc450851482"/>
      <w:r>
        <w:rPr>
          <w:rFonts w:ascii="Times New Roman" w:hAnsi="Times New Roman" w:eastAsia="仿宋_GB2312"/>
          <w:b w:val="0"/>
          <w:sz w:val="30"/>
          <w:szCs w:val="30"/>
        </w:rPr>
        <w:t>6、</w:t>
      </w:r>
      <w:bookmarkEnd w:id="44"/>
      <w:r>
        <w:rPr>
          <w:rFonts w:ascii="Times New Roman" w:hAnsi="Times New Roman" w:eastAsia="仿宋_GB2312"/>
          <w:b w:val="0"/>
          <w:sz w:val="30"/>
          <w:szCs w:val="30"/>
        </w:rPr>
        <w:t>注册房地产估价师资格证书</w:t>
      </w:r>
    </w:p>
    <w:p>
      <w:pPr>
        <w:autoSpaceDE w:val="0"/>
        <w:autoSpaceDN w:val="0"/>
        <w:ind w:left="540" w:leftChars="270"/>
        <w:textAlignment w:val="bottom"/>
        <w:rPr>
          <w:rFonts w:eastAsia="仿宋_GB2312"/>
          <w:sz w:val="28"/>
          <w:szCs w:val="28"/>
        </w:rPr>
      </w:pPr>
      <w:r>
        <w:rPr>
          <w:rFonts w:eastAsia="仿宋_GB2312"/>
          <w:sz w:val="28"/>
          <w:szCs w:val="28"/>
        </w:rPr>
        <w:t xml:space="preserve">                             </w:t>
      </w:r>
    </w:p>
    <w:p>
      <w:pPr>
        <w:rPr>
          <w:rFonts w:eastAsia="仿宋_GB2312"/>
          <w:sz w:val="28"/>
          <w:szCs w:val="28"/>
        </w:rPr>
      </w:pPr>
      <w:r>
        <w:rPr>
          <w:rFonts w:eastAsia="仿宋_GB2312"/>
          <w:sz w:val="28"/>
          <w:szCs w:val="28"/>
        </w:rPr>
        <w:t xml:space="preserve">                                 </w:t>
      </w:r>
    </w:p>
    <w:p>
      <w:pPr>
        <w:rPr>
          <w:rFonts w:eastAsia="仿宋_GB2312"/>
          <w:sz w:val="28"/>
          <w:szCs w:val="28"/>
        </w:rPr>
      </w:pPr>
      <w:r>
        <w:rPr>
          <w:rFonts w:eastAsia="仿宋_GB2312"/>
          <w:sz w:val="28"/>
          <w:szCs w:val="28"/>
        </w:rPr>
        <w:t xml:space="preserve">                                 </w:t>
      </w:r>
    </w:p>
    <w:p>
      <w:pPr>
        <w:rPr>
          <w:b/>
          <w:color w:val="000000"/>
          <w:sz w:val="36"/>
          <w:szCs w:val="36"/>
        </w:rPr>
      </w:pPr>
      <w:r>
        <w:rPr>
          <w:b/>
          <w:color w:val="000000"/>
          <w:sz w:val="36"/>
          <w:szCs w:val="36"/>
        </w:rPr>
        <w:br w:type="page"/>
      </w:r>
    </w:p>
    <w:p>
      <w:pPr>
        <w:rPr>
          <w:b/>
          <w:color w:val="000000"/>
          <w:sz w:val="36"/>
          <w:szCs w:val="36"/>
        </w:rPr>
      </w:pPr>
    </w:p>
    <w:p>
      <w:pPr>
        <w:tabs>
          <w:tab w:val="left" w:pos="3825"/>
          <w:tab w:val="center" w:pos="4691"/>
        </w:tabs>
        <w:autoSpaceDE w:val="0"/>
        <w:autoSpaceDN w:val="0"/>
        <w:jc w:val="center"/>
        <w:textAlignment w:val="bottom"/>
        <w:rPr>
          <w:b/>
          <w:color w:val="000000"/>
          <w:sz w:val="36"/>
          <w:szCs w:val="36"/>
        </w:rPr>
      </w:pPr>
      <w:r>
        <w:rPr>
          <w:b/>
          <w:color w:val="000000"/>
          <w:sz w:val="36"/>
          <w:szCs w:val="36"/>
        </w:rPr>
        <w:t>估价技术报告目录</w:t>
      </w:r>
    </w:p>
    <w:p>
      <w:pPr>
        <w:tabs>
          <w:tab w:val="left" w:pos="3825"/>
          <w:tab w:val="center" w:pos="4691"/>
        </w:tabs>
        <w:autoSpaceDE w:val="0"/>
        <w:autoSpaceDN w:val="0"/>
        <w:spacing w:line="360" w:lineRule="auto"/>
        <w:textAlignment w:val="bottom"/>
        <w:rPr>
          <w:rFonts w:eastAsia="仿宋_GB2312"/>
          <w:color w:val="000000"/>
          <w:sz w:val="28"/>
          <w:szCs w:val="28"/>
        </w:rPr>
      </w:pPr>
    </w:p>
    <w:p>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一、估价对象描述与分析-----------------------------------------1</w:t>
      </w:r>
      <w:r>
        <w:rPr>
          <w:rFonts w:hint="eastAsia" w:eastAsia="仿宋_GB2312"/>
          <w:color w:val="000000"/>
          <w:sz w:val="28"/>
          <w:szCs w:val="28"/>
        </w:rPr>
        <w:t>5</w:t>
      </w:r>
    </w:p>
    <w:p>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二、市场背景描述与分析-----------------------------------------1</w:t>
      </w:r>
      <w:r>
        <w:rPr>
          <w:rFonts w:hint="eastAsia" w:eastAsia="仿宋_GB2312"/>
          <w:color w:val="000000"/>
          <w:sz w:val="28"/>
          <w:szCs w:val="28"/>
        </w:rPr>
        <w:t>6</w:t>
      </w:r>
    </w:p>
    <w:p>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三、估价对象最高最佳利用分析--------------------------------1</w:t>
      </w:r>
      <w:r>
        <w:rPr>
          <w:rFonts w:hint="eastAsia" w:eastAsia="仿宋_GB2312"/>
          <w:color w:val="000000"/>
          <w:sz w:val="28"/>
          <w:szCs w:val="28"/>
        </w:rPr>
        <w:t>7</w:t>
      </w:r>
    </w:p>
    <w:p>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四、估价方法适用性分析-----------------------------------------1</w:t>
      </w:r>
      <w:r>
        <w:rPr>
          <w:rFonts w:hint="eastAsia" w:eastAsia="仿宋_GB2312"/>
          <w:color w:val="000000"/>
          <w:sz w:val="28"/>
          <w:szCs w:val="28"/>
        </w:rPr>
        <w:t>7</w:t>
      </w:r>
    </w:p>
    <w:p>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五、估价测算过程--------------------------------------------------1</w:t>
      </w:r>
      <w:r>
        <w:rPr>
          <w:rFonts w:hint="eastAsia" w:eastAsia="仿宋_GB2312"/>
          <w:color w:val="000000"/>
          <w:sz w:val="28"/>
          <w:szCs w:val="28"/>
        </w:rPr>
        <w:t>8</w:t>
      </w:r>
    </w:p>
    <w:p>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六、估价结果确定--------------------------------------------------</w:t>
      </w:r>
      <w:r>
        <w:rPr>
          <w:rFonts w:hint="eastAsia" w:eastAsia="仿宋_GB2312"/>
          <w:color w:val="000000"/>
          <w:sz w:val="28"/>
          <w:szCs w:val="28"/>
        </w:rPr>
        <w:t>24</w:t>
      </w: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spacing w:line="360" w:lineRule="auto"/>
        <w:jc w:val="center"/>
        <w:rPr>
          <w:rFonts w:eastAsiaTheme="majorEastAsia"/>
          <w:b/>
          <w:bCs/>
          <w:color w:val="000000"/>
          <w:sz w:val="36"/>
          <w:szCs w:val="36"/>
        </w:rPr>
      </w:pPr>
      <w:r>
        <w:rPr>
          <w:rFonts w:eastAsiaTheme="majorEastAsia"/>
          <w:b/>
          <w:bCs/>
          <w:color w:val="000000"/>
          <w:sz w:val="36"/>
          <w:szCs w:val="36"/>
        </w:rPr>
        <w:t>估价技术报告</w:t>
      </w:r>
    </w:p>
    <w:p>
      <w:pPr>
        <w:autoSpaceDE w:val="0"/>
        <w:autoSpaceDN w:val="0"/>
        <w:spacing w:line="360" w:lineRule="auto"/>
        <w:textAlignment w:val="bottom"/>
        <w:rPr>
          <w:rFonts w:eastAsia="仿宋_GB2312"/>
          <w:b/>
          <w:sz w:val="30"/>
          <w:szCs w:val="30"/>
        </w:rPr>
      </w:pPr>
    </w:p>
    <w:p>
      <w:pPr>
        <w:autoSpaceDE w:val="0"/>
        <w:autoSpaceDN w:val="0"/>
        <w:spacing w:line="360" w:lineRule="auto"/>
        <w:textAlignment w:val="bottom"/>
        <w:rPr>
          <w:rFonts w:eastAsia="仿宋_GB2312"/>
          <w:b/>
          <w:sz w:val="30"/>
          <w:szCs w:val="30"/>
        </w:rPr>
      </w:pPr>
      <w:r>
        <w:rPr>
          <w:rFonts w:eastAsia="仿宋_GB2312"/>
          <w:b/>
          <w:sz w:val="30"/>
          <w:szCs w:val="30"/>
        </w:rPr>
        <w:t>一、估价对象描述与分析</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1、区位状况</w:t>
      </w:r>
    </w:p>
    <w:p>
      <w:pPr>
        <w:autoSpaceDE w:val="0"/>
        <w:autoSpaceDN w:val="0"/>
        <w:spacing w:line="360" w:lineRule="auto"/>
        <w:ind w:firstLine="560" w:firstLineChars="200"/>
        <w:textAlignment w:val="bottom"/>
        <w:rPr>
          <w:rFonts w:hint="eastAsia" w:ascii="Times New Roman" w:hAnsi="Times New Roman" w:eastAsia="仿宋_GB2312" w:cs="Times New Roman"/>
          <w:kern w:val="0"/>
          <w:sz w:val="28"/>
          <w:szCs w:val="28"/>
        </w:rPr>
      </w:pPr>
      <w:r>
        <w:rPr>
          <w:rFonts w:hint="eastAsia" w:eastAsia="仿宋_GB2312"/>
          <w:sz w:val="28"/>
          <w:szCs w:val="28"/>
        </w:rPr>
        <w:t>估价对象为区</w:t>
      </w:r>
      <w:r>
        <w:rPr>
          <w:rFonts w:hint="eastAsia" w:eastAsia="仿宋_GB2312"/>
          <w:sz w:val="28"/>
          <w:szCs w:val="28"/>
          <w:lang w:eastAsia="zh-CN"/>
        </w:rPr>
        <w:t>双元路18号160号楼2单元701户</w:t>
      </w:r>
      <w:r>
        <w:rPr>
          <w:rFonts w:hint="eastAsia" w:eastAsia="仿宋_GB2312"/>
          <w:sz w:val="28"/>
          <w:szCs w:val="28"/>
        </w:rPr>
        <w:t>，所在小区为</w:t>
      </w:r>
      <w:r>
        <w:rPr>
          <w:rFonts w:hint="eastAsia" w:eastAsia="仿宋_GB2312"/>
          <w:sz w:val="28"/>
          <w:szCs w:val="28"/>
          <w:lang w:eastAsia="zh-CN"/>
        </w:rPr>
        <w:t>卓越蔚蓝群岛</w:t>
      </w:r>
      <w:r>
        <w:rPr>
          <w:rFonts w:hint="eastAsia" w:eastAsia="仿宋_GB2312"/>
          <w:sz w:val="28"/>
          <w:szCs w:val="28"/>
        </w:rPr>
        <w:t>小区，现状用途为住宅，周边多为住宅小区；</w:t>
      </w:r>
      <w:r>
        <w:rPr>
          <w:rFonts w:eastAsia="仿宋_GB2312"/>
          <w:sz w:val="28"/>
          <w:szCs w:val="28"/>
        </w:rPr>
        <w:t>距离</w:t>
      </w:r>
      <w:r>
        <w:rPr>
          <w:rFonts w:hint="eastAsia" w:eastAsia="仿宋_GB2312"/>
          <w:sz w:val="28"/>
          <w:szCs w:val="28"/>
          <w:lang w:val="en-US" w:eastAsia="zh-CN"/>
        </w:rPr>
        <w:t>青兰高速较近</w:t>
      </w:r>
      <w:r>
        <w:rPr>
          <w:rFonts w:eastAsia="仿宋_GB2312"/>
          <w:sz w:val="28"/>
          <w:szCs w:val="28"/>
        </w:rPr>
        <w:t>，</w:t>
      </w:r>
      <w:r>
        <w:rPr>
          <w:rFonts w:hint="eastAsia" w:eastAsia="仿宋_GB2312"/>
          <w:sz w:val="28"/>
          <w:szCs w:val="28"/>
        </w:rPr>
        <w:t>对外交通状况良好，附近有</w:t>
      </w:r>
      <w:r>
        <w:rPr>
          <w:rFonts w:hint="eastAsia" w:eastAsia="仿宋_GB2312"/>
          <w:sz w:val="28"/>
          <w:szCs w:val="28"/>
          <w:lang w:val="en-US" w:eastAsia="zh-CN"/>
        </w:rPr>
        <w:t>934</w:t>
      </w:r>
      <w:r>
        <w:rPr>
          <w:rFonts w:hint="eastAsia" w:eastAsia="仿宋_GB2312"/>
          <w:sz w:val="28"/>
          <w:szCs w:val="28"/>
        </w:rPr>
        <w:t>路、</w:t>
      </w:r>
      <w:r>
        <w:rPr>
          <w:rFonts w:hint="eastAsia" w:eastAsia="仿宋_GB2312"/>
          <w:sz w:val="28"/>
          <w:szCs w:val="28"/>
          <w:lang w:val="en-US" w:eastAsia="zh-CN"/>
        </w:rPr>
        <w:t>122</w:t>
      </w:r>
      <w:r>
        <w:rPr>
          <w:rFonts w:hint="eastAsia" w:eastAsia="仿宋_GB2312"/>
          <w:sz w:val="28"/>
          <w:szCs w:val="28"/>
        </w:rPr>
        <w:t>路、</w:t>
      </w:r>
      <w:r>
        <w:rPr>
          <w:rFonts w:hint="eastAsia" w:eastAsia="仿宋_GB2312"/>
          <w:sz w:val="28"/>
          <w:szCs w:val="28"/>
          <w:lang w:val="en-US" w:eastAsia="zh-CN"/>
        </w:rPr>
        <w:t>733</w:t>
      </w:r>
      <w:r>
        <w:rPr>
          <w:rFonts w:hint="eastAsia" w:eastAsia="仿宋_GB2312"/>
          <w:sz w:val="28"/>
          <w:szCs w:val="28"/>
        </w:rPr>
        <w:t>路等公共交通路线，公共交通较便捷；周边有宾馆、银行、学校等公共配套设施，公共配套设施较完善。</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2、实物状况</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（1）土地基本状况</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w:t>
      </w:r>
      <w:r>
        <w:rPr>
          <w:rFonts w:hint="eastAsia" w:eastAsia="仿宋_GB2312"/>
          <w:sz w:val="28"/>
          <w:szCs w:val="28"/>
        </w:rPr>
        <w:t>委托方提供资料及</w:t>
      </w:r>
      <w:r>
        <w:rPr>
          <w:rFonts w:eastAsia="仿宋_GB2312"/>
          <w:sz w:val="28"/>
          <w:szCs w:val="28"/>
        </w:rPr>
        <w:t>实地查勘情况，估价对象所在宗地东至</w:t>
      </w:r>
      <w:r>
        <w:rPr>
          <w:rFonts w:hint="eastAsia" w:eastAsia="仿宋_GB2312"/>
          <w:sz w:val="28"/>
          <w:szCs w:val="28"/>
          <w:lang w:val="en-US" w:eastAsia="zh-CN"/>
        </w:rPr>
        <w:t>长江</w:t>
      </w:r>
      <w:r>
        <w:rPr>
          <w:rFonts w:eastAsia="仿宋_GB2312"/>
          <w:sz w:val="28"/>
          <w:szCs w:val="28"/>
        </w:rPr>
        <w:t>路、南至</w:t>
      </w:r>
      <w:r>
        <w:rPr>
          <w:rFonts w:hint="eastAsia" w:eastAsia="仿宋_GB2312"/>
          <w:sz w:val="28"/>
          <w:szCs w:val="28"/>
          <w:lang w:val="en-US" w:eastAsia="zh-CN"/>
        </w:rPr>
        <w:t>白沙河</w:t>
      </w:r>
      <w:r>
        <w:rPr>
          <w:rFonts w:hint="eastAsia" w:eastAsia="仿宋_GB2312"/>
          <w:sz w:val="28"/>
          <w:szCs w:val="28"/>
        </w:rPr>
        <w:t>路</w:t>
      </w:r>
      <w:r>
        <w:rPr>
          <w:rFonts w:eastAsia="仿宋_GB2312"/>
          <w:sz w:val="28"/>
          <w:szCs w:val="28"/>
        </w:rPr>
        <w:t>、北至</w:t>
      </w:r>
      <w:r>
        <w:rPr>
          <w:rFonts w:hint="eastAsia" w:eastAsia="仿宋_GB2312"/>
          <w:sz w:val="28"/>
          <w:szCs w:val="28"/>
          <w:lang w:val="en-US" w:eastAsia="zh-CN"/>
        </w:rPr>
        <w:t>阿里山</w:t>
      </w:r>
      <w:r>
        <w:rPr>
          <w:rFonts w:hint="eastAsia" w:eastAsia="仿宋_GB2312"/>
          <w:sz w:val="28"/>
          <w:szCs w:val="28"/>
        </w:rPr>
        <w:t>路</w:t>
      </w:r>
      <w:r>
        <w:rPr>
          <w:rFonts w:eastAsia="仿宋_GB2312"/>
          <w:sz w:val="28"/>
          <w:szCs w:val="28"/>
        </w:rPr>
        <w:t>，</w:t>
      </w:r>
      <w:r>
        <w:rPr>
          <w:rFonts w:hint="eastAsia" w:eastAsia="仿宋_GB2312"/>
          <w:sz w:val="28"/>
        </w:rPr>
        <w:t>共用使用权面积</w:t>
      </w:r>
      <w:r>
        <w:rPr>
          <w:rFonts w:hint="eastAsia" w:eastAsia="仿宋_GB2312"/>
          <w:sz w:val="28"/>
          <w:lang w:val="en-US" w:eastAsia="zh-CN"/>
        </w:rPr>
        <w:t>101940</w:t>
      </w:r>
      <w:r>
        <w:rPr>
          <w:rFonts w:hint="eastAsia" w:eastAsia="仿宋_GB2312"/>
          <w:sz w:val="28"/>
        </w:rPr>
        <w:t>平方米，</w:t>
      </w:r>
      <w:r>
        <w:rPr>
          <w:rFonts w:eastAsia="仿宋_GB2312"/>
          <w:sz w:val="28"/>
          <w:szCs w:val="28"/>
        </w:rPr>
        <w:t>宗地</w:t>
      </w:r>
      <w:r>
        <w:rPr>
          <w:rFonts w:hint="eastAsia" w:eastAsia="仿宋_GB2312"/>
          <w:sz w:val="28"/>
          <w:szCs w:val="28"/>
        </w:rPr>
        <w:t>形状规则，地势较平坦，</w:t>
      </w:r>
      <w:r>
        <w:rPr>
          <w:rFonts w:eastAsia="仿宋_GB2312"/>
          <w:sz w:val="28"/>
          <w:szCs w:val="28"/>
        </w:rPr>
        <w:t>地质状况一般，地形条件一般。宗地内实际开发程度为七通一平（上水、下水、通路、通电、燃气、暖气、通讯，场地平整）。</w:t>
      </w:r>
    </w:p>
    <w:p>
      <w:pPr>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（2）</w:t>
      </w:r>
      <w:r>
        <w:rPr>
          <w:rFonts w:eastAsia="仿宋_GB2312"/>
          <w:sz w:val="28"/>
          <w:szCs w:val="28"/>
        </w:rPr>
        <w:t>建筑物基本状况</w:t>
      </w:r>
    </w:p>
    <w:p>
      <w:pPr>
        <w:autoSpaceDE w:val="0"/>
        <w:autoSpaceDN w:val="0"/>
        <w:spacing w:line="360" w:lineRule="auto"/>
        <w:ind w:firstLine="560" w:firstLineChars="200"/>
        <w:textAlignment w:val="bottom"/>
        <w:rPr>
          <w:rFonts w:eastAsia="仿宋_GB2312"/>
          <w:sz w:val="30"/>
          <w:szCs w:val="30"/>
        </w:rPr>
      </w:pPr>
      <w:r>
        <w:rPr>
          <w:rFonts w:eastAsia="仿宋_GB2312"/>
          <w:sz w:val="28"/>
          <w:szCs w:val="28"/>
        </w:rPr>
        <w:t>根据实地查勘，估价对象所在建筑物地上共</w:t>
      </w:r>
      <w:r>
        <w:rPr>
          <w:rFonts w:hint="eastAsia" w:eastAsia="仿宋_GB2312"/>
          <w:sz w:val="28"/>
          <w:szCs w:val="28"/>
        </w:rPr>
        <w:t>1</w:t>
      </w:r>
      <w:r>
        <w:rPr>
          <w:rFonts w:hint="eastAsia" w:eastAsia="仿宋_GB2312"/>
          <w:sz w:val="28"/>
          <w:szCs w:val="28"/>
          <w:lang w:val="en-US" w:eastAsia="zh-CN"/>
        </w:rPr>
        <w:t>1</w:t>
      </w:r>
      <w:r>
        <w:rPr>
          <w:rFonts w:eastAsia="仿宋_GB2312"/>
          <w:sz w:val="28"/>
          <w:szCs w:val="28"/>
        </w:rPr>
        <w:t>层，房屋结构为</w:t>
      </w:r>
      <w:r>
        <w:rPr>
          <w:rFonts w:hint="eastAsia" w:eastAsia="仿宋_GB2312"/>
          <w:sz w:val="28"/>
          <w:szCs w:val="28"/>
        </w:rPr>
        <w:t>钢混</w:t>
      </w:r>
      <w:r>
        <w:rPr>
          <w:rFonts w:eastAsia="仿宋_GB2312"/>
          <w:sz w:val="28"/>
          <w:szCs w:val="28"/>
        </w:rPr>
        <w:t>结构，建成于20</w:t>
      </w:r>
      <w:r>
        <w:rPr>
          <w:rFonts w:hint="eastAsia" w:eastAsia="仿宋_GB2312"/>
          <w:sz w:val="28"/>
          <w:szCs w:val="28"/>
          <w:lang w:val="en-US" w:eastAsia="zh-CN"/>
        </w:rPr>
        <w:t>15</w:t>
      </w:r>
      <w:r>
        <w:rPr>
          <w:rFonts w:eastAsia="仿宋_GB2312"/>
          <w:sz w:val="28"/>
          <w:szCs w:val="28"/>
        </w:rPr>
        <w:t>年；楼座公共部位：外墙</w:t>
      </w:r>
      <w:r>
        <w:rPr>
          <w:rFonts w:hint="eastAsia" w:eastAsia="仿宋_GB2312"/>
          <w:sz w:val="28"/>
          <w:szCs w:val="28"/>
        </w:rPr>
        <w:t>刷涂料</w:t>
      </w:r>
      <w:r>
        <w:rPr>
          <w:rFonts w:eastAsia="仿宋_GB2312"/>
          <w:sz w:val="28"/>
          <w:szCs w:val="28"/>
        </w:rPr>
        <w:t>，内墙面</w:t>
      </w:r>
      <w:r>
        <w:rPr>
          <w:rFonts w:hint="eastAsia" w:eastAsia="仿宋_GB2312"/>
          <w:sz w:val="28"/>
          <w:szCs w:val="28"/>
          <w:lang w:val="en-US" w:eastAsia="zh-CN"/>
        </w:rPr>
        <w:t>贴瓷砖</w:t>
      </w:r>
      <w:r>
        <w:rPr>
          <w:rFonts w:eastAsia="仿宋_GB2312"/>
          <w:sz w:val="28"/>
          <w:szCs w:val="28"/>
        </w:rPr>
        <w:t>，地砖地面</w:t>
      </w:r>
      <w:r>
        <w:rPr>
          <w:rFonts w:hint="eastAsia" w:eastAsia="仿宋_GB2312"/>
          <w:sz w:val="28"/>
          <w:szCs w:val="28"/>
        </w:rPr>
        <w:t>，</w:t>
      </w:r>
      <w:r>
        <w:rPr>
          <w:rFonts w:eastAsia="仿宋_GB2312"/>
          <w:sz w:val="28"/>
          <w:szCs w:val="28"/>
        </w:rPr>
        <w:t>单元门为</w:t>
      </w:r>
      <w:r>
        <w:rPr>
          <w:rFonts w:hint="eastAsia" w:eastAsia="仿宋_GB2312"/>
          <w:sz w:val="28"/>
          <w:szCs w:val="28"/>
        </w:rPr>
        <w:t>铝合金玻璃</w:t>
      </w:r>
      <w:r>
        <w:rPr>
          <w:rFonts w:eastAsia="仿宋_GB2312"/>
          <w:sz w:val="28"/>
          <w:szCs w:val="28"/>
        </w:rPr>
        <w:t>防盗门，楼梯间为</w:t>
      </w:r>
      <w:r>
        <w:rPr>
          <w:rFonts w:hint="eastAsia" w:eastAsia="仿宋_GB2312"/>
          <w:sz w:val="28"/>
          <w:szCs w:val="28"/>
          <w:lang w:val="en-US" w:eastAsia="zh-CN"/>
        </w:rPr>
        <w:t>瓷砖</w:t>
      </w:r>
      <w:r>
        <w:rPr>
          <w:rFonts w:eastAsia="仿宋_GB2312"/>
          <w:sz w:val="28"/>
          <w:szCs w:val="28"/>
        </w:rPr>
        <w:t>踏步、</w:t>
      </w:r>
      <w:r>
        <w:rPr>
          <w:rFonts w:hint="eastAsia" w:eastAsia="仿宋_GB2312"/>
          <w:sz w:val="28"/>
          <w:szCs w:val="28"/>
        </w:rPr>
        <w:t>铁</w:t>
      </w:r>
      <w:r>
        <w:rPr>
          <w:rFonts w:eastAsia="仿宋_GB2312"/>
          <w:sz w:val="28"/>
          <w:szCs w:val="28"/>
        </w:rPr>
        <w:t>护栏，楼层布局为</w:t>
      </w:r>
      <w:r>
        <w:rPr>
          <w:rFonts w:hint="eastAsia" w:eastAsia="仿宋_GB2312"/>
          <w:sz w:val="28"/>
          <w:szCs w:val="28"/>
          <w:lang w:val="en-US" w:eastAsia="zh-CN"/>
        </w:rPr>
        <w:t>1</w:t>
      </w:r>
      <w:r>
        <w:rPr>
          <w:rFonts w:eastAsia="仿宋_GB2312"/>
          <w:sz w:val="28"/>
          <w:szCs w:val="28"/>
        </w:rPr>
        <w:t>梯</w:t>
      </w:r>
      <w:r>
        <w:rPr>
          <w:rFonts w:hint="eastAsia" w:eastAsia="仿宋_GB2312"/>
          <w:sz w:val="28"/>
          <w:szCs w:val="28"/>
          <w:lang w:val="en-US" w:eastAsia="zh-CN"/>
        </w:rPr>
        <w:t>2</w:t>
      </w:r>
      <w:r>
        <w:rPr>
          <w:rFonts w:eastAsia="仿宋_GB2312"/>
          <w:sz w:val="28"/>
          <w:szCs w:val="28"/>
        </w:rPr>
        <w:t>户。估价对象所在层数为</w:t>
      </w:r>
      <w:r>
        <w:rPr>
          <w:rFonts w:hint="eastAsia" w:eastAsia="仿宋_GB2312"/>
          <w:sz w:val="28"/>
          <w:szCs w:val="28"/>
          <w:lang w:val="en-US" w:eastAsia="zh-CN"/>
        </w:rPr>
        <w:t>7</w:t>
      </w:r>
      <w:r>
        <w:rPr>
          <w:rFonts w:eastAsia="仿宋_GB2312"/>
          <w:sz w:val="28"/>
          <w:szCs w:val="28"/>
        </w:rPr>
        <w:t>层，房屋入户门为防盗</w:t>
      </w:r>
      <w:r>
        <w:rPr>
          <w:rFonts w:hint="eastAsia" w:eastAsia="仿宋_GB2312"/>
          <w:sz w:val="28"/>
          <w:szCs w:val="28"/>
        </w:rPr>
        <w:t>木</w:t>
      </w:r>
      <w:r>
        <w:rPr>
          <w:rFonts w:eastAsia="仿宋_GB2312"/>
          <w:sz w:val="28"/>
          <w:szCs w:val="28"/>
        </w:rPr>
        <w:t>门，</w:t>
      </w:r>
      <w:r>
        <w:rPr>
          <w:rFonts w:hint="eastAsia" w:eastAsia="仿宋_GB2312"/>
          <w:sz w:val="28"/>
          <w:szCs w:val="28"/>
          <w:lang w:val="en-US" w:eastAsia="zh-CN"/>
        </w:rPr>
        <w:t>因未能入户勘察，本次评估</w:t>
      </w:r>
      <w:r>
        <w:rPr>
          <w:rFonts w:eastAsia="仿宋_GB2312"/>
          <w:sz w:val="28"/>
          <w:szCs w:val="28"/>
        </w:rPr>
        <w:t>室内装修</w:t>
      </w:r>
      <w:r>
        <w:rPr>
          <w:rFonts w:hint="eastAsia" w:eastAsia="仿宋_GB2312"/>
          <w:sz w:val="28"/>
          <w:szCs w:val="28"/>
        </w:rPr>
        <w:t>设定为毛坯。</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3、权益状况</w:t>
      </w:r>
    </w:p>
    <w:p>
      <w:pPr>
        <w:autoSpaceDE w:val="0"/>
        <w:autoSpaceDN w:val="0"/>
        <w:spacing w:line="360" w:lineRule="auto"/>
        <w:ind w:right="2" w:firstLine="537" w:firstLineChars="192"/>
        <w:jc w:val="both"/>
        <w:textAlignment w:val="bottom"/>
        <w:rPr>
          <w:rFonts w:hint="eastAsia" w:eastAsia="仿宋_GB2312"/>
          <w:sz w:val="28"/>
          <w:szCs w:val="28"/>
          <w:lang w:eastAsia="zh-CN"/>
        </w:rPr>
      </w:pPr>
      <w:r>
        <w:rPr>
          <w:rFonts w:eastAsia="仿宋_GB2312"/>
          <w:sz w:val="28"/>
          <w:szCs w:val="28"/>
        </w:rPr>
        <w:t>根据估价委托人提供的《</w:t>
      </w:r>
      <w:r>
        <w:rPr>
          <w:rFonts w:hint="eastAsia" w:eastAsia="仿宋_GB2312"/>
          <w:sz w:val="28"/>
          <w:szCs w:val="28"/>
          <w:lang w:eastAsia="zh-CN"/>
        </w:rPr>
        <w:t>青岛市房地产登记簿</w:t>
      </w:r>
      <w:r>
        <w:rPr>
          <w:rFonts w:eastAsia="仿宋_GB2312"/>
          <w:sz w:val="28"/>
          <w:szCs w:val="28"/>
        </w:rPr>
        <w:t>》，估价对象房地产权利人为</w:t>
      </w:r>
      <w:r>
        <w:rPr>
          <w:rFonts w:hint="eastAsia" w:eastAsia="仿宋_GB2312"/>
          <w:sz w:val="28"/>
          <w:szCs w:val="28"/>
          <w:lang w:eastAsia="zh-CN"/>
        </w:rPr>
        <w:t>绍先海</w:t>
      </w:r>
      <w:r>
        <w:rPr>
          <w:rFonts w:hint="eastAsia" w:eastAsia="仿宋_GB2312"/>
          <w:sz w:val="28"/>
          <w:szCs w:val="28"/>
        </w:rPr>
        <w:t>，</w:t>
      </w:r>
      <w:r>
        <w:rPr>
          <w:rFonts w:hint="eastAsia" w:eastAsia="仿宋_GB2312"/>
          <w:sz w:val="28"/>
          <w:szCs w:val="28"/>
          <w:lang w:val="en-US" w:eastAsia="zh-CN"/>
        </w:rPr>
        <w:t>房地产证号为市201584538，</w:t>
      </w:r>
      <w:r>
        <w:rPr>
          <w:rFonts w:hint="eastAsia" w:eastAsia="仿宋_GB2312"/>
          <w:sz w:val="28"/>
          <w:szCs w:val="28"/>
        </w:rPr>
        <w:t>房屋类型为成套住宅；</w:t>
      </w:r>
      <w:r>
        <w:rPr>
          <w:rFonts w:eastAsia="仿宋_GB2312"/>
          <w:sz w:val="28"/>
        </w:rPr>
        <w:t>土地</w:t>
      </w:r>
      <w:r>
        <w:rPr>
          <w:rFonts w:hint="eastAsia" w:eastAsia="仿宋_GB2312"/>
          <w:sz w:val="28"/>
        </w:rPr>
        <w:t>使用权</w:t>
      </w:r>
      <w:r>
        <w:rPr>
          <w:rFonts w:hint="eastAsia" w:eastAsia="仿宋_GB2312"/>
          <w:sz w:val="28"/>
          <w:lang w:val="en-US" w:eastAsia="zh-CN"/>
        </w:rPr>
        <w:t>类型</w:t>
      </w:r>
      <w:r>
        <w:rPr>
          <w:rFonts w:hint="eastAsia" w:eastAsia="仿宋_GB2312"/>
          <w:sz w:val="28"/>
        </w:rPr>
        <w:t>为出让，</w:t>
      </w:r>
      <w:r>
        <w:rPr>
          <w:rFonts w:hint="eastAsia" w:eastAsia="仿宋_GB2312"/>
          <w:sz w:val="28"/>
          <w:szCs w:val="28"/>
        </w:rPr>
        <w:t>地号：</w:t>
      </w:r>
      <w:r>
        <w:rPr>
          <w:rFonts w:hint="eastAsia" w:eastAsia="仿宋_GB2312"/>
          <w:sz w:val="28"/>
          <w:szCs w:val="28"/>
          <w:lang w:eastAsia="zh-CN"/>
        </w:rPr>
        <w:t>1400300300021000</w:t>
      </w:r>
      <w:r>
        <w:rPr>
          <w:rFonts w:hint="eastAsia" w:eastAsia="仿宋_GB2312"/>
          <w:sz w:val="28"/>
          <w:szCs w:val="28"/>
        </w:rPr>
        <w:t>，</w:t>
      </w:r>
      <w:r>
        <w:rPr>
          <w:rFonts w:eastAsia="仿宋_GB2312"/>
          <w:sz w:val="28"/>
        </w:rPr>
        <w:t>土地使用期限</w:t>
      </w:r>
      <w:r>
        <w:rPr>
          <w:rFonts w:hint="eastAsia" w:eastAsia="仿宋_GB2312"/>
          <w:sz w:val="28"/>
          <w:lang w:eastAsia="zh-CN"/>
        </w:rPr>
        <w:t>到2076年11月2日为止</w:t>
      </w:r>
      <w:r>
        <w:rPr>
          <w:rFonts w:hint="eastAsia" w:eastAsia="仿宋_GB2312"/>
          <w:sz w:val="28"/>
        </w:rPr>
        <w:t>，土地批准用途为城镇</w:t>
      </w:r>
      <w:r>
        <w:rPr>
          <w:rFonts w:hint="eastAsia" w:eastAsia="仿宋_GB2312"/>
          <w:sz w:val="28"/>
          <w:lang w:val="en-US" w:eastAsia="zh-CN"/>
        </w:rPr>
        <w:t>单一</w:t>
      </w:r>
      <w:r>
        <w:rPr>
          <w:rFonts w:hint="eastAsia" w:eastAsia="仿宋_GB2312"/>
          <w:sz w:val="28"/>
        </w:rPr>
        <w:t>住宅用地。</w:t>
      </w:r>
      <w:r>
        <w:rPr>
          <w:rFonts w:hint="eastAsia" w:eastAsia="仿宋_GB2312"/>
          <w:sz w:val="28"/>
          <w:szCs w:val="28"/>
        </w:rPr>
        <w:t>截至价值时点，估价对象已办理抵押权登记</w:t>
      </w:r>
      <w:r>
        <w:rPr>
          <w:rFonts w:hint="eastAsia" w:eastAsia="仿宋_GB2312"/>
          <w:sz w:val="28"/>
          <w:szCs w:val="28"/>
          <w:lang w:eastAsia="zh-CN"/>
        </w:rPr>
        <w:t>。</w:t>
      </w:r>
    </w:p>
    <w:p>
      <w:pPr>
        <w:autoSpaceDE w:val="0"/>
        <w:autoSpaceDN w:val="0"/>
        <w:spacing w:line="360" w:lineRule="auto"/>
        <w:textAlignment w:val="bottom"/>
        <w:rPr>
          <w:rFonts w:eastAsia="仿宋_GB2312"/>
          <w:b/>
          <w:sz w:val="30"/>
          <w:szCs w:val="30"/>
        </w:rPr>
      </w:pPr>
      <w:r>
        <w:rPr>
          <w:rFonts w:eastAsia="仿宋_GB2312"/>
          <w:b/>
          <w:sz w:val="30"/>
          <w:szCs w:val="30"/>
        </w:rPr>
        <w:t>二、市场背景描述与分析</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1、区域情况分析</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青岛是一座以港口贸易、现代化工业、海洋科研和旅游度假为主要特色的沿海开放城市，是全国15个经济中心城市之一，14个对外开放的沿海港口城市之一，国家计划单列城市。青岛市对外交通便利，308国道、济青高速、烟青公路、胶济铁路、青黄环海公路等国家、省级公路对外沟通，市内交通根据纵横干线连二环的规划路网进行建设，开辟了三十余条国内航线和香港、日本、韩国等国际航线，对外交通已基本形成了以港口为枢纽，海陆空立体并进的“大口岸”网络。</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城阳区是青岛市六个市辖区之一，东依崂山区，南接李沧区，西临胶州湾与胶州市相邻，北与即墨市毗连。城阳区地处青岛市区北部，两面平原，一面环山，一面临海，具有优越的区位优势和交通优势，是环胶洲湾经济聚集带的中坚地带和青岛市最重要的工业发展腹地及农副产品供应基础。域内有青岛国际空港流亭国际机场、国内最大的公路立交桥</w:t>
      </w:r>
      <w:r>
        <w:rPr>
          <w:sz w:val="28"/>
          <w:szCs w:val="28"/>
        </w:rPr>
        <w:t>――</w:t>
      </w:r>
      <w:r>
        <w:rPr>
          <w:rFonts w:eastAsia="仿宋_GB2312"/>
          <w:sz w:val="28"/>
          <w:szCs w:val="28"/>
        </w:rPr>
        <w:t>流亭立交桥和国内最大的跨海大桥</w:t>
      </w:r>
      <w:r>
        <w:rPr>
          <w:sz w:val="28"/>
          <w:szCs w:val="28"/>
        </w:rPr>
        <w:t>――</w:t>
      </w:r>
      <w:r>
        <w:rPr>
          <w:rFonts w:eastAsia="仿宋_GB2312"/>
          <w:sz w:val="28"/>
          <w:szCs w:val="28"/>
        </w:rPr>
        <w:t>环胶州湾高速公路跨海大桥，与全国著名港口青岛港和黄岛前湾港近在咫尺。胶济铁路、 308 国道、 204 国道、济青高速公路、烟青公路纵横交错，形成极其便利的立体交通网络，是青岛通向国内外的必经之地。</w:t>
      </w:r>
    </w:p>
    <w:p>
      <w:pPr>
        <w:autoSpaceDE w:val="0"/>
        <w:autoSpaceDN w:val="0"/>
        <w:spacing w:line="360" w:lineRule="auto"/>
        <w:ind w:firstLine="630" w:firstLineChars="225"/>
        <w:textAlignment w:val="bottom"/>
        <w:rPr>
          <w:rFonts w:eastAsia="仿宋_GB2312"/>
          <w:sz w:val="28"/>
          <w:szCs w:val="28"/>
        </w:rPr>
      </w:pPr>
      <w:r>
        <w:rPr>
          <w:rFonts w:hint="eastAsia" w:eastAsia="仿宋_GB2312"/>
          <w:sz w:val="28"/>
          <w:szCs w:val="28"/>
        </w:rPr>
        <w:t>初步核算，2017年预计全区生产总值完成1009亿元，增长8.1%；一般公共预算收入完成104.7亿元，增长9.1%；固定资产投资完成721亿元，增长5.5%；社会消费品零售总额完成263.5亿元，增长12.6%；对外贸易总额完成101亿美元，保持稳定增长。特别是，首次实现GDP过千亿、财政收入过百亿、对外贸易过百亿美元，标志着城阳已跃升到新的城市能级。</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2、房地产市场状况分析</w:t>
      </w:r>
    </w:p>
    <w:p>
      <w:pPr>
        <w:autoSpaceDE w:val="0"/>
        <w:autoSpaceDN w:val="0"/>
        <w:spacing w:line="360" w:lineRule="auto"/>
        <w:ind w:firstLine="603" w:firstLineChars="225"/>
        <w:textAlignment w:val="bottom"/>
        <w:rPr>
          <w:rFonts w:eastAsia="仿宋_GB2312"/>
          <w:spacing w:val="-6"/>
          <w:sz w:val="28"/>
          <w:szCs w:val="28"/>
        </w:rPr>
      </w:pPr>
      <w:r>
        <w:rPr>
          <w:rFonts w:eastAsia="仿宋_GB2312"/>
          <w:spacing w:val="-6"/>
          <w:sz w:val="28"/>
          <w:szCs w:val="28"/>
        </w:rPr>
        <w:t>2015年随着二孩政策放开的推进，政府频放房地产利好讯息，开发商频繁拿地，加之央行降低首套房商贷首付，商贷及公积金连续5次降息等一系列利好政策，大大减轻购房者购房压力，使正在观望的刚需及改善型购房者从容入市，推动了整个房地产市场的回暖。2016年随着二孩政策的落地，首套商品住房交易契税的降低，城市基础及公共配套设施的完善，旧城旧村改造的推进，保障性住房建设力度的加大，创造出良好的房地产市场环境。</w:t>
      </w:r>
      <w:r>
        <w:rPr>
          <w:rFonts w:hint="eastAsia" w:eastAsia="仿宋_GB2312"/>
          <w:spacing w:val="-6"/>
          <w:sz w:val="28"/>
          <w:szCs w:val="28"/>
        </w:rPr>
        <w:t>2017年，青岛实施房产新政，市内六区限购、全市限售，区域成交分化明显。市区限购需求外溢，主城区供应稀缺及规划利好等多重因素致郊区房地产市场热度持续提升。2017年商品住宅共成交1677.34万平米/15.4万套，同比下降14.53%/16.95%。月均成交139.78万平方米，同比下降14.53%。</w:t>
      </w:r>
      <w:r>
        <w:rPr>
          <w:rFonts w:eastAsia="仿宋_GB2312"/>
          <w:spacing w:val="-6"/>
          <w:sz w:val="28"/>
          <w:szCs w:val="28"/>
        </w:rPr>
        <w:t>城阳区近年来房地产发展状况良好，未来一年该区域房地产市场将继续保持良好的发展态势，房地产价格将稳中有升。</w:t>
      </w:r>
    </w:p>
    <w:p>
      <w:pPr>
        <w:autoSpaceDE w:val="0"/>
        <w:autoSpaceDN w:val="0"/>
        <w:spacing w:line="360" w:lineRule="auto"/>
        <w:textAlignment w:val="bottom"/>
        <w:rPr>
          <w:rFonts w:eastAsia="仿宋_GB2312"/>
          <w:b/>
          <w:sz w:val="30"/>
          <w:szCs w:val="30"/>
        </w:rPr>
      </w:pPr>
      <w:r>
        <w:rPr>
          <w:rFonts w:eastAsia="仿宋_GB2312"/>
          <w:b/>
          <w:sz w:val="30"/>
          <w:szCs w:val="30"/>
        </w:rPr>
        <w:t>三、估价对象最高最佳利用分析</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所谓最高最佳利用是房地产在法律上允许、技术上可能、财务上可行并使价值最大的合理、可能的利用，包括最佳的用途、规模、档次等。</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根据估价委托人提供资料及实地查勘情况，估价对象</w:t>
      </w:r>
      <w:r>
        <w:rPr>
          <w:rFonts w:hint="eastAsia" w:eastAsia="仿宋_GB2312"/>
          <w:sz w:val="28"/>
          <w:szCs w:val="28"/>
          <w:lang w:val="en-US" w:eastAsia="zh-CN"/>
        </w:rPr>
        <w:t>登记</w:t>
      </w:r>
      <w:r>
        <w:rPr>
          <w:rFonts w:eastAsia="仿宋_GB2312"/>
          <w:sz w:val="28"/>
          <w:szCs w:val="28"/>
        </w:rPr>
        <w:t>用途为住宅、现状用途与</w:t>
      </w:r>
      <w:r>
        <w:rPr>
          <w:rFonts w:hint="eastAsia" w:eastAsia="仿宋_GB2312"/>
          <w:sz w:val="28"/>
          <w:szCs w:val="28"/>
          <w:lang w:val="en-US" w:eastAsia="zh-CN"/>
        </w:rPr>
        <w:t>登记</w:t>
      </w:r>
      <w:r>
        <w:rPr>
          <w:rFonts w:eastAsia="仿宋_GB2312"/>
          <w:sz w:val="28"/>
          <w:szCs w:val="28"/>
        </w:rPr>
        <w:t>用途相一致，确定估价对象最高最佳利用方式为住宅。</w:t>
      </w:r>
    </w:p>
    <w:p>
      <w:pPr>
        <w:autoSpaceDE w:val="0"/>
        <w:autoSpaceDN w:val="0"/>
        <w:spacing w:line="360" w:lineRule="auto"/>
        <w:textAlignment w:val="bottom"/>
        <w:rPr>
          <w:rFonts w:eastAsia="仿宋_GB2312"/>
          <w:b/>
          <w:sz w:val="30"/>
          <w:szCs w:val="30"/>
        </w:rPr>
      </w:pPr>
      <w:r>
        <w:rPr>
          <w:rFonts w:eastAsia="仿宋_GB2312"/>
          <w:b/>
          <w:sz w:val="30"/>
          <w:szCs w:val="30"/>
        </w:rPr>
        <w:t>四、估价方法适用性分析</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根据《房地产估价规范》，房地产估价常用的方法有比较法、收益法、成本法、假设开发法等几种方法。估价人员在认真分析所掌握的资料并进行了实地勘察之后，确定采用比较法和收益法进行评估。</w:t>
      </w:r>
    </w:p>
    <w:p>
      <w:pPr>
        <w:widowControl w:val="0"/>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1、宜选用的估价方法：</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（1）比较法是将估价对象与在价值时点近期有过交易的类似房地产进行比较，对这些类似房地产的已知价格作适当的修正，以此估算估价对象的客观合理价值或价格的方法。</w:t>
      </w:r>
      <w:r>
        <w:rPr>
          <w:rFonts w:hint="eastAsia" w:eastAsia="仿宋_GB2312"/>
          <w:sz w:val="28"/>
          <w:szCs w:val="28"/>
        </w:rPr>
        <w:t>该方法仅适用于市场比较稳定，有大量丰富交易实例的地区，并且交易实例与估价对象应有相关性和替代性；</w:t>
      </w:r>
      <w:r>
        <w:rPr>
          <w:rFonts w:eastAsia="仿宋_GB2312"/>
          <w:sz w:val="28"/>
          <w:szCs w:val="28"/>
        </w:rPr>
        <w:t>根据估价对象的特点和实际状况，在认真分析所掌握的资料并进行了实地查勘及市场调查之后，得出该区域房地产市场活跃，存在较多同类房地产交易</w:t>
      </w:r>
      <w:r>
        <w:rPr>
          <w:rFonts w:hint="eastAsia" w:eastAsia="仿宋_GB2312"/>
          <w:sz w:val="28"/>
          <w:szCs w:val="28"/>
        </w:rPr>
        <w:t>实例</w:t>
      </w:r>
      <w:r>
        <w:rPr>
          <w:rFonts w:eastAsia="仿宋_GB2312"/>
          <w:sz w:val="28"/>
          <w:szCs w:val="28"/>
        </w:rPr>
        <w:t>，故选取比较法作为本次估价的评估方法。</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2）收益法是在估算评估对象在未来每年预期纯收益的基础上，以一定的还原利率，将评估对象在未来每年的纯收益折算为评估时日收益总和的一种估价方法；适用于房地产租赁市场比较活跃的地区，估价对象所在区域公开市场上类似房地产租赁市场比较活跃，物业的客观收益能通过市场调查得到，且估价对象作为住宅，具有收益性，适于选用收益法测算该房地产的收益价值，故选取收益法作为本次估价的评估方法之一。</w:t>
      </w:r>
    </w:p>
    <w:p>
      <w:pPr>
        <w:widowControl w:val="0"/>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2、不宜选用的估价方法：</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1）成本法是以估价对象重置成本或重建成本减去折旧得到估价对象价值的估价方法。在现实中，房地产的价值取决于其效用，而非花费的成本。成本法较为适用于如学校、工厂、医院、图书馆等较少发生交易的或非经营性、非收益性的房地产价值的评估，估价对象用途为住宅，可出租具有收益性，不适用该方法进行测算。</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w:t>
      </w:r>
      <w:r>
        <w:rPr>
          <w:rFonts w:hint="eastAsia" w:eastAsia="仿宋_GB2312"/>
          <w:sz w:val="28"/>
          <w:szCs w:val="28"/>
        </w:rPr>
        <w:t>2</w:t>
      </w:r>
      <w:r>
        <w:rPr>
          <w:rFonts w:eastAsia="仿宋_GB2312"/>
          <w:sz w:val="28"/>
          <w:szCs w:val="28"/>
        </w:rPr>
        <w:t>）假设开发法适用于具有开发或再开发潜力的房地产价值测算，多用于可供开发的土地、在建工程、可重新开发，更新改造或变更用途的房地产价值评估，估价对象为已开发完成的房地产，且无再开发改造的必要，故不适用该方法进行评估。</w:t>
      </w:r>
    </w:p>
    <w:p>
      <w:pPr>
        <w:autoSpaceDE w:val="0"/>
        <w:autoSpaceDN w:val="0"/>
        <w:spacing w:line="360" w:lineRule="auto"/>
        <w:textAlignment w:val="bottom"/>
        <w:rPr>
          <w:rFonts w:eastAsia="仿宋_GB2312"/>
          <w:b/>
          <w:sz w:val="30"/>
          <w:szCs w:val="30"/>
        </w:rPr>
      </w:pPr>
      <w:r>
        <w:rPr>
          <w:rFonts w:eastAsia="仿宋_GB2312"/>
          <w:b/>
          <w:sz w:val="30"/>
          <w:szCs w:val="30"/>
        </w:rPr>
        <w:t>五、估价测算过程</w:t>
      </w:r>
    </w:p>
    <w:p>
      <w:pPr>
        <w:spacing w:line="360" w:lineRule="auto"/>
        <w:ind w:firstLine="562" w:firstLineChars="200"/>
        <w:rPr>
          <w:rFonts w:eastAsia="仿宋"/>
          <w:sz w:val="28"/>
          <w:szCs w:val="28"/>
        </w:rPr>
      </w:pPr>
      <w:r>
        <w:rPr>
          <w:rFonts w:eastAsia="仿宋_GB2312"/>
          <w:b/>
          <w:sz w:val="28"/>
          <w:szCs w:val="28"/>
        </w:rPr>
        <w:t>（</w:t>
      </w:r>
      <w:r>
        <w:rPr>
          <w:b/>
          <w:sz w:val="28"/>
          <w:szCs w:val="28"/>
        </w:rPr>
        <w:t>Ⅰ</w:t>
      </w:r>
      <w:r>
        <w:rPr>
          <w:rFonts w:eastAsia="仿宋_GB2312"/>
          <w:b/>
          <w:sz w:val="28"/>
          <w:szCs w:val="28"/>
        </w:rPr>
        <w:t>）比较法</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1、比较法原理：</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比较法是将估价对象与在价值时点近期有过交易的类似房地产进行比较，对这些类似房地产的已知价格作适当的修正，以此估算估价对象的客观合理价格或价值的方法。</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公式：比较单价=可比实例成交价值</w:t>
      </w:r>
      <w:r>
        <w:rPr>
          <w:rFonts w:eastAsia="仿宋_GB2312"/>
          <w:sz w:val="28"/>
          <w:szCs w:val="28"/>
        </w:rPr>
        <w:sym w:font="Symbol" w:char="F0B4"/>
      </w:r>
      <w:r>
        <w:rPr>
          <w:rFonts w:eastAsia="仿宋_GB2312"/>
          <w:sz w:val="28"/>
          <w:szCs w:val="28"/>
        </w:rPr>
        <w:t>交易情况修正</w:t>
      </w:r>
      <w:r>
        <w:rPr>
          <w:rFonts w:eastAsia="仿宋_GB2312"/>
          <w:sz w:val="28"/>
          <w:szCs w:val="28"/>
        </w:rPr>
        <w:sym w:font="Symbol" w:char="F0B4"/>
      </w:r>
      <w:r>
        <w:rPr>
          <w:rFonts w:eastAsia="仿宋_GB2312"/>
          <w:sz w:val="28"/>
          <w:szCs w:val="28"/>
        </w:rPr>
        <w:t>交易日期修正</w:t>
      </w:r>
      <w:r>
        <w:rPr>
          <w:rFonts w:eastAsia="仿宋_GB2312"/>
          <w:sz w:val="28"/>
          <w:szCs w:val="28"/>
        </w:rPr>
        <w:sym w:font="Symbol" w:char="F0B4"/>
      </w:r>
      <w:r>
        <w:rPr>
          <w:rFonts w:eastAsia="仿宋_GB2312"/>
          <w:sz w:val="28"/>
          <w:szCs w:val="28"/>
        </w:rPr>
        <w:t>房地产状况调整</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市场单价=（比较单价1+比较单价2+比较单价3+……+比较单价n）÷n</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2、选择可比实例:</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选择可比实例时，根据本次估价目的和估价对象的实际情况，通过对市场调查资料的整理分析，依据估价思路选择了近期位于同一供需圈内的三个类似房地产交易实例作为可比实例：</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实例A：</w:t>
      </w:r>
      <w:r>
        <w:rPr>
          <w:rFonts w:hint="eastAsia" w:eastAsia="仿宋_GB2312"/>
          <w:sz w:val="28"/>
          <w:szCs w:val="28"/>
          <w:lang w:eastAsia="zh-CN"/>
        </w:rPr>
        <w:t>位于卓越蔚蓝群岛住宅小区，建成于2015年</w:t>
      </w:r>
      <w:r>
        <w:rPr>
          <w:rFonts w:eastAsia="仿宋_GB2312"/>
          <w:sz w:val="28"/>
          <w:szCs w:val="28"/>
        </w:rPr>
        <w:t>，楼座共</w:t>
      </w:r>
      <w:r>
        <w:rPr>
          <w:rFonts w:hint="eastAsia" w:eastAsia="仿宋_GB2312"/>
          <w:sz w:val="28"/>
          <w:szCs w:val="28"/>
        </w:rPr>
        <w:t>1</w:t>
      </w:r>
      <w:r>
        <w:rPr>
          <w:rFonts w:hint="eastAsia" w:eastAsia="仿宋_GB2312"/>
          <w:sz w:val="28"/>
          <w:szCs w:val="28"/>
          <w:lang w:val="en-US" w:eastAsia="zh-CN"/>
        </w:rPr>
        <w:t>1</w:t>
      </w:r>
      <w:r>
        <w:rPr>
          <w:rFonts w:eastAsia="仿宋_GB2312"/>
          <w:sz w:val="28"/>
          <w:szCs w:val="28"/>
        </w:rPr>
        <w:t>层，</w:t>
      </w:r>
      <w:r>
        <w:rPr>
          <w:rFonts w:hint="eastAsia" w:eastAsia="仿宋_GB2312"/>
          <w:sz w:val="28"/>
          <w:szCs w:val="28"/>
        </w:rPr>
        <w:t>实例</w:t>
      </w:r>
      <w:r>
        <w:rPr>
          <w:rFonts w:eastAsia="仿宋_GB2312"/>
          <w:sz w:val="28"/>
          <w:szCs w:val="28"/>
        </w:rPr>
        <w:t>位于</w:t>
      </w:r>
      <w:r>
        <w:rPr>
          <w:rFonts w:hint="eastAsia" w:eastAsia="仿宋_GB2312"/>
          <w:sz w:val="28"/>
          <w:szCs w:val="28"/>
          <w:lang w:val="en-US" w:eastAsia="zh-CN"/>
        </w:rPr>
        <w:t>5</w:t>
      </w:r>
      <w:r>
        <w:rPr>
          <w:rFonts w:eastAsia="仿宋_GB2312"/>
          <w:sz w:val="28"/>
          <w:szCs w:val="28"/>
        </w:rPr>
        <w:t>层，建筑面积</w:t>
      </w:r>
      <w:r>
        <w:rPr>
          <w:rFonts w:hint="eastAsia" w:eastAsia="仿宋_GB2312"/>
          <w:sz w:val="28"/>
          <w:szCs w:val="28"/>
          <w:lang w:val="en-US" w:eastAsia="zh-CN"/>
        </w:rPr>
        <w:t>88</w:t>
      </w:r>
      <w:r>
        <w:rPr>
          <w:rFonts w:eastAsia="仿宋_GB2312"/>
          <w:sz w:val="28"/>
          <w:szCs w:val="28"/>
        </w:rPr>
        <w:t>平方米，</w:t>
      </w:r>
      <w:r>
        <w:rPr>
          <w:rFonts w:hint="eastAsia" w:eastAsia="仿宋_GB2312"/>
          <w:sz w:val="28"/>
          <w:szCs w:val="28"/>
        </w:rPr>
        <w:t>毛坯</w:t>
      </w:r>
      <w:r>
        <w:rPr>
          <w:rFonts w:eastAsia="仿宋_GB2312"/>
          <w:sz w:val="28"/>
          <w:szCs w:val="28"/>
        </w:rPr>
        <w:t>，售价为</w:t>
      </w:r>
      <w:r>
        <w:rPr>
          <w:rFonts w:hint="eastAsia" w:eastAsia="仿宋_GB2312"/>
          <w:sz w:val="28"/>
          <w:szCs w:val="28"/>
          <w:lang w:val="en-US" w:eastAsia="zh-CN"/>
        </w:rPr>
        <w:t>17000</w:t>
      </w:r>
      <w:r>
        <w:rPr>
          <w:rFonts w:eastAsia="仿宋_GB2312"/>
          <w:sz w:val="28"/>
          <w:szCs w:val="28"/>
        </w:rPr>
        <w:t>元/平方米。</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实例B：</w:t>
      </w:r>
      <w:r>
        <w:rPr>
          <w:rFonts w:hint="eastAsia" w:eastAsia="仿宋_GB2312"/>
          <w:sz w:val="28"/>
          <w:szCs w:val="28"/>
          <w:lang w:eastAsia="zh-CN"/>
        </w:rPr>
        <w:t>位于卓越蔚蓝群岛住宅小区，建成于2015年</w:t>
      </w:r>
      <w:r>
        <w:rPr>
          <w:rFonts w:eastAsia="仿宋_GB2312"/>
          <w:sz w:val="28"/>
          <w:szCs w:val="28"/>
        </w:rPr>
        <w:t>，楼座共</w:t>
      </w:r>
      <w:r>
        <w:rPr>
          <w:rFonts w:hint="eastAsia" w:eastAsia="仿宋_GB2312"/>
          <w:sz w:val="28"/>
          <w:szCs w:val="28"/>
        </w:rPr>
        <w:t>1</w:t>
      </w:r>
      <w:r>
        <w:rPr>
          <w:rFonts w:hint="eastAsia" w:eastAsia="仿宋_GB2312"/>
          <w:sz w:val="28"/>
          <w:szCs w:val="28"/>
          <w:lang w:val="en-US" w:eastAsia="zh-CN"/>
        </w:rPr>
        <w:t>1</w:t>
      </w:r>
      <w:r>
        <w:rPr>
          <w:rFonts w:eastAsia="仿宋_GB2312"/>
          <w:sz w:val="28"/>
          <w:szCs w:val="28"/>
        </w:rPr>
        <w:t>层，</w:t>
      </w:r>
      <w:r>
        <w:rPr>
          <w:rFonts w:hint="eastAsia" w:eastAsia="仿宋_GB2312"/>
          <w:sz w:val="28"/>
          <w:szCs w:val="28"/>
        </w:rPr>
        <w:t>实例</w:t>
      </w:r>
      <w:r>
        <w:rPr>
          <w:rFonts w:eastAsia="仿宋_GB2312"/>
          <w:sz w:val="28"/>
          <w:szCs w:val="28"/>
        </w:rPr>
        <w:t>位于</w:t>
      </w:r>
      <w:r>
        <w:rPr>
          <w:rFonts w:hint="eastAsia" w:eastAsia="仿宋_GB2312"/>
          <w:sz w:val="28"/>
          <w:szCs w:val="28"/>
          <w:lang w:val="en-US" w:eastAsia="zh-CN"/>
        </w:rPr>
        <w:t>8</w:t>
      </w:r>
      <w:r>
        <w:rPr>
          <w:rFonts w:eastAsia="仿宋_GB2312"/>
          <w:sz w:val="28"/>
          <w:szCs w:val="28"/>
        </w:rPr>
        <w:t>层，建筑面积</w:t>
      </w:r>
      <w:r>
        <w:rPr>
          <w:rFonts w:hint="eastAsia" w:eastAsia="仿宋_GB2312"/>
          <w:sz w:val="28"/>
          <w:szCs w:val="28"/>
          <w:lang w:val="en-US" w:eastAsia="zh-CN"/>
        </w:rPr>
        <w:t>87.5</w:t>
      </w:r>
      <w:r>
        <w:rPr>
          <w:rFonts w:eastAsia="仿宋_GB2312"/>
          <w:sz w:val="28"/>
          <w:szCs w:val="28"/>
        </w:rPr>
        <w:t>平方米，</w:t>
      </w:r>
      <w:r>
        <w:rPr>
          <w:rFonts w:hint="eastAsia" w:eastAsia="仿宋_GB2312"/>
          <w:sz w:val="28"/>
          <w:szCs w:val="28"/>
          <w:lang w:val="en-US" w:eastAsia="zh-CN"/>
        </w:rPr>
        <w:t>一般</w:t>
      </w:r>
      <w:r>
        <w:rPr>
          <w:rFonts w:eastAsia="仿宋_GB2312"/>
          <w:sz w:val="28"/>
          <w:szCs w:val="28"/>
        </w:rPr>
        <w:t>装修，售价为</w:t>
      </w:r>
      <w:r>
        <w:rPr>
          <w:rFonts w:hint="eastAsia" w:eastAsia="仿宋_GB2312"/>
          <w:sz w:val="28"/>
          <w:szCs w:val="28"/>
          <w:lang w:val="en-US" w:eastAsia="zh-CN"/>
        </w:rPr>
        <w:t>19000</w:t>
      </w:r>
      <w:r>
        <w:rPr>
          <w:rFonts w:eastAsia="仿宋_GB2312"/>
          <w:sz w:val="28"/>
          <w:szCs w:val="28"/>
        </w:rPr>
        <w:t>元/平方米。</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实例C：</w:t>
      </w:r>
      <w:r>
        <w:rPr>
          <w:rFonts w:hint="eastAsia" w:eastAsia="仿宋_GB2312"/>
          <w:sz w:val="28"/>
          <w:szCs w:val="28"/>
          <w:lang w:eastAsia="zh-CN"/>
        </w:rPr>
        <w:t>位于卓越蔚蓝群岛住宅小区，建成于2015年</w:t>
      </w:r>
      <w:r>
        <w:rPr>
          <w:rFonts w:eastAsia="仿宋_GB2312"/>
          <w:sz w:val="28"/>
          <w:szCs w:val="28"/>
        </w:rPr>
        <w:t>，楼座共</w:t>
      </w:r>
      <w:r>
        <w:rPr>
          <w:rFonts w:hint="eastAsia" w:eastAsia="仿宋_GB2312"/>
          <w:sz w:val="28"/>
          <w:szCs w:val="28"/>
          <w:lang w:val="en-US" w:eastAsia="zh-CN"/>
        </w:rPr>
        <w:t>11</w:t>
      </w:r>
      <w:r>
        <w:rPr>
          <w:rFonts w:eastAsia="仿宋_GB2312"/>
          <w:sz w:val="28"/>
          <w:szCs w:val="28"/>
        </w:rPr>
        <w:t>层，</w:t>
      </w:r>
      <w:r>
        <w:rPr>
          <w:rFonts w:hint="eastAsia" w:eastAsia="仿宋_GB2312"/>
          <w:sz w:val="28"/>
          <w:szCs w:val="28"/>
        </w:rPr>
        <w:t>实例</w:t>
      </w:r>
      <w:r>
        <w:rPr>
          <w:rFonts w:eastAsia="仿宋_GB2312"/>
          <w:sz w:val="28"/>
          <w:szCs w:val="28"/>
        </w:rPr>
        <w:t>位于</w:t>
      </w:r>
      <w:r>
        <w:rPr>
          <w:rFonts w:hint="eastAsia" w:eastAsia="仿宋_GB2312"/>
          <w:sz w:val="28"/>
          <w:szCs w:val="28"/>
          <w:lang w:val="en-US" w:eastAsia="zh-CN"/>
        </w:rPr>
        <w:t>7</w:t>
      </w:r>
      <w:r>
        <w:rPr>
          <w:rFonts w:eastAsia="仿宋_GB2312"/>
          <w:sz w:val="28"/>
          <w:szCs w:val="28"/>
        </w:rPr>
        <w:t>层，建筑面积</w:t>
      </w:r>
      <w:r>
        <w:rPr>
          <w:rFonts w:hint="eastAsia" w:eastAsia="仿宋_GB2312"/>
          <w:sz w:val="28"/>
          <w:szCs w:val="28"/>
          <w:lang w:val="en-US" w:eastAsia="zh-CN"/>
        </w:rPr>
        <w:t>88</w:t>
      </w:r>
      <w:r>
        <w:rPr>
          <w:rFonts w:eastAsia="仿宋_GB2312"/>
          <w:sz w:val="28"/>
          <w:szCs w:val="28"/>
        </w:rPr>
        <w:t>平方米，</w:t>
      </w:r>
      <w:r>
        <w:rPr>
          <w:rFonts w:hint="eastAsia" w:eastAsia="仿宋_GB2312"/>
          <w:sz w:val="28"/>
          <w:szCs w:val="28"/>
          <w:lang w:val="en-US" w:eastAsia="zh-CN"/>
        </w:rPr>
        <w:t>一般</w:t>
      </w:r>
      <w:r>
        <w:rPr>
          <w:rFonts w:eastAsia="仿宋_GB2312"/>
          <w:sz w:val="28"/>
          <w:szCs w:val="28"/>
        </w:rPr>
        <w:t>装修，售价为</w:t>
      </w:r>
      <w:r>
        <w:rPr>
          <w:rFonts w:hint="eastAsia" w:eastAsia="仿宋_GB2312"/>
          <w:sz w:val="28"/>
          <w:szCs w:val="28"/>
          <w:lang w:val="en-US" w:eastAsia="zh-CN"/>
        </w:rPr>
        <w:t>18700</w:t>
      </w:r>
      <w:r>
        <w:rPr>
          <w:rFonts w:eastAsia="仿宋_GB2312"/>
          <w:sz w:val="28"/>
          <w:szCs w:val="28"/>
        </w:rPr>
        <w:t>元/平方米。</w:t>
      </w:r>
    </w:p>
    <w:p>
      <w:pPr>
        <w:spacing w:line="360" w:lineRule="auto"/>
        <w:ind w:left="800" w:hanging="800" w:hangingChars="400"/>
      </w:pPr>
      <w:r>
        <w:drawing>
          <wp:inline distT="0" distB="0" distL="114300" distR="114300">
            <wp:extent cx="1561465" cy="2087245"/>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561465" cy="2087245"/>
                    </a:xfrm>
                    <a:prstGeom prst="rect">
                      <a:avLst/>
                    </a:prstGeom>
                    <a:noFill/>
                    <a:ln w="9525">
                      <a:noFill/>
                    </a:ln>
                  </pic:spPr>
                </pic:pic>
              </a:graphicData>
            </a:graphic>
          </wp:inline>
        </w:drawing>
      </w:r>
      <w:r>
        <w:rPr>
          <w:rFonts w:eastAsia="仿宋"/>
          <w:sz w:val="28"/>
          <w:szCs w:val="28"/>
        </w:rPr>
        <w:t xml:space="preserve">    </w:t>
      </w:r>
      <w:r>
        <w:drawing>
          <wp:inline distT="0" distB="0" distL="114300" distR="114300">
            <wp:extent cx="1557655" cy="2132965"/>
            <wp:effectExtent l="0" t="0" r="444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557655" cy="2132965"/>
                    </a:xfrm>
                    <a:prstGeom prst="rect">
                      <a:avLst/>
                    </a:prstGeom>
                    <a:noFill/>
                    <a:ln w="9525">
                      <a:noFill/>
                    </a:ln>
                  </pic:spPr>
                </pic:pic>
              </a:graphicData>
            </a:graphic>
          </wp:inline>
        </w:drawing>
      </w:r>
      <w:r>
        <w:drawing>
          <wp:inline distT="0" distB="0" distL="114300" distR="114300">
            <wp:extent cx="1600835" cy="2131060"/>
            <wp:effectExtent l="0" t="0" r="1841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600835" cy="2131060"/>
                    </a:xfrm>
                    <a:prstGeom prst="rect">
                      <a:avLst/>
                    </a:prstGeom>
                    <a:noFill/>
                    <a:ln w="9525">
                      <a:noFill/>
                    </a:ln>
                  </pic:spPr>
                </pic:pic>
              </a:graphicData>
            </a:graphic>
          </wp:inline>
        </w:drawing>
      </w:r>
    </w:p>
    <w:p>
      <w:pPr>
        <w:spacing w:line="360" w:lineRule="auto"/>
        <w:ind w:firstLine="280" w:firstLineChars="100"/>
        <w:rPr>
          <w:rFonts w:eastAsia="仿宋_GB2312"/>
          <w:spacing w:val="-4"/>
        </w:rPr>
      </w:pPr>
      <w:r>
        <w:rPr>
          <w:rFonts w:hint="eastAsia" w:eastAsia="仿宋"/>
          <w:sz w:val="28"/>
          <w:szCs w:val="28"/>
        </w:rPr>
        <w:t>实例</w:t>
      </w:r>
      <w:r>
        <w:rPr>
          <w:rFonts w:hint="eastAsia" w:eastAsia="仿宋_GB2312"/>
          <w:spacing w:val="-4"/>
        </w:rPr>
        <w:t xml:space="preserve">A                         </w:t>
      </w:r>
      <w:r>
        <w:rPr>
          <w:rFonts w:eastAsia="仿宋"/>
          <w:sz w:val="28"/>
          <w:szCs w:val="28"/>
        </w:rPr>
        <w:t>实例</w:t>
      </w:r>
      <w:r>
        <w:rPr>
          <w:rFonts w:hint="eastAsia" w:eastAsia="仿宋_GB2312"/>
          <w:spacing w:val="-4"/>
        </w:rPr>
        <w:t xml:space="preserve">B                      </w:t>
      </w:r>
      <w:r>
        <w:rPr>
          <w:rFonts w:eastAsia="仿宋"/>
          <w:sz w:val="28"/>
          <w:szCs w:val="28"/>
        </w:rPr>
        <w:t>实例</w:t>
      </w:r>
      <w:r>
        <w:rPr>
          <w:rFonts w:hint="eastAsia" w:eastAsia="仿宋_GB2312"/>
          <w:spacing w:val="-4"/>
        </w:rPr>
        <w:t>C</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3、编制比较因素条件指数表：</w:t>
      </w:r>
    </w:p>
    <w:p>
      <w:pPr>
        <w:autoSpaceDE w:val="0"/>
        <w:autoSpaceDN w:val="0"/>
        <w:jc w:val="center"/>
        <w:textAlignment w:val="bottom"/>
        <w:rPr>
          <w:rFonts w:eastAsia="仿宋_GB2312"/>
          <w:sz w:val="28"/>
          <w:szCs w:val="28"/>
        </w:rPr>
      </w:pPr>
      <w:r>
        <w:rPr>
          <w:rFonts w:eastAsia="仿宋_GB2312"/>
          <w:sz w:val="28"/>
          <w:szCs w:val="28"/>
        </w:rPr>
        <w:t>房地产状况因素说明表</w:t>
      </w:r>
    </w:p>
    <w:tbl>
      <w:tblPr>
        <w:tblStyle w:val="29"/>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824"/>
        <w:gridCol w:w="1824"/>
        <w:gridCol w:w="1824"/>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房地产状况</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估价对象</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案例A</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案例B</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案例C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交易情况</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正常</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正常</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正常</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交易日期</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eastAsia="仿宋_GB2312" w:cs="Times New Roman"/>
                <w:sz w:val="21"/>
                <w:szCs w:val="22"/>
                <w:lang w:val="en-US" w:eastAsia="zh-CN" w:bidi="ar-SA"/>
              </w:rPr>
              <w:t>2018.6.29</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近期</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近期</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繁华程度</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一般</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一般</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一般</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交通便捷程度</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较优</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较优</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较优</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环境状况</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较优</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较优</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较优</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公共配套设施</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较完备</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较完备</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较完备</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城市规划限制</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有一定限制</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有一定限制</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有一定限制</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有一定限制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面积大小（m</w:t>
            </w:r>
            <w:r>
              <w:rPr>
                <w:rFonts w:hint="eastAsia" w:ascii="Times New Roman" w:hAnsi="Times New Roman" w:eastAsia="仿宋_GB2312" w:cs="Times New Roman"/>
                <w:sz w:val="21"/>
                <w:szCs w:val="22"/>
                <w:vertAlign w:val="superscript"/>
                <w:lang w:val="en-US" w:eastAsia="zh-CN" w:bidi="ar-SA"/>
              </w:rPr>
              <w:t>2</w:t>
            </w:r>
            <w:r>
              <w:rPr>
                <w:rFonts w:hint="eastAsia" w:ascii="Times New Roman" w:hAnsi="Times New Roman" w:eastAsia="仿宋_GB2312" w:cs="Times New Roman"/>
                <w:sz w:val="21"/>
                <w:szCs w:val="22"/>
                <w:lang w:val="en-US" w:eastAsia="zh-CN" w:bidi="ar-SA"/>
              </w:rPr>
              <w:t>）</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84.44</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88</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87.5</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平面布局</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较合理</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较合理</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较合理</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临路状况</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临小区内道路</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临小区内道路</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临小区内道路</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临小区内道路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基础设施完备程度</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较齐全</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较齐全</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较齐全</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建成年代</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2015</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2015</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2015</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装修</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毛坯</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毛坯</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一般装修</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一般装修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楼层</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7层/11层</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5层/11层</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8层/11层</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7层/11层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朝向</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南北</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南北</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南北</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南北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0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光照</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较好</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较好</w:t>
            </w:r>
          </w:p>
        </w:tc>
        <w:tc>
          <w:tcPr>
            <w:tcW w:w="182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较好</w:t>
            </w:r>
          </w:p>
        </w:tc>
        <w:tc>
          <w:tcPr>
            <w:tcW w:w="182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较好</w:t>
            </w:r>
          </w:p>
        </w:tc>
      </w:tr>
    </w:tbl>
    <w:p>
      <w:pPr>
        <w:autoSpaceDE w:val="0"/>
        <w:autoSpaceDN w:val="0"/>
        <w:spacing w:before="240" w:beforeLines="100"/>
        <w:jc w:val="center"/>
        <w:textAlignment w:val="bottom"/>
        <w:rPr>
          <w:rFonts w:eastAsia="仿宋_GB2312"/>
          <w:sz w:val="28"/>
          <w:szCs w:val="28"/>
        </w:rPr>
      </w:pPr>
    </w:p>
    <w:p>
      <w:pPr>
        <w:autoSpaceDE w:val="0"/>
        <w:autoSpaceDN w:val="0"/>
        <w:spacing w:before="240" w:beforeLines="100"/>
        <w:jc w:val="center"/>
        <w:textAlignment w:val="bottom"/>
        <w:rPr>
          <w:rFonts w:eastAsia="仿宋_GB2312"/>
          <w:sz w:val="28"/>
          <w:szCs w:val="28"/>
        </w:rPr>
      </w:pPr>
      <w:r>
        <w:rPr>
          <w:rFonts w:eastAsia="仿宋_GB2312"/>
          <w:sz w:val="28"/>
          <w:szCs w:val="28"/>
        </w:rPr>
        <w:t>房地产状况比较修正结果表</w:t>
      </w:r>
    </w:p>
    <w:tbl>
      <w:tblPr>
        <w:tblStyle w:val="29"/>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04"/>
        <w:gridCol w:w="1807"/>
        <w:gridCol w:w="180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jc w:val="center"/>
              <w:rPr>
                <w:rFonts w:ascii="Times New Roman" w:hAnsi="Times New Roman" w:eastAsia="仿宋_GB2312" w:cs="Times New Roman"/>
                <w:sz w:val="21"/>
                <w:szCs w:val="22"/>
                <w:lang w:val="en-US" w:eastAsia="zh-CN" w:bidi="ar-SA"/>
              </w:rPr>
            </w:pP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待估房产</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案例A</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案例B</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案例C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交易情况</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交易日期</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繁华程度</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交通便捷程度</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环境状况</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公共配套设施</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城市规划限制</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面积大小</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平面布局</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临路状况</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000000"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基础设施完备程度</w:t>
            </w:r>
          </w:p>
        </w:tc>
        <w:tc>
          <w:tcPr>
            <w:tcW w:w="1804" w:type="dxa"/>
            <w:shd w:val="clear" w:color="000000"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000000"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000000"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000000"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建成年代</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装修</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105</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所在楼层</w:t>
            </w:r>
          </w:p>
        </w:tc>
        <w:tc>
          <w:tcPr>
            <w:tcW w:w="180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98</w:t>
            </w:r>
          </w:p>
        </w:tc>
        <w:tc>
          <w:tcPr>
            <w:tcW w:w="180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101</w:t>
            </w:r>
          </w:p>
        </w:tc>
        <w:tc>
          <w:tcPr>
            <w:tcW w:w="1805"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朝向</w:t>
            </w:r>
          </w:p>
        </w:tc>
        <w:tc>
          <w:tcPr>
            <w:tcW w:w="180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光照</w:t>
            </w:r>
          </w:p>
        </w:tc>
        <w:tc>
          <w:tcPr>
            <w:tcW w:w="180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c>
          <w:tcPr>
            <w:tcW w:w="1805"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76" w:type="dxa"/>
            <w:shd w:val="clear" w:color="auto" w:fill="auto"/>
            <w:vAlign w:val="bottom"/>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修正系数</w:t>
            </w:r>
          </w:p>
        </w:tc>
        <w:tc>
          <w:tcPr>
            <w:tcW w:w="1804" w:type="dxa"/>
            <w:shd w:val="clear" w:color="auto" w:fill="auto"/>
            <w:vAlign w:val="bottom"/>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p>
        </w:tc>
        <w:tc>
          <w:tcPr>
            <w:tcW w:w="1807" w:type="dxa"/>
            <w:shd w:val="clear" w:color="auto" w:fill="auto"/>
            <w:vAlign w:val="bottom"/>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1.0204</w:t>
            </w:r>
          </w:p>
        </w:tc>
        <w:tc>
          <w:tcPr>
            <w:tcW w:w="1807" w:type="dxa"/>
            <w:shd w:val="clear" w:color="auto" w:fill="auto"/>
            <w:vAlign w:val="bottom"/>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0.943</w:t>
            </w:r>
          </w:p>
        </w:tc>
        <w:tc>
          <w:tcPr>
            <w:tcW w:w="1805" w:type="dxa"/>
            <w:shd w:val="clear" w:color="auto" w:fill="auto"/>
            <w:vAlign w:val="bottom"/>
          </w:tcPr>
          <w:p>
            <w:pPr>
              <w:keepNext w:val="0"/>
              <w:keepLines w:val="0"/>
              <w:widowControl/>
              <w:suppressLineNumbers w:val="0"/>
              <w:jc w:val="center"/>
              <w:textAlignment w:val="center"/>
              <w:rPr>
                <w:rFonts w:hint="eastAsia" w:ascii="Times New Roman" w:hAnsi="Times New Roman" w:eastAsia="仿宋_GB2312" w:cs="Times New Roman"/>
                <w:sz w:val="21"/>
                <w:szCs w:val="22"/>
                <w:lang w:val="en-US" w:eastAsia="zh-CN" w:bidi="ar-SA"/>
              </w:rPr>
            </w:pPr>
            <w:r>
              <w:rPr>
                <w:rFonts w:hint="eastAsia" w:ascii="Times New Roman" w:hAnsi="Times New Roman" w:eastAsia="仿宋_GB2312" w:cs="Times New Roman"/>
                <w:sz w:val="21"/>
                <w:szCs w:val="22"/>
                <w:lang w:val="en-US" w:eastAsia="zh-CN" w:bidi="ar-SA"/>
              </w:rPr>
              <w:t>0.9524</w:t>
            </w:r>
          </w:p>
        </w:tc>
      </w:tr>
    </w:tbl>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4、求取比较价格VA、VB、VC：</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VA=</w:t>
      </w:r>
      <w:r>
        <w:rPr>
          <w:rFonts w:hint="eastAsia" w:eastAsia="仿宋_GB2312"/>
          <w:sz w:val="28"/>
          <w:szCs w:val="28"/>
          <w:lang w:val="en-US" w:eastAsia="zh-CN"/>
        </w:rPr>
        <w:t>17000</w:t>
      </w:r>
      <w:r>
        <w:rPr>
          <w:rFonts w:eastAsia="仿宋_GB2312"/>
          <w:sz w:val="28"/>
          <w:szCs w:val="28"/>
        </w:rPr>
        <w:t>×100/100×100/100×</w:t>
      </w:r>
      <w:r>
        <w:rPr>
          <w:rFonts w:hint="eastAsia" w:eastAsia="仿宋_GB2312"/>
          <w:sz w:val="28"/>
          <w:szCs w:val="28"/>
          <w:lang w:val="en-US" w:eastAsia="zh-CN"/>
        </w:rPr>
        <w:t>1.0204</w:t>
      </w:r>
      <w:r>
        <w:rPr>
          <w:rFonts w:eastAsia="仿宋_GB2312"/>
          <w:sz w:val="28"/>
          <w:szCs w:val="28"/>
        </w:rPr>
        <w:t>=</w:t>
      </w:r>
      <w:r>
        <w:rPr>
          <w:rFonts w:hint="eastAsia" w:eastAsia="仿宋_GB2312"/>
          <w:sz w:val="28"/>
          <w:szCs w:val="28"/>
          <w:lang w:val="en-US" w:eastAsia="zh-CN"/>
        </w:rPr>
        <w:t>17346.8</w:t>
      </w:r>
      <w:r>
        <w:rPr>
          <w:rFonts w:eastAsia="仿宋_GB2312"/>
          <w:sz w:val="28"/>
          <w:szCs w:val="28"/>
        </w:rPr>
        <w:t>（元/平方米）</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VB=</w:t>
      </w:r>
      <w:r>
        <w:rPr>
          <w:rFonts w:hint="eastAsia" w:eastAsia="仿宋_GB2312"/>
          <w:sz w:val="28"/>
          <w:szCs w:val="28"/>
          <w:lang w:val="en-US" w:eastAsia="zh-CN"/>
        </w:rPr>
        <w:t>19000</w:t>
      </w:r>
      <w:r>
        <w:rPr>
          <w:rFonts w:eastAsia="仿宋_GB2312"/>
          <w:sz w:val="28"/>
          <w:szCs w:val="28"/>
        </w:rPr>
        <w:t>×100/100×100/100×</w:t>
      </w:r>
      <w:r>
        <w:rPr>
          <w:rFonts w:hint="eastAsia" w:eastAsia="仿宋_GB2312"/>
          <w:sz w:val="28"/>
          <w:szCs w:val="28"/>
        </w:rPr>
        <w:t>0.</w:t>
      </w:r>
      <w:r>
        <w:rPr>
          <w:rFonts w:hint="eastAsia" w:eastAsia="仿宋_GB2312"/>
          <w:sz w:val="28"/>
          <w:szCs w:val="28"/>
          <w:lang w:val="en-US" w:eastAsia="zh-CN"/>
        </w:rPr>
        <w:t>943</w:t>
      </w:r>
      <w:r>
        <w:rPr>
          <w:rFonts w:eastAsia="仿宋_GB2312"/>
          <w:sz w:val="28"/>
          <w:szCs w:val="28"/>
        </w:rPr>
        <w:t>=</w:t>
      </w:r>
      <w:r>
        <w:rPr>
          <w:rFonts w:hint="eastAsia" w:eastAsia="仿宋_GB2312"/>
          <w:sz w:val="28"/>
          <w:szCs w:val="28"/>
          <w:lang w:val="en-US" w:eastAsia="zh-CN"/>
        </w:rPr>
        <w:t>17917</w:t>
      </w:r>
      <w:r>
        <w:rPr>
          <w:rFonts w:eastAsia="仿宋_GB2312"/>
          <w:sz w:val="28"/>
          <w:szCs w:val="28"/>
        </w:rPr>
        <w:t>（元/平方米）</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VC=</w:t>
      </w:r>
      <w:r>
        <w:rPr>
          <w:rFonts w:hint="eastAsia" w:eastAsia="仿宋_GB2312"/>
          <w:sz w:val="28"/>
          <w:szCs w:val="28"/>
          <w:lang w:val="en-US" w:eastAsia="zh-CN"/>
        </w:rPr>
        <w:t>18700</w:t>
      </w:r>
      <w:r>
        <w:rPr>
          <w:rFonts w:eastAsia="仿宋_GB2312"/>
          <w:sz w:val="28"/>
          <w:szCs w:val="28"/>
        </w:rPr>
        <w:t>×100/100×100/100×</w:t>
      </w:r>
      <w:r>
        <w:rPr>
          <w:rFonts w:hint="eastAsia" w:eastAsia="仿宋_GB2312"/>
          <w:sz w:val="28"/>
          <w:szCs w:val="28"/>
        </w:rPr>
        <w:t>0.</w:t>
      </w:r>
      <w:r>
        <w:rPr>
          <w:rFonts w:hint="eastAsia" w:eastAsia="仿宋_GB2312"/>
          <w:sz w:val="28"/>
          <w:szCs w:val="28"/>
          <w:lang w:val="en-US" w:eastAsia="zh-CN"/>
        </w:rPr>
        <w:t>9524=17809.9</w:t>
      </w:r>
      <w:r>
        <w:rPr>
          <w:rFonts w:eastAsia="仿宋_GB2312"/>
          <w:sz w:val="28"/>
          <w:szCs w:val="28"/>
        </w:rPr>
        <w:t>（元/平方米）</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5、计算结果</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将上述比准价格的简单算术平均值作为最终结果。</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房地产单价=（</w:t>
      </w:r>
      <w:r>
        <w:rPr>
          <w:rFonts w:hint="eastAsia" w:eastAsia="仿宋_GB2312"/>
          <w:sz w:val="28"/>
          <w:szCs w:val="28"/>
          <w:lang w:val="en-US" w:eastAsia="zh-CN"/>
        </w:rPr>
        <w:t>17436.8+17917+17809.9</w:t>
      </w:r>
      <w:r>
        <w:rPr>
          <w:rFonts w:eastAsia="仿宋_GB2312"/>
          <w:sz w:val="28"/>
          <w:szCs w:val="28"/>
        </w:rPr>
        <w:t xml:space="preserve">）÷3= </w:t>
      </w:r>
      <w:r>
        <w:rPr>
          <w:rFonts w:hint="eastAsia" w:eastAsia="仿宋_GB2312"/>
          <w:sz w:val="28"/>
          <w:szCs w:val="28"/>
          <w:lang w:val="en-US" w:eastAsia="zh-CN"/>
        </w:rPr>
        <w:t>17691</w:t>
      </w:r>
      <w:r>
        <w:rPr>
          <w:rFonts w:eastAsia="仿宋_GB2312"/>
          <w:sz w:val="28"/>
          <w:szCs w:val="28"/>
        </w:rPr>
        <w:t>（元/平方米）</w:t>
      </w:r>
    </w:p>
    <w:p>
      <w:pPr>
        <w:autoSpaceDE w:val="0"/>
        <w:autoSpaceDN w:val="0"/>
        <w:spacing w:line="360" w:lineRule="auto"/>
        <w:ind w:firstLine="560" w:firstLineChars="200"/>
        <w:textAlignment w:val="bottom"/>
        <w:rPr>
          <w:rFonts w:eastAsia="仿宋_GB2312"/>
          <w:sz w:val="28"/>
          <w:szCs w:val="28"/>
        </w:rPr>
      </w:pPr>
      <w:r>
        <w:rPr>
          <w:rFonts w:eastAsia="仿宋_GB2312"/>
          <w:sz w:val="28"/>
          <w:szCs w:val="28"/>
        </w:rPr>
        <w:t>房地产总价=</w:t>
      </w:r>
      <w:r>
        <w:rPr>
          <w:rFonts w:hint="eastAsia" w:eastAsia="仿宋_GB2312"/>
          <w:sz w:val="28"/>
          <w:szCs w:val="28"/>
          <w:lang w:val="en-US" w:eastAsia="zh-CN"/>
        </w:rPr>
        <w:t>17691</w:t>
      </w:r>
      <w:r>
        <w:rPr>
          <w:rFonts w:eastAsia="仿宋_GB2312"/>
          <w:sz w:val="28"/>
          <w:szCs w:val="28"/>
        </w:rPr>
        <w:t>×</w:t>
      </w:r>
      <w:r>
        <w:rPr>
          <w:rFonts w:hint="eastAsia" w:eastAsia="仿宋_GB2312"/>
          <w:sz w:val="28"/>
          <w:szCs w:val="28"/>
          <w:lang w:val="en-US" w:eastAsia="zh-CN"/>
        </w:rPr>
        <w:t>84.44</w:t>
      </w:r>
      <w:r>
        <w:rPr>
          <w:rFonts w:eastAsia="仿宋_GB2312"/>
          <w:sz w:val="28"/>
          <w:szCs w:val="28"/>
        </w:rPr>
        <w:t>=</w:t>
      </w:r>
      <w:r>
        <w:rPr>
          <w:rFonts w:hint="eastAsia" w:eastAsia="仿宋_GB2312"/>
          <w:sz w:val="28"/>
          <w:szCs w:val="28"/>
          <w:lang w:val="en-US" w:eastAsia="zh-CN"/>
        </w:rPr>
        <w:t>1493828</w:t>
      </w:r>
      <w:r>
        <w:rPr>
          <w:rFonts w:eastAsia="仿宋_GB2312"/>
          <w:sz w:val="28"/>
          <w:szCs w:val="28"/>
        </w:rPr>
        <w:t>（元）</w:t>
      </w:r>
    </w:p>
    <w:p>
      <w:pPr>
        <w:spacing w:line="360" w:lineRule="auto"/>
        <w:ind w:firstLine="562" w:firstLineChars="200"/>
        <w:rPr>
          <w:rFonts w:eastAsia="仿宋_GB2312"/>
          <w:b/>
          <w:sz w:val="28"/>
          <w:szCs w:val="28"/>
        </w:rPr>
      </w:pPr>
      <w:r>
        <w:rPr>
          <w:rFonts w:eastAsia="仿宋_GB2312"/>
          <w:b/>
          <w:sz w:val="28"/>
          <w:szCs w:val="28"/>
        </w:rPr>
        <w:t>（</w:t>
      </w:r>
      <w:r>
        <w:rPr>
          <w:b/>
          <w:sz w:val="28"/>
          <w:szCs w:val="28"/>
        </w:rPr>
        <w:t>Ⅱ</w:t>
      </w:r>
      <w:r>
        <w:rPr>
          <w:rFonts w:eastAsia="仿宋_GB2312"/>
          <w:b/>
          <w:sz w:val="28"/>
          <w:szCs w:val="28"/>
        </w:rPr>
        <w:t>）收益法</w:t>
      </w:r>
      <w:r>
        <w:rPr>
          <w:rFonts w:hint="eastAsia" w:eastAsia="仿宋_GB2312"/>
          <w:b/>
          <w:sz w:val="28"/>
          <w:szCs w:val="28"/>
        </w:rPr>
        <w:t xml:space="preserve"> </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1、收益法原理</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本次评估采用收益法当中的报酬资本化法。即根据估价对象在未来可使用年限 ( 经济收益年限 ) 内的经营、使用过程中获得净收益的能力，采用适当的报酬率 ( 折现率 ) 将估价对象在未来可使用年限 ( 经济收益年限 ) 内各年的净收益折算到估价时点后累加，以此确定估价对象在估价时点的价值。</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2、房地产总收益</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（1）计算第一年房地产总收益</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根据对估价对象周边类似住宅的调查：</w:t>
      </w:r>
      <w:r>
        <w:rPr>
          <w:rFonts w:hint="eastAsia" w:eastAsia="仿宋_GB2312"/>
          <w:sz w:val="28"/>
          <w:szCs w:val="28"/>
          <w:lang w:eastAsia="zh-CN"/>
        </w:rPr>
        <w:t>卓越蔚蓝群岛</w:t>
      </w:r>
      <w:r>
        <w:rPr>
          <w:rFonts w:eastAsia="仿宋_GB2312"/>
          <w:sz w:val="28"/>
          <w:szCs w:val="28"/>
        </w:rPr>
        <w:t>住宅，</w:t>
      </w:r>
      <w:r>
        <w:rPr>
          <w:rFonts w:hint="eastAsia" w:eastAsia="仿宋_GB2312"/>
          <w:sz w:val="28"/>
          <w:szCs w:val="28"/>
          <w:lang w:val="en-US" w:eastAsia="zh-CN"/>
        </w:rPr>
        <w:t>中</w:t>
      </w:r>
      <w:r>
        <w:rPr>
          <w:rFonts w:hint="eastAsia" w:eastAsia="仿宋_GB2312"/>
          <w:sz w:val="28"/>
          <w:szCs w:val="28"/>
        </w:rPr>
        <w:t>楼</w:t>
      </w:r>
      <w:r>
        <w:rPr>
          <w:rFonts w:eastAsia="仿宋_GB2312"/>
          <w:sz w:val="28"/>
          <w:szCs w:val="28"/>
        </w:rPr>
        <w:t>层</w:t>
      </w:r>
      <w:r>
        <w:rPr>
          <w:rFonts w:hint="eastAsia" w:eastAsia="仿宋_GB2312"/>
          <w:sz w:val="28"/>
          <w:szCs w:val="28"/>
        </w:rPr>
        <w:t>/1</w:t>
      </w:r>
      <w:r>
        <w:rPr>
          <w:rFonts w:hint="eastAsia" w:eastAsia="仿宋_GB2312"/>
          <w:sz w:val="28"/>
          <w:szCs w:val="28"/>
          <w:lang w:val="en-US" w:eastAsia="zh-CN"/>
        </w:rPr>
        <w:t>1</w:t>
      </w:r>
      <w:r>
        <w:rPr>
          <w:rFonts w:hint="eastAsia" w:eastAsia="仿宋_GB2312"/>
          <w:sz w:val="28"/>
          <w:szCs w:val="28"/>
        </w:rPr>
        <w:t>层</w:t>
      </w:r>
      <w:r>
        <w:rPr>
          <w:rFonts w:eastAsia="仿宋_GB2312"/>
          <w:sz w:val="28"/>
          <w:szCs w:val="28"/>
        </w:rPr>
        <w:t>，建筑面积</w:t>
      </w:r>
      <w:r>
        <w:rPr>
          <w:rFonts w:hint="eastAsia" w:eastAsia="仿宋_GB2312"/>
          <w:sz w:val="28"/>
          <w:szCs w:val="28"/>
          <w:lang w:val="en-US" w:eastAsia="zh-CN"/>
        </w:rPr>
        <w:t>88</w:t>
      </w:r>
      <w:r>
        <w:rPr>
          <w:rFonts w:eastAsia="仿宋_GB2312"/>
          <w:sz w:val="28"/>
          <w:szCs w:val="28"/>
        </w:rPr>
        <w:t>平方米，</w:t>
      </w:r>
      <w:r>
        <w:rPr>
          <w:rFonts w:hint="eastAsia" w:eastAsia="仿宋_GB2312"/>
          <w:sz w:val="28"/>
          <w:szCs w:val="28"/>
        </w:rPr>
        <w:t>中档</w:t>
      </w:r>
      <w:r>
        <w:rPr>
          <w:rFonts w:eastAsia="仿宋_GB2312"/>
          <w:sz w:val="28"/>
          <w:szCs w:val="28"/>
        </w:rPr>
        <w:t>装修</w:t>
      </w:r>
      <w:r>
        <w:rPr>
          <w:rFonts w:hint="eastAsia" w:eastAsia="仿宋_GB2312"/>
          <w:sz w:val="28"/>
          <w:szCs w:val="28"/>
        </w:rPr>
        <w:t>，</w:t>
      </w:r>
      <w:r>
        <w:rPr>
          <w:rFonts w:eastAsia="仿宋_GB2312"/>
          <w:sz w:val="28"/>
          <w:szCs w:val="28"/>
        </w:rPr>
        <w:t>月租金</w:t>
      </w:r>
      <w:r>
        <w:rPr>
          <w:rFonts w:hint="eastAsia" w:eastAsia="仿宋_GB2312"/>
          <w:sz w:val="28"/>
          <w:szCs w:val="28"/>
          <w:lang w:val="en-US" w:eastAsia="zh-CN"/>
        </w:rPr>
        <w:t>2</w:t>
      </w:r>
      <w:r>
        <w:rPr>
          <w:rFonts w:hint="eastAsia" w:eastAsia="仿宋_GB2312"/>
          <w:sz w:val="28"/>
          <w:szCs w:val="28"/>
        </w:rPr>
        <w:t>000</w:t>
      </w:r>
      <w:r>
        <w:rPr>
          <w:rFonts w:eastAsia="仿宋_GB2312"/>
          <w:sz w:val="28"/>
          <w:szCs w:val="28"/>
        </w:rPr>
        <w:t>元，租金约为</w:t>
      </w:r>
      <w:r>
        <w:rPr>
          <w:rFonts w:hint="eastAsia" w:eastAsia="仿宋_GB2312"/>
          <w:sz w:val="28"/>
          <w:szCs w:val="28"/>
          <w:lang w:val="en-US" w:eastAsia="zh-CN"/>
        </w:rPr>
        <w:t>0</w:t>
      </w:r>
      <w:r>
        <w:rPr>
          <w:rFonts w:hint="eastAsia" w:eastAsia="仿宋_GB2312"/>
          <w:sz w:val="28"/>
          <w:szCs w:val="28"/>
        </w:rPr>
        <w:t>.</w:t>
      </w:r>
      <w:r>
        <w:rPr>
          <w:rFonts w:hint="eastAsia" w:eastAsia="仿宋_GB2312"/>
          <w:sz w:val="28"/>
          <w:szCs w:val="28"/>
          <w:lang w:val="en-US" w:eastAsia="zh-CN"/>
        </w:rPr>
        <w:t>76</w:t>
      </w:r>
      <w:r>
        <w:rPr>
          <w:rFonts w:eastAsia="仿宋_GB2312"/>
          <w:sz w:val="28"/>
          <w:szCs w:val="28"/>
        </w:rPr>
        <w:t>元/平方米.日；</w:t>
      </w:r>
      <w:r>
        <w:rPr>
          <w:rFonts w:hint="eastAsia" w:eastAsia="仿宋_GB2312"/>
          <w:sz w:val="28"/>
          <w:szCs w:val="28"/>
          <w:lang w:eastAsia="zh-CN"/>
        </w:rPr>
        <w:t>卓越蔚蓝群岛</w:t>
      </w:r>
      <w:r>
        <w:rPr>
          <w:rFonts w:eastAsia="仿宋_GB2312"/>
          <w:sz w:val="28"/>
          <w:szCs w:val="28"/>
        </w:rPr>
        <w:t>住宅，</w:t>
      </w:r>
      <w:r>
        <w:rPr>
          <w:rFonts w:hint="eastAsia" w:eastAsia="仿宋_GB2312"/>
          <w:sz w:val="28"/>
          <w:szCs w:val="28"/>
          <w:lang w:val="en-US" w:eastAsia="zh-CN"/>
        </w:rPr>
        <w:t>中</w:t>
      </w:r>
      <w:r>
        <w:rPr>
          <w:rFonts w:hint="eastAsia" w:eastAsia="仿宋_GB2312"/>
          <w:sz w:val="28"/>
          <w:szCs w:val="28"/>
        </w:rPr>
        <w:t>楼层/1</w:t>
      </w:r>
      <w:r>
        <w:rPr>
          <w:rFonts w:hint="eastAsia" w:eastAsia="仿宋_GB2312"/>
          <w:sz w:val="28"/>
          <w:szCs w:val="28"/>
          <w:lang w:val="en-US" w:eastAsia="zh-CN"/>
        </w:rPr>
        <w:t>1</w:t>
      </w:r>
      <w:r>
        <w:rPr>
          <w:rFonts w:hint="eastAsia" w:eastAsia="仿宋_GB2312"/>
          <w:sz w:val="28"/>
          <w:szCs w:val="28"/>
        </w:rPr>
        <w:t>层</w:t>
      </w:r>
      <w:r>
        <w:rPr>
          <w:rFonts w:eastAsia="仿宋_GB2312"/>
          <w:sz w:val="28"/>
          <w:szCs w:val="28"/>
        </w:rPr>
        <w:t>，建筑面积</w:t>
      </w:r>
      <w:r>
        <w:rPr>
          <w:rFonts w:hint="eastAsia" w:eastAsia="仿宋_GB2312"/>
          <w:sz w:val="28"/>
          <w:szCs w:val="28"/>
          <w:lang w:val="en-US" w:eastAsia="zh-CN"/>
        </w:rPr>
        <w:t>89</w:t>
      </w:r>
      <w:r>
        <w:rPr>
          <w:rFonts w:eastAsia="仿宋_GB2312"/>
          <w:sz w:val="28"/>
          <w:szCs w:val="28"/>
        </w:rPr>
        <w:t>平方米</w:t>
      </w:r>
      <w:r>
        <w:rPr>
          <w:rFonts w:hint="eastAsia" w:eastAsia="仿宋_GB2312"/>
          <w:sz w:val="28"/>
          <w:szCs w:val="28"/>
        </w:rPr>
        <w:t>，一般</w:t>
      </w:r>
      <w:r>
        <w:rPr>
          <w:rFonts w:eastAsia="仿宋_GB2312"/>
          <w:sz w:val="28"/>
          <w:szCs w:val="28"/>
        </w:rPr>
        <w:t>装修，月租金</w:t>
      </w:r>
      <w:r>
        <w:rPr>
          <w:rFonts w:hint="eastAsia" w:eastAsia="仿宋_GB2312"/>
          <w:sz w:val="28"/>
          <w:szCs w:val="28"/>
          <w:lang w:val="en-US" w:eastAsia="zh-CN"/>
        </w:rPr>
        <w:t>18</w:t>
      </w:r>
      <w:r>
        <w:rPr>
          <w:rFonts w:hint="eastAsia" w:eastAsia="仿宋_GB2312"/>
          <w:sz w:val="28"/>
          <w:szCs w:val="28"/>
        </w:rPr>
        <w:t>00</w:t>
      </w:r>
      <w:r>
        <w:rPr>
          <w:rFonts w:eastAsia="仿宋_GB2312"/>
          <w:sz w:val="28"/>
          <w:szCs w:val="28"/>
        </w:rPr>
        <w:t>元，租金约为</w:t>
      </w:r>
      <w:r>
        <w:rPr>
          <w:rFonts w:hint="eastAsia" w:eastAsia="仿宋_GB2312"/>
          <w:sz w:val="28"/>
          <w:szCs w:val="28"/>
        </w:rPr>
        <w:t>0.</w:t>
      </w:r>
      <w:r>
        <w:rPr>
          <w:rFonts w:hint="eastAsia" w:eastAsia="仿宋_GB2312"/>
          <w:sz w:val="28"/>
          <w:szCs w:val="28"/>
          <w:lang w:val="en-US" w:eastAsia="zh-CN"/>
        </w:rPr>
        <w:t>67</w:t>
      </w:r>
      <w:r>
        <w:rPr>
          <w:rFonts w:eastAsia="仿宋_GB2312"/>
          <w:sz w:val="28"/>
          <w:szCs w:val="28"/>
        </w:rPr>
        <w:t>元/平方米.日；</w:t>
      </w:r>
      <w:r>
        <w:rPr>
          <w:rFonts w:hint="eastAsia" w:eastAsia="仿宋_GB2312"/>
          <w:sz w:val="28"/>
          <w:szCs w:val="28"/>
          <w:lang w:eastAsia="zh-CN"/>
        </w:rPr>
        <w:t>卓越蔚蓝群岛</w:t>
      </w:r>
      <w:r>
        <w:rPr>
          <w:rFonts w:eastAsia="仿宋_GB2312"/>
          <w:sz w:val="28"/>
          <w:szCs w:val="28"/>
        </w:rPr>
        <w:t>住宅，</w:t>
      </w:r>
      <w:r>
        <w:rPr>
          <w:rFonts w:hint="eastAsia" w:eastAsia="仿宋_GB2312"/>
          <w:sz w:val="28"/>
          <w:szCs w:val="28"/>
        </w:rPr>
        <w:t>中楼层/1</w:t>
      </w:r>
      <w:r>
        <w:rPr>
          <w:rFonts w:hint="eastAsia" w:eastAsia="仿宋_GB2312"/>
          <w:sz w:val="28"/>
          <w:szCs w:val="28"/>
          <w:lang w:val="en-US" w:eastAsia="zh-CN"/>
        </w:rPr>
        <w:t>5</w:t>
      </w:r>
      <w:r>
        <w:rPr>
          <w:rFonts w:hint="eastAsia" w:eastAsia="仿宋_GB2312"/>
          <w:sz w:val="28"/>
          <w:szCs w:val="28"/>
        </w:rPr>
        <w:t>层</w:t>
      </w:r>
      <w:r>
        <w:rPr>
          <w:rFonts w:eastAsia="仿宋_GB2312"/>
          <w:sz w:val="28"/>
          <w:szCs w:val="28"/>
        </w:rPr>
        <w:t>，建筑面积</w:t>
      </w:r>
      <w:r>
        <w:rPr>
          <w:rFonts w:hint="eastAsia" w:eastAsia="仿宋_GB2312"/>
          <w:sz w:val="28"/>
          <w:szCs w:val="28"/>
          <w:lang w:val="en-US" w:eastAsia="zh-CN"/>
        </w:rPr>
        <w:t>89</w:t>
      </w:r>
      <w:r>
        <w:rPr>
          <w:rFonts w:eastAsia="仿宋_GB2312"/>
          <w:sz w:val="28"/>
          <w:szCs w:val="28"/>
        </w:rPr>
        <w:t>平方米，</w:t>
      </w:r>
      <w:r>
        <w:rPr>
          <w:rFonts w:hint="eastAsia" w:eastAsia="仿宋_GB2312"/>
          <w:sz w:val="28"/>
          <w:szCs w:val="28"/>
          <w:lang w:val="en-US" w:eastAsia="zh-CN"/>
        </w:rPr>
        <w:t>高档</w:t>
      </w:r>
      <w:r>
        <w:rPr>
          <w:rFonts w:eastAsia="仿宋_GB2312"/>
          <w:sz w:val="28"/>
          <w:szCs w:val="28"/>
        </w:rPr>
        <w:t>装修，</w:t>
      </w:r>
      <w:r>
        <w:rPr>
          <w:rFonts w:hint="eastAsia" w:eastAsia="仿宋_GB2312"/>
          <w:sz w:val="28"/>
          <w:szCs w:val="28"/>
          <w:lang w:val="en-US" w:eastAsia="zh-CN"/>
        </w:rPr>
        <w:t>月</w:t>
      </w:r>
      <w:r>
        <w:rPr>
          <w:rFonts w:eastAsia="仿宋_GB2312"/>
          <w:sz w:val="28"/>
          <w:szCs w:val="28"/>
        </w:rPr>
        <w:t>租金</w:t>
      </w:r>
      <w:r>
        <w:rPr>
          <w:rFonts w:hint="eastAsia" w:eastAsia="仿宋_GB2312"/>
          <w:sz w:val="28"/>
          <w:szCs w:val="28"/>
        </w:rPr>
        <w:t>2</w:t>
      </w:r>
      <w:r>
        <w:rPr>
          <w:rFonts w:hint="eastAsia" w:eastAsia="仿宋_GB2312"/>
          <w:sz w:val="28"/>
          <w:szCs w:val="28"/>
          <w:lang w:val="en-US" w:eastAsia="zh-CN"/>
        </w:rPr>
        <w:t>1</w:t>
      </w:r>
      <w:r>
        <w:rPr>
          <w:rFonts w:hint="eastAsia" w:eastAsia="仿宋_GB2312"/>
          <w:sz w:val="28"/>
          <w:szCs w:val="28"/>
        </w:rPr>
        <w:t>00</w:t>
      </w:r>
      <w:r>
        <w:rPr>
          <w:rFonts w:eastAsia="仿宋_GB2312"/>
          <w:sz w:val="28"/>
          <w:szCs w:val="28"/>
        </w:rPr>
        <w:t>元，租金约为</w:t>
      </w:r>
      <w:r>
        <w:rPr>
          <w:rFonts w:hint="eastAsia" w:eastAsia="仿宋_GB2312"/>
          <w:sz w:val="28"/>
          <w:szCs w:val="28"/>
        </w:rPr>
        <w:t>0.</w:t>
      </w:r>
      <w:r>
        <w:rPr>
          <w:rFonts w:hint="eastAsia" w:eastAsia="仿宋_GB2312"/>
          <w:sz w:val="28"/>
          <w:szCs w:val="28"/>
          <w:lang w:val="en-US" w:eastAsia="zh-CN"/>
        </w:rPr>
        <w:t>79</w:t>
      </w:r>
      <w:r>
        <w:rPr>
          <w:rFonts w:eastAsia="仿宋_GB2312"/>
          <w:sz w:val="28"/>
          <w:szCs w:val="28"/>
        </w:rPr>
        <w:t>元/平方米.日。</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经过调查分析比较，该区域同类物业毛租金约为</w:t>
      </w:r>
      <w:r>
        <w:rPr>
          <w:rFonts w:hint="eastAsia" w:eastAsia="仿宋_GB2312"/>
          <w:sz w:val="28"/>
          <w:szCs w:val="28"/>
        </w:rPr>
        <w:t>0.</w:t>
      </w:r>
      <w:r>
        <w:rPr>
          <w:rFonts w:hint="eastAsia" w:eastAsia="仿宋_GB2312"/>
          <w:sz w:val="28"/>
          <w:szCs w:val="28"/>
          <w:lang w:val="en-US" w:eastAsia="zh-CN"/>
        </w:rPr>
        <w:t>67</w:t>
      </w:r>
      <w:r>
        <w:rPr>
          <w:rFonts w:hint="eastAsia" w:eastAsia="仿宋_GB2312"/>
          <w:sz w:val="28"/>
          <w:szCs w:val="28"/>
        </w:rPr>
        <w:t>-</w:t>
      </w:r>
      <w:r>
        <w:rPr>
          <w:rFonts w:hint="eastAsia" w:eastAsia="仿宋_GB2312"/>
          <w:sz w:val="28"/>
          <w:szCs w:val="28"/>
          <w:lang w:val="en-US" w:eastAsia="zh-CN"/>
        </w:rPr>
        <w:t>0</w:t>
      </w:r>
      <w:r>
        <w:rPr>
          <w:rFonts w:hint="eastAsia" w:eastAsia="仿宋_GB2312"/>
          <w:sz w:val="28"/>
          <w:szCs w:val="28"/>
        </w:rPr>
        <w:t>.</w:t>
      </w:r>
      <w:r>
        <w:rPr>
          <w:rFonts w:hint="eastAsia" w:eastAsia="仿宋_GB2312"/>
          <w:sz w:val="28"/>
          <w:szCs w:val="28"/>
          <w:lang w:val="en-US" w:eastAsia="zh-CN"/>
        </w:rPr>
        <w:t>8</w:t>
      </w:r>
      <w:r>
        <w:rPr>
          <w:rFonts w:eastAsia="仿宋_GB2312"/>
          <w:sz w:val="28"/>
          <w:szCs w:val="28"/>
        </w:rPr>
        <w:t>元/平方米.日，结合估价对象的具体情况，估价对象</w:t>
      </w:r>
      <w:r>
        <w:rPr>
          <w:rFonts w:hint="eastAsia" w:eastAsia="仿宋_GB2312"/>
          <w:sz w:val="28"/>
          <w:szCs w:val="28"/>
          <w:lang w:val="en-US" w:eastAsia="zh-CN"/>
        </w:rPr>
        <w:t>为</w:t>
      </w:r>
      <w:r>
        <w:rPr>
          <w:rFonts w:hint="eastAsia" w:eastAsia="仿宋_GB2312"/>
          <w:sz w:val="28"/>
          <w:szCs w:val="28"/>
        </w:rPr>
        <w:t>毛坯，位于</w:t>
      </w:r>
      <w:r>
        <w:rPr>
          <w:rFonts w:hint="eastAsia" w:eastAsia="仿宋_GB2312"/>
          <w:sz w:val="28"/>
          <w:szCs w:val="28"/>
          <w:lang w:val="en-US" w:eastAsia="zh-CN"/>
        </w:rPr>
        <w:t>7</w:t>
      </w:r>
      <w:r>
        <w:rPr>
          <w:rFonts w:hint="eastAsia" w:eastAsia="仿宋_GB2312"/>
          <w:sz w:val="28"/>
          <w:szCs w:val="28"/>
        </w:rPr>
        <w:t>层/1</w:t>
      </w:r>
      <w:r>
        <w:rPr>
          <w:rFonts w:hint="eastAsia" w:eastAsia="仿宋_GB2312"/>
          <w:sz w:val="28"/>
          <w:szCs w:val="28"/>
          <w:lang w:val="en-US" w:eastAsia="zh-CN"/>
        </w:rPr>
        <w:t>1</w:t>
      </w:r>
      <w:r>
        <w:rPr>
          <w:rFonts w:hint="eastAsia" w:eastAsia="仿宋_GB2312"/>
          <w:sz w:val="28"/>
          <w:szCs w:val="28"/>
        </w:rPr>
        <w:t>层</w:t>
      </w:r>
      <w:r>
        <w:rPr>
          <w:rFonts w:eastAsia="仿宋_GB2312"/>
          <w:sz w:val="28"/>
          <w:szCs w:val="28"/>
        </w:rPr>
        <w:t>，此次评估价值时点估价对象日租金取值</w:t>
      </w:r>
      <w:r>
        <w:rPr>
          <w:rFonts w:hint="eastAsia" w:eastAsia="仿宋_GB2312"/>
          <w:sz w:val="28"/>
          <w:szCs w:val="28"/>
        </w:rPr>
        <w:t>0.</w:t>
      </w:r>
      <w:r>
        <w:rPr>
          <w:rFonts w:hint="eastAsia" w:eastAsia="仿宋_GB2312"/>
          <w:sz w:val="28"/>
          <w:szCs w:val="28"/>
          <w:lang w:val="en-US" w:eastAsia="zh-CN"/>
        </w:rPr>
        <w:t>65</w:t>
      </w:r>
      <w:r>
        <w:rPr>
          <w:rFonts w:eastAsia="仿宋_GB2312"/>
          <w:sz w:val="28"/>
          <w:szCs w:val="28"/>
        </w:rPr>
        <w:t>元/平方米.日。</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则第一年房地产总收益=日租金×有效出租面积×365</w:t>
      </w:r>
    </w:p>
    <w:p>
      <w:pPr>
        <w:widowControl w:val="0"/>
        <w:autoSpaceDE w:val="0"/>
        <w:autoSpaceDN w:val="0"/>
        <w:spacing w:line="360" w:lineRule="auto"/>
        <w:ind w:firstLine="3360" w:firstLineChars="1200"/>
        <w:textAlignment w:val="bottom"/>
        <w:rPr>
          <w:rFonts w:eastAsia="仿宋_GB2312"/>
          <w:sz w:val="28"/>
          <w:szCs w:val="28"/>
        </w:rPr>
      </w:pPr>
      <w:r>
        <w:rPr>
          <w:rFonts w:eastAsia="仿宋_GB2312"/>
          <w:sz w:val="28"/>
          <w:szCs w:val="28"/>
        </w:rPr>
        <w:t>=</w:t>
      </w:r>
      <w:r>
        <w:rPr>
          <w:rFonts w:hint="eastAsia" w:eastAsia="仿宋_GB2312"/>
          <w:sz w:val="28"/>
          <w:szCs w:val="28"/>
        </w:rPr>
        <w:t>0.</w:t>
      </w:r>
      <w:r>
        <w:rPr>
          <w:rFonts w:hint="eastAsia" w:eastAsia="仿宋_GB2312"/>
          <w:sz w:val="28"/>
          <w:szCs w:val="28"/>
          <w:lang w:val="en-US" w:eastAsia="zh-CN"/>
        </w:rPr>
        <w:t>65</w:t>
      </w:r>
      <w:r>
        <w:rPr>
          <w:rFonts w:eastAsia="仿宋_GB2312"/>
          <w:sz w:val="28"/>
          <w:szCs w:val="28"/>
        </w:rPr>
        <w:t>×</w:t>
      </w:r>
      <w:r>
        <w:rPr>
          <w:rFonts w:hint="eastAsia" w:eastAsia="仿宋_GB2312"/>
          <w:sz w:val="28"/>
          <w:szCs w:val="28"/>
          <w:lang w:val="en-US" w:eastAsia="zh-CN"/>
        </w:rPr>
        <w:t>84.44</w:t>
      </w:r>
      <w:r>
        <w:rPr>
          <w:rFonts w:eastAsia="仿宋_GB2312"/>
          <w:sz w:val="28"/>
          <w:szCs w:val="28"/>
        </w:rPr>
        <w:t>×365=</w:t>
      </w:r>
      <w:r>
        <w:rPr>
          <w:rFonts w:hint="eastAsia" w:eastAsia="仿宋_GB2312"/>
          <w:sz w:val="28"/>
          <w:szCs w:val="28"/>
          <w:lang w:val="en-US" w:eastAsia="zh-CN"/>
        </w:rPr>
        <w:t>20033.4</w:t>
      </w:r>
      <w:r>
        <w:rPr>
          <w:rFonts w:eastAsia="仿宋_GB2312"/>
          <w:sz w:val="28"/>
          <w:szCs w:val="28"/>
        </w:rPr>
        <w:t>元）</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（2）计算第一年房地产总费用</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①管理费。由于估价对象物业管理费为承租方另行缴纳，而出租方所支付管理成本较少，管理费取年租金的2%。</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管理费=年租金×2%=</w:t>
      </w:r>
      <w:r>
        <w:rPr>
          <w:rFonts w:hint="eastAsia" w:eastAsia="仿宋_GB2312"/>
          <w:sz w:val="28"/>
          <w:szCs w:val="28"/>
          <w:lang w:val="en-US" w:eastAsia="zh-CN"/>
        </w:rPr>
        <w:t>20033.4</w:t>
      </w:r>
      <w:r>
        <w:rPr>
          <w:rFonts w:eastAsia="仿宋_GB2312"/>
          <w:sz w:val="28"/>
          <w:szCs w:val="28"/>
        </w:rPr>
        <w:t>×2%=</w:t>
      </w:r>
      <w:r>
        <w:rPr>
          <w:rFonts w:hint="eastAsia" w:eastAsia="仿宋_GB2312"/>
          <w:sz w:val="28"/>
          <w:szCs w:val="28"/>
          <w:lang w:val="en-US" w:eastAsia="zh-CN"/>
        </w:rPr>
        <w:t>400.7</w:t>
      </w:r>
      <w:r>
        <w:rPr>
          <w:rFonts w:eastAsia="仿宋_GB2312"/>
          <w:sz w:val="28"/>
          <w:szCs w:val="28"/>
        </w:rPr>
        <w:t>（元）</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②维修费。估价对象同类型房屋的室内装修、设备设施等维修、养护、管理和环境卫生等所收取的费用一般为承租方承担，而估价对象房屋公共部位、主体结构和合同未记载的事项所产生的费用一般为出租方承担，估价对象建于</w:t>
      </w:r>
      <w:r>
        <w:rPr>
          <w:rFonts w:hint="eastAsia" w:eastAsia="仿宋_GB2312"/>
          <w:sz w:val="28"/>
          <w:szCs w:val="28"/>
        </w:rPr>
        <w:t>20</w:t>
      </w:r>
      <w:r>
        <w:rPr>
          <w:rFonts w:hint="eastAsia" w:eastAsia="仿宋_GB2312"/>
          <w:sz w:val="28"/>
          <w:szCs w:val="28"/>
          <w:lang w:val="en-US" w:eastAsia="zh-CN"/>
        </w:rPr>
        <w:t>15</w:t>
      </w:r>
      <w:r>
        <w:rPr>
          <w:rFonts w:eastAsia="仿宋_GB2312"/>
          <w:sz w:val="28"/>
          <w:szCs w:val="28"/>
        </w:rPr>
        <w:t>年，房屋公共部位维护情况良好，主体结构稳定、根据对同类房屋市场调查情况分析，本次评估时，房屋维修所需分摊费用按房屋重置价格的0.5%计。</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估价对象为</w:t>
      </w:r>
      <w:r>
        <w:rPr>
          <w:rFonts w:hint="eastAsia" w:eastAsia="仿宋_GB2312"/>
          <w:sz w:val="28"/>
          <w:szCs w:val="28"/>
        </w:rPr>
        <w:t>钢混</w:t>
      </w:r>
      <w:r>
        <w:rPr>
          <w:rFonts w:eastAsia="仿宋_GB2312"/>
          <w:sz w:val="28"/>
          <w:szCs w:val="28"/>
        </w:rPr>
        <w:t>结构，参照《2017年房屋建筑工程平方米造价指标》，结合当地类似建筑物的平均造价水平，本次估价确定估价对象房屋重置价格为</w:t>
      </w:r>
      <w:r>
        <w:rPr>
          <w:rFonts w:hint="eastAsia" w:eastAsia="仿宋_GB2312"/>
          <w:sz w:val="28"/>
          <w:szCs w:val="28"/>
        </w:rPr>
        <w:t>3000</w:t>
      </w:r>
      <w:r>
        <w:rPr>
          <w:rFonts w:eastAsia="仿宋_GB2312"/>
          <w:sz w:val="28"/>
          <w:szCs w:val="28"/>
        </w:rPr>
        <w:t>元/平方米。</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维修费=重置价值×0.5%=3000×</w:t>
      </w:r>
      <w:r>
        <w:rPr>
          <w:rFonts w:hint="eastAsia" w:eastAsia="仿宋_GB2312"/>
          <w:sz w:val="28"/>
          <w:szCs w:val="28"/>
          <w:lang w:val="en-US" w:eastAsia="zh-CN"/>
        </w:rPr>
        <w:t>84.44</w:t>
      </w:r>
      <w:r>
        <w:rPr>
          <w:rFonts w:eastAsia="仿宋_GB2312"/>
          <w:sz w:val="28"/>
          <w:szCs w:val="28"/>
        </w:rPr>
        <w:t>×0.5%=</w:t>
      </w:r>
      <w:r>
        <w:rPr>
          <w:rFonts w:hint="eastAsia" w:eastAsia="仿宋_GB2312"/>
          <w:sz w:val="28"/>
          <w:szCs w:val="28"/>
          <w:lang w:val="en-US" w:eastAsia="zh-CN"/>
        </w:rPr>
        <w:t>1266.6</w:t>
      </w:r>
      <w:r>
        <w:rPr>
          <w:rFonts w:eastAsia="仿宋_GB2312"/>
          <w:sz w:val="28"/>
          <w:szCs w:val="28"/>
        </w:rPr>
        <w:t>（元）</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③保险费。根据保险公司平均收费的水平，房屋保险费一般取房屋重置价格的0.1%-0.2%，估价对象结构及工程质量良好，本次评估保险费取建筑物重置价值的0.1%。</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保险费=重置价值×0.1%=3000×</w:t>
      </w:r>
      <w:r>
        <w:rPr>
          <w:rFonts w:hint="eastAsia" w:eastAsia="仿宋_GB2312"/>
          <w:sz w:val="28"/>
          <w:szCs w:val="28"/>
          <w:lang w:val="en-US" w:eastAsia="zh-CN"/>
        </w:rPr>
        <w:t>84.44</w:t>
      </w:r>
      <w:r>
        <w:rPr>
          <w:rFonts w:eastAsia="仿宋_GB2312"/>
          <w:sz w:val="28"/>
          <w:szCs w:val="28"/>
        </w:rPr>
        <w:t>×0.1%=</w:t>
      </w:r>
      <w:r>
        <w:rPr>
          <w:rFonts w:hint="eastAsia" w:eastAsia="仿宋_GB2312"/>
          <w:sz w:val="28"/>
          <w:szCs w:val="28"/>
          <w:lang w:val="en-US" w:eastAsia="zh-CN"/>
        </w:rPr>
        <w:t>253</w:t>
      </w:r>
      <w:r>
        <w:rPr>
          <w:rFonts w:eastAsia="仿宋_GB2312"/>
          <w:sz w:val="28"/>
          <w:szCs w:val="28"/>
        </w:rPr>
        <w:t>（元）</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④相关税费</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根据《关于全面推开营业税改征增值税试点的通知》(财税[2016]36号)及估价对象所在地相关税收政策，</w:t>
      </w:r>
      <w:r>
        <w:rPr>
          <w:rFonts w:hint="eastAsia" w:eastAsia="仿宋_GB2312"/>
          <w:sz w:val="28"/>
          <w:szCs w:val="28"/>
        </w:rPr>
        <w:t>其他个人出租住房，按照5%的征收率减按1.5%计算应纳税额</w:t>
      </w:r>
      <w:r>
        <w:rPr>
          <w:rFonts w:eastAsia="仿宋_GB2312"/>
          <w:sz w:val="28"/>
          <w:szCs w:val="28"/>
        </w:rPr>
        <w:t>。根据《中华人民共和国房产税暂行条例》规定，出租经营性用房的房产税税率为12%。</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则相关税费合计为年租金的1</w:t>
      </w:r>
      <w:r>
        <w:rPr>
          <w:rFonts w:hint="eastAsia" w:eastAsia="仿宋_GB2312"/>
          <w:sz w:val="28"/>
          <w:szCs w:val="28"/>
        </w:rPr>
        <w:t>3.5</w:t>
      </w:r>
      <w:r>
        <w:rPr>
          <w:rFonts w:eastAsia="仿宋_GB2312"/>
          <w:sz w:val="28"/>
          <w:szCs w:val="28"/>
        </w:rPr>
        <w:t>%。</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相关税费=年租金×1</w:t>
      </w:r>
      <w:r>
        <w:rPr>
          <w:rFonts w:hint="eastAsia" w:eastAsia="仿宋_GB2312"/>
          <w:sz w:val="28"/>
          <w:szCs w:val="28"/>
        </w:rPr>
        <w:t>3.5</w:t>
      </w:r>
      <w:r>
        <w:rPr>
          <w:rFonts w:eastAsia="仿宋_GB2312"/>
          <w:sz w:val="28"/>
          <w:szCs w:val="28"/>
        </w:rPr>
        <w:t>%=</w:t>
      </w:r>
      <w:r>
        <w:rPr>
          <w:rFonts w:hint="eastAsia" w:eastAsia="仿宋_GB2312"/>
          <w:sz w:val="28"/>
          <w:szCs w:val="28"/>
          <w:lang w:val="en-US" w:eastAsia="zh-CN"/>
        </w:rPr>
        <w:t>20033.4</w:t>
      </w:r>
      <w:r>
        <w:rPr>
          <w:rFonts w:eastAsia="仿宋_GB2312"/>
          <w:sz w:val="28"/>
          <w:szCs w:val="28"/>
        </w:rPr>
        <w:t>×1</w:t>
      </w:r>
      <w:r>
        <w:rPr>
          <w:rFonts w:hint="eastAsia" w:eastAsia="仿宋_GB2312"/>
          <w:sz w:val="28"/>
          <w:szCs w:val="28"/>
        </w:rPr>
        <w:t>3.5</w:t>
      </w:r>
      <w:r>
        <w:rPr>
          <w:rFonts w:eastAsia="仿宋_GB2312"/>
          <w:sz w:val="28"/>
          <w:szCs w:val="28"/>
        </w:rPr>
        <w:t>%=</w:t>
      </w:r>
      <w:r>
        <w:rPr>
          <w:rFonts w:hint="eastAsia" w:eastAsia="仿宋_GB2312"/>
          <w:sz w:val="28"/>
          <w:szCs w:val="28"/>
          <w:lang w:val="en-US" w:eastAsia="zh-CN"/>
        </w:rPr>
        <w:t>2704.5</w:t>
      </w:r>
      <w:r>
        <w:rPr>
          <w:rFonts w:eastAsia="仿宋_GB2312"/>
          <w:sz w:val="28"/>
          <w:szCs w:val="28"/>
        </w:rPr>
        <w:t>（元）</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年房地产总费用=①+②+③+④</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w:t>
      </w:r>
      <w:r>
        <w:rPr>
          <w:rFonts w:hint="eastAsia" w:eastAsia="仿宋_GB2312"/>
          <w:sz w:val="28"/>
          <w:szCs w:val="28"/>
          <w:lang w:val="en-US" w:eastAsia="zh-CN"/>
        </w:rPr>
        <w:t>400.7</w:t>
      </w:r>
      <w:r>
        <w:rPr>
          <w:rFonts w:eastAsia="仿宋_GB2312"/>
          <w:sz w:val="28"/>
          <w:szCs w:val="28"/>
        </w:rPr>
        <w:t>+</w:t>
      </w:r>
      <w:r>
        <w:rPr>
          <w:rFonts w:hint="eastAsia" w:eastAsia="仿宋_GB2312"/>
          <w:sz w:val="28"/>
          <w:szCs w:val="28"/>
          <w:lang w:val="en-US" w:eastAsia="zh-CN"/>
        </w:rPr>
        <w:t>1266.6</w:t>
      </w:r>
      <w:r>
        <w:rPr>
          <w:rFonts w:eastAsia="仿宋_GB2312"/>
          <w:sz w:val="28"/>
          <w:szCs w:val="28"/>
        </w:rPr>
        <w:t>+</w:t>
      </w:r>
      <w:r>
        <w:rPr>
          <w:rFonts w:hint="eastAsia" w:eastAsia="仿宋_GB2312"/>
          <w:sz w:val="28"/>
          <w:szCs w:val="28"/>
          <w:lang w:val="en-US" w:eastAsia="zh-CN"/>
        </w:rPr>
        <w:t>253</w:t>
      </w:r>
      <w:r>
        <w:rPr>
          <w:rFonts w:eastAsia="仿宋_GB2312"/>
          <w:sz w:val="28"/>
          <w:szCs w:val="28"/>
        </w:rPr>
        <w:t>+</w:t>
      </w:r>
      <w:r>
        <w:rPr>
          <w:rFonts w:hint="eastAsia" w:eastAsia="仿宋_GB2312"/>
          <w:sz w:val="28"/>
          <w:szCs w:val="28"/>
          <w:lang w:val="en-US" w:eastAsia="zh-CN"/>
        </w:rPr>
        <w:t>2704.5</w:t>
      </w:r>
      <w:r>
        <w:rPr>
          <w:rFonts w:eastAsia="仿宋_GB2312"/>
          <w:sz w:val="28"/>
          <w:szCs w:val="28"/>
        </w:rPr>
        <w:t>=</w:t>
      </w:r>
      <w:r>
        <w:rPr>
          <w:rFonts w:hint="eastAsia" w:eastAsia="仿宋_GB2312"/>
          <w:sz w:val="28"/>
          <w:szCs w:val="28"/>
          <w:lang w:val="en-US" w:eastAsia="zh-CN"/>
        </w:rPr>
        <w:t>4624.8</w:t>
      </w:r>
      <w:r>
        <w:rPr>
          <w:rFonts w:eastAsia="仿宋_GB2312"/>
          <w:sz w:val="28"/>
          <w:szCs w:val="28"/>
        </w:rPr>
        <w:t>（元）</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（3）计算第一年房地产纯收益</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第一年房地产纯收益=年房地产总收益-年房地产总费用</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w:t>
      </w:r>
      <w:r>
        <w:rPr>
          <w:rFonts w:hint="eastAsia" w:eastAsia="仿宋_GB2312"/>
          <w:sz w:val="28"/>
          <w:szCs w:val="28"/>
          <w:lang w:val="en-US" w:eastAsia="zh-CN"/>
        </w:rPr>
        <w:t>20033.4</w:t>
      </w:r>
      <w:r>
        <w:rPr>
          <w:rFonts w:eastAsia="仿宋_GB2312"/>
          <w:sz w:val="28"/>
          <w:szCs w:val="28"/>
        </w:rPr>
        <w:t>-</w:t>
      </w:r>
      <w:r>
        <w:rPr>
          <w:rFonts w:hint="eastAsia" w:eastAsia="仿宋_GB2312"/>
          <w:sz w:val="28"/>
          <w:szCs w:val="28"/>
          <w:lang w:val="en-US" w:eastAsia="zh-CN"/>
        </w:rPr>
        <w:t>4624.8</w:t>
      </w:r>
      <w:r>
        <w:rPr>
          <w:rFonts w:eastAsia="仿宋_GB2312"/>
          <w:sz w:val="28"/>
          <w:szCs w:val="28"/>
        </w:rPr>
        <w:t>=</w:t>
      </w:r>
      <w:r>
        <w:rPr>
          <w:rFonts w:hint="eastAsia" w:eastAsia="仿宋_GB2312"/>
          <w:sz w:val="28"/>
          <w:szCs w:val="28"/>
          <w:lang w:val="en-US" w:eastAsia="zh-CN"/>
        </w:rPr>
        <w:t>15408.6</w:t>
      </w:r>
      <w:r>
        <w:rPr>
          <w:rFonts w:eastAsia="仿宋_GB2312"/>
          <w:sz w:val="28"/>
          <w:szCs w:val="28"/>
        </w:rPr>
        <w:t>（元）</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（4）房地产报酬率</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根据《房地产估价规范》，房地产还原率计算方法有市场提取法、累加法（安全利率加风险调整值法）和投资收益率排序插入法，本次房地产收益率采用市场提取法确定。</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所谓市场提取法，搜集市场上三宗以上类似房地产的价格、净收益等数据资料，选用相应的收益法计算公式，求出报酬率。</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我们调查了该区域类似住宅销售及租赁情况。</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①销售情况</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实例A：</w:t>
      </w:r>
      <w:r>
        <w:rPr>
          <w:rFonts w:hint="eastAsia" w:eastAsia="仿宋_GB2312"/>
          <w:sz w:val="28"/>
          <w:szCs w:val="28"/>
          <w:lang w:eastAsia="zh-CN"/>
        </w:rPr>
        <w:t>位于卓越蔚蓝群岛住宅小区，建成于2015年</w:t>
      </w:r>
      <w:r>
        <w:rPr>
          <w:rFonts w:eastAsia="仿宋_GB2312"/>
          <w:sz w:val="28"/>
          <w:szCs w:val="28"/>
        </w:rPr>
        <w:t>，楼座共</w:t>
      </w:r>
      <w:r>
        <w:rPr>
          <w:rFonts w:hint="eastAsia" w:eastAsia="仿宋_GB2312"/>
          <w:sz w:val="28"/>
          <w:szCs w:val="28"/>
        </w:rPr>
        <w:t>1</w:t>
      </w:r>
      <w:r>
        <w:rPr>
          <w:rFonts w:hint="eastAsia" w:eastAsia="仿宋_GB2312"/>
          <w:sz w:val="28"/>
          <w:szCs w:val="28"/>
          <w:lang w:val="en-US" w:eastAsia="zh-CN"/>
        </w:rPr>
        <w:t>1</w:t>
      </w:r>
      <w:r>
        <w:rPr>
          <w:rFonts w:eastAsia="仿宋_GB2312"/>
          <w:sz w:val="28"/>
          <w:szCs w:val="28"/>
        </w:rPr>
        <w:t>层，</w:t>
      </w:r>
      <w:r>
        <w:rPr>
          <w:rFonts w:hint="eastAsia" w:eastAsia="仿宋_GB2312"/>
          <w:sz w:val="28"/>
          <w:szCs w:val="28"/>
        </w:rPr>
        <w:t>实例</w:t>
      </w:r>
      <w:r>
        <w:rPr>
          <w:rFonts w:eastAsia="仿宋_GB2312"/>
          <w:sz w:val="28"/>
          <w:szCs w:val="28"/>
        </w:rPr>
        <w:t>位于</w:t>
      </w:r>
      <w:r>
        <w:rPr>
          <w:rFonts w:hint="eastAsia" w:eastAsia="仿宋_GB2312"/>
          <w:sz w:val="28"/>
          <w:szCs w:val="28"/>
          <w:lang w:val="en-US" w:eastAsia="zh-CN"/>
        </w:rPr>
        <w:t>5</w:t>
      </w:r>
      <w:r>
        <w:rPr>
          <w:rFonts w:eastAsia="仿宋_GB2312"/>
          <w:sz w:val="28"/>
          <w:szCs w:val="28"/>
        </w:rPr>
        <w:t>层，建筑面积</w:t>
      </w:r>
      <w:r>
        <w:rPr>
          <w:rFonts w:hint="eastAsia" w:eastAsia="仿宋_GB2312"/>
          <w:sz w:val="28"/>
          <w:szCs w:val="28"/>
          <w:lang w:val="en-US" w:eastAsia="zh-CN"/>
        </w:rPr>
        <w:t>88</w:t>
      </w:r>
      <w:r>
        <w:rPr>
          <w:rFonts w:eastAsia="仿宋_GB2312"/>
          <w:sz w:val="28"/>
          <w:szCs w:val="28"/>
        </w:rPr>
        <w:t>平方米，</w:t>
      </w:r>
      <w:r>
        <w:rPr>
          <w:rFonts w:hint="eastAsia" w:eastAsia="仿宋_GB2312"/>
          <w:sz w:val="28"/>
          <w:szCs w:val="28"/>
        </w:rPr>
        <w:t>毛坯</w:t>
      </w:r>
      <w:r>
        <w:rPr>
          <w:rFonts w:eastAsia="仿宋_GB2312"/>
          <w:sz w:val="28"/>
          <w:szCs w:val="28"/>
        </w:rPr>
        <w:t>，售价为</w:t>
      </w:r>
      <w:r>
        <w:rPr>
          <w:rFonts w:hint="eastAsia" w:eastAsia="仿宋_GB2312"/>
          <w:sz w:val="28"/>
          <w:szCs w:val="28"/>
          <w:lang w:val="en-US" w:eastAsia="zh-CN"/>
        </w:rPr>
        <w:t>17000</w:t>
      </w:r>
      <w:r>
        <w:rPr>
          <w:rFonts w:eastAsia="仿宋_GB2312"/>
          <w:sz w:val="28"/>
          <w:szCs w:val="28"/>
        </w:rPr>
        <w:t>元/平方米。</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实例B：</w:t>
      </w:r>
      <w:r>
        <w:rPr>
          <w:rFonts w:hint="eastAsia" w:eastAsia="仿宋_GB2312"/>
          <w:sz w:val="28"/>
          <w:szCs w:val="28"/>
          <w:lang w:eastAsia="zh-CN"/>
        </w:rPr>
        <w:t>位于卓越蔚蓝群岛住宅小区，建成于2015年</w:t>
      </w:r>
      <w:r>
        <w:rPr>
          <w:rFonts w:eastAsia="仿宋_GB2312"/>
          <w:sz w:val="28"/>
          <w:szCs w:val="28"/>
        </w:rPr>
        <w:t>，楼座共</w:t>
      </w:r>
      <w:r>
        <w:rPr>
          <w:rFonts w:hint="eastAsia" w:eastAsia="仿宋_GB2312"/>
          <w:sz w:val="28"/>
          <w:szCs w:val="28"/>
        </w:rPr>
        <w:t>1</w:t>
      </w:r>
      <w:r>
        <w:rPr>
          <w:rFonts w:hint="eastAsia" w:eastAsia="仿宋_GB2312"/>
          <w:sz w:val="28"/>
          <w:szCs w:val="28"/>
          <w:lang w:val="en-US" w:eastAsia="zh-CN"/>
        </w:rPr>
        <w:t>1</w:t>
      </w:r>
      <w:r>
        <w:rPr>
          <w:rFonts w:eastAsia="仿宋_GB2312"/>
          <w:sz w:val="28"/>
          <w:szCs w:val="28"/>
        </w:rPr>
        <w:t>层，</w:t>
      </w:r>
      <w:r>
        <w:rPr>
          <w:rFonts w:hint="eastAsia" w:eastAsia="仿宋_GB2312"/>
          <w:sz w:val="28"/>
          <w:szCs w:val="28"/>
        </w:rPr>
        <w:t>实例</w:t>
      </w:r>
      <w:r>
        <w:rPr>
          <w:rFonts w:eastAsia="仿宋_GB2312"/>
          <w:sz w:val="28"/>
          <w:szCs w:val="28"/>
        </w:rPr>
        <w:t>位于</w:t>
      </w:r>
      <w:r>
        <w:rPr>
          <w:rFonts w:hint="eastAsia" w:eastAsia="仿宋_GB2312"/>
          <w:sz w:val="28"/>
          <w:szCs w:val="28"/>
          <w:lang w:val="en-US" w:eastAsia="zh-CN"/>
        </w:rPr>
        <w:t>8</w:t>
      </w:r>
      <w:r>
        <w:rPr>
          <w:rFonts w:eastAsia="仿宋_GB2312"/>
          <w:sz w:val="28"/>
          <w:szCs w:val="28"/>
        </w:rPr>
        <w:t>层，建筑面积</w:t>
      </w:r>
      <w:r>
        <w:rPr>
          <w:rFonts w:hint="eastAsia" w:eastAsia="仿宋_GB2312"/>
          <w:sz w:val="28"/>
          <w:szCs w:val="28"/>
          <w:lang w:val="en-US" w:eastAsia="zh-CN"/>
        </w:rPr>
        <w:t>87.5</w:t>
      </w:r>
      <w:r>
        <w:rPr>
          <w:rFonts w:eastAsia="仿宋_GB2312"/>
          <w:sz w:val="28"/>
          <w:szCs w:val="28"/>
        </w:rPr>
        <w:t>平方米，</w:t>
      </w:r>
      <w:r>
        <w:rPr>
          <w:rFonts w:hint="eastAsia" w:eastAsia="仿宋_GB2312"/>
          <w:sz w:val="28"/>
          <w:szCs w:val="28"/>
          <w:lang w:val="en-US" w:eastAsia="zh-CN"/>
        </w:rPr>
        <w:t>一般</w:t>
      </w:r>
      <w:r>
        <w:rPr>
          <w:rFonts w:eastAsia="仿宋_GB2312"/>
          <w:sz w:val="28"/>
          <w:szCs w:val="28"/>
        </w:rPr>
        <w:t>装修，售价为</w:t>
      </w:r>
      <w:r>
        <w:rPr>
          <w:rFonts w:hint="eastAsia" w:eastAsia="仿宋_GB2312"/>
          <w:sz w:val="28"/>
          <w:szCs w:val="28"/>
          <w:lang w:val="en-US" w:eastAsia="zh-CN"/>
        </w:rPr>
        <w:t>19000</w:t>
      </w:r>
      <w:r>
        <w:rPr>
          <w:rFonts w:eastAsia="仿宋_GB2312"/>
          <w:sz w:val="28"/>
          <w:szCs w:val="28"/>
        </w:rPr>
        <w:t>元/平方米。</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实例C：</w:t>
      </w:r>
      <w:r>
        <w:rPr>
          <w:rFonts w:hint="eastAsia" w:eastAsia="仿宋_GB2312"/>
          <w:sz w:val="28"/>
          <w:szCs w:val="28"/>
          <w:lang w:eastAsia="zh-CN"/>
        </w:rPr>
        <w:t>位于卓越蔚蓝群岛住宅小区，建成于2015年</w:t>
      </w:r>
      <w:r>
        <w:rPr>
          <w:rFonts w:eastAsia="仿宋_GB2312"/>
          <w:sz w:val="28"/>
          <w:szCs w:val="28"/>
        </w:rPr>
        <w:t>，楼座共</w:t>
      </w:r>
      <w:r>
        <w:rPr>
          <w:rFonts w:hint="eastAsia" w:eastAsia="仿宋_GB2312"/>
          <w:sz w:val="28"/>
          <w:szCs w:val="28"/>
          <w:lang w:val="en-US" w:eastAsia="zh-CN"/>
        </w:rPr>
        <w:t>11</w:t>
      </w:r>
      <w:r>
        <w:rPr>
          <w:rFonts w:eastAsia="仿宋_GB2312"/>
          <w:sz w:val="28"/>
          <w:szCs w:val="28"/>
        </w:rPr>
        <w:t>层，</w:t>
      </w:r>
      <w:r>
        <w:rPr>
          <w:rFonts w:hint="eastAsia" w:eastAsia="仿宋_GB2312"/>
          <w:sz w:val="28"/>
          <w:szCs w:val="28"/>
        </w:rPr>
        <w:t>实例</w:t>
      </w:r>
      <w:r>
        <w:rPr>
          <w:rFonts w:eastAsia="仿宋_GB2312"/>
          <w:sz w:val="28"/>
          <w:szCs w:val="28"/>
        </w:rPr>
        <w:t>位于</w:t>
      </w:r>
      <w:r>
        <w:rPr>
          <w:rFonts w:hint="eastAsia" w:eastAsia="仿宋_GB2312"/>
          <w:sz w:val="28"/>
          <w:szCs w:val="28"/>
          <w:lang w:val="en-US" w:eastAsia="zh-CN"/>
        </w:rPr>
        <w:t>7</w:t>
      </w:r>
      <w:r>
        <w:rPr>
          <w:rFonts w:eastAsia="仿宋_GB2312"/>
          <w:sz w:val="28"/>
          <w:szCs w:val="28"/>
        </w:rPr>
        <w:t>层，建筑面积</w:t>
      </w:r>
      <w:r>
        <w:rPr>
          <w:rFonts w:hint="eastAsia" w:eastAsia="仿宋_GB2312"/>
          <w:sz w:val="28"/>
          <w:szCs w:val="28"/>
          <w:lang w:val="en-US" w:eastAsia="zh-CN"/>
        </w:rPr>
        <w:t>88</w:t>
      </w:r>
      <w:r>
        <w:rPr>
          <w:rFonts w:eastAsia="仿宋_GB2312"/>
          <w:sz w:val="28"/>
          <w:szCs w:val="28"/>
        </w:rPr>
        <w:t>平方米，</w:t>
      </w:r>
      <w:r>
        <w:rPr>
          <w:rFonts w:hint="eastAsia" w:eastAsia="仿宋_GB2312"/>
          <w:sz w:val="28"/>
          <w:szCs w:val="28"/>
          <w:lang w:val="en-US" w:eastAsia="zh-CN"/>
        </w:rPr>
        <w:t>一般</w:t>
      </w:r>
      <w:r>
        <w:rPr>
          <w:rFonts w:eastAsia="仿宋_GB2312"/>
          <w:sz w:val="28"/>
          <w:szCs w:val="28"/>
        </w:rPr>
        <w:t>装修，售价为</w:t>
      </w:r>
      <w:r>
        <w:rPr>
          <w:rFonts w:hint="eastAsia" w:eastAsia="仿宋_GB2312"/>
          <w:sz w:val="28"/>
          <w:szCs w:val="28"/>
          <w:lang w:val="en-US" w:eastAsia="zh-CN"/>
        </w:rPr>
        <w:t>18700</w:t>
      </w:r>
      <w:r>
        <w:rPr>
          <w:rFonts w:eastAsia="仿宋_GB2312"/>
          <w:sz w:val="28"/>
          <w:szCs w:val="28"/>
        </w:rPr>
        <w:t>元/平方米。</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经过调查分析比较，该区域同类物业均价约为</w:t>
      </w:r>
      <w:r>
        <w:rPr>
          <w:rFonts w:hint="eastAsia" w:eastAsia="仿宋_GB2312"/>
          <w:sz w:val="28"/>
          <w:szCs w:val="28"/>
          <w:lang w:val="en-US" w:eastAsia="zh-CN"/>
        </w:rPr>
        <w:t>19000</w:t>
      </w:r>
      <w:r>
        <w:rPr>
          <w:rFonts w:eastAsia="仿宋_GB2312"/>
          <w:sz w:val="28"/>
          <w:szCs w:val="28"/>
        </w:rPr>
        <w:t>元/平方米。</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②租赁情况</w:t>
      </w:r>
    </w:p>
    <w:p>
      <w:pPr>
        <w:widowControl w:val="0"/>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lang w:eastAsia="zh-CN"/>
        </w:rPr>
        <w:t>卓越蔚蓝群岛</w:t>
      </w:r>
      <w:r>
        <w:rPr>
          <w:rFonts w:eastAsia="仿宋_GB2312"/>
          <w:sz w:val="28"/>
          <w:szCs w:val="28"/>
        </w:rPr>
        <w:t>住宅，</w:t>
      </w:r>
      <w:r>
        <w:rPr>
          <w:rFonts w:hint="eastAsia" w:eastAsia="仿宋_GB2312"/>
          <w:sz w:val="28"/>
          <w:szCs w:val="28"/>
          <w:lang w:val="en-US" w:eastAsia="zh-CN"/>
        </w:rPr>
        <w:t>中</w:t>
      </w:r>
      <w:r>
        <w:rPr>
          <w:rFonts w:hint="eastAsia" w:eastAsia="仿宋_GB2312"/>
          <w:sz w:val="28"/>
          <w:szCs w:val="28"/>
        </w:rPr>
        <w:t>楼</w:t>
      </w:r>
      <w:r>
        <w:rPr>
          <w:rFonts w:eastAsia="仿宋_GB2312"/>
          <w:sz w:val="28"/>
          <w:szCs w:val="28"/>
        </w:rPr>
        <w:t>层</w:t>
      </w:r>
      <w:r>
        <w:rPr>
          <w:rFonts w:hint="eastAsia" w:eastAsia="仿宋_GB2312"/>
          <w:sz w:val="28"/>
          <w:szCs w:val="28"/>
        </w:rPr>
        <w:t>/1</w:t>
      </w:r>
      <w:r>
        <w:rPr>
          <w:rFonts w:hint="eastAsia" w:eastAsia="仿宋_GB2312"/>
          <w:sz w:val="28"/>
          <w:szCs w:val="28"/>
          <w:lang w:val="en-US" w:eastAsia="zh-CN"/>
        </w:rPr>
        <w:t>1</w:t>
      </w:r>
      <w:r>
        <w:rPr>
          <w:rFonts w:hint="eastAsia" w:eastAsia="仿宋_GB2312"/>
          <w:sz w:val="28"/>
          <w:szCs w:val="28"/>
        </w:rPr>
        <w:t>层</w:t>
      </w:r>
      <w:r>
        <w:rPr>
          <w:rFonts w:eastAsia="仿宋_GB2312"/>
          <w:sz w:val="28"/>
          <w:szCs w:val="28"/>
        </w:rPr>
        <w:t>，建筑面积</w:t>
      </w:r>
      <w:r>
        <w:rPr>
          <w:rFonts w:hint="eastAsia" w:eastAsia="仿宋_GB2312"/>
          <w:sz w:val="28"/>
          <w:szCs w:val="28"/>
          <w:lang w:val="en-US" w:eastAsia="zh-CN"/>
        </w:rPr>
        <w:t>88</w:t>
      </w:r>
      <w:r>
        <w:rPr>
          <w:rFonts w:eastAsia="仿宋_GB2312"/>
          <w:sz w:val="28"/>
          <w:szCs w:val="28"/>
        </w:rPr>
        <w:t>平方米，</w:t>
      </w:r>
      <w:r>
        <w:rPr>
          <w:rFonts w:hint="eastAsia" w:eastAsia="仿宋_GB2312"/>
          <w:sz w:val="28"/>
          <w:szCs w:val="28"/>
        </w:rPr>
        <w:t>中档</w:t>
      </w:r>
      <w:r>
        <w:rPr>
          <w:rFonts w:eastAsia="仿宋_GB2312"/>
          <w:sz w:val="28"/>
          <w:szCs w:val="28"/>
        </w:rPr>
        <w:t>装修</w:t>
      </w:r>
      <w:r>
        <w:rPr>
          <w:rFonts w:hint="eastAsia" w:eastAsia="仿宋_GB2312"/>
          <w:sz w:val="28"/>
          <w:szCs w:val="28"/>
        </w:rPr>
        <w:t>，</w:t>
      </w:r>
      <w:r>
        <w:rPr>
          <w:rFonts w:eastAsia="仿宋_GB2312"/>
          <w:sz w:val="28"/>
          <w:szCs w:val="28"/>
        </w:rPr>
        <w:t>月租金</w:t>
      </w:r>
      <w:r>
        <w:rPr>
          <w:rFonts w:hint="eastAsia" w:eastAsia="仿宋_GB2312"/>
          <w:sz w:val="28"/>
          <w:szCs w:val="28"/>
          <w:lang w:val="en-US" w:eastAsia="zh-CN"/>
        </w:rPr>
        <w:t>2</w:t>
      </w:r>
      <w:r>
        <w:rPr>
          <w:rFonts w:hint="eastAsia" w:eastAsia="仿宋_GB2312"/>
          <w:sz w:val="28"/>
          <w:szCs w:val="28"/>
        </w:rPr>
        <w:t>000</w:t>
      </w:r>
      <w:r>
        <w:rPr>
          <w:rFonts w:eastAsia="仿宋_GB2312"/>
          <w:sz w:val="28"/>
          <w:szCs w:val="28"/>
        </w:rPr>
        <w:t>元，租金约为</w:t>
      </w:r>
      <w:r>
        <w:rPr>
          <w:rFonts w:hint="eastAsia" w:eastAsia="仿宋_GB2312"/>
          <w:sz w:val="28"/>
          <w:szCs w:val="28"/>
          <w:lang w:val="en-US" w:eastAsia="zh-CN"/>
        </w:rPr>
        <w:t>0</w:t>
      </w:r>
      <w:r>
        <w:rPr>
          <w:rFonts w:hint="eastAsia" w:eastAsia="仿宋_GB2312"/>
          <w:sz w:val="28"/>
          <w:szCs w:val="28"/>
        </w:rPr>
        <w:t>.</w:t>
      </w:r>
      <w:r>
        <w:rPr>
          <w:rFonts w:hint="eastAsia" w:eastAsia="仿宋_GB2312"/>
          <w:sz w:val="28"/>
          <w:szCs w:val="28"/>
          <w:lang w:val="en-US" w:eastAsia="zh-CN"/>
        </w:rPr>
        <w:t>76</w:t>
      </w:r>
      <w:r>
        <w:rPr>
          <w:rFonts w:eastAsia="仿宋_GB2312"/>
          <w:sz w:val="28"/>
          <w:szCs w:val="28"/>
        </w:rPr>
        <w:t>元/平方米.日；</w:t>
      </w:r>
      <w:r>
        <w:rPr>
          <w:rFonts w:hint="eastAsia" w:eastAsia="仿宋_GB2312"/>
          <w:sz w:val="28"/>
          <w:szCs w:val="28"/>
          <w:lang w:eastAsia="zh-CN"/>
        </w:rPr>
        <w:t>卓越蔚蓝群岛</w:t>
      </w:r>
      <w:r>
        <w:rPr>
          <w:rFonts w:eastAsia="仿宋_GB2312"/>
          <w:sz w:val="28"/>
          <w:szCs w:val="28"/>
        </w:rPr>
        <w:t>住宅，</w:t>
      </w:r>
      <w:r>
        <w:rPr>
          <w:rFonts w:hint="eastAsia" w:eastAsia="仿宋_GB2312"/>
          <w:sz w:val="28"/>
          <w:szCs w:val="28"/>
          <w:lang w:val="en-US" w:eastAsia="zh-CN"/>
        </w:rPr>
        <w:t>中</w:t>
      </w:r>
      <w:r>
        <w:rPr>
          <w:rFonts w:hint="eastAsia" w:eastAsia="仿宋_GB2312"/>
          <w:sz w:val="28"/>
          <w:szCs w:val="28"/>
        </w:rPr>
        <w:t>楼层/1</w:t>
      </w:r>
      <w:r>
        <w:rPr>
          <w:rFonts w:hint="eastAsia" w:eastAsia="仿宋_GB2312"/>
          <w:sz w:val="28"/>
          <w:szCs w:val="28"/>
          <w:lang w:val="en-US" w:eastAsia="zh-CN"/>
        </w:rPr>
        <w:t>1</w:t>
      </w:r>
      <w:r>
        <w:rPr>
          <w:rFonts w:hint="eastAsia" w:eastAsia="仿宋_GB2312"/>
          <w:sz w:val="28"/>
          <w:szCs w:val="28"/>
        </w:rPr>
        <w:t>层</w:t>
      </w:r>
      <w:r>
        <w:rPr>
          <w:rFonts w:eastAsia="仿宋_GB2312"/>
          <w:sz w:val="28"/>
          <w:szCs w:val="28"/>
        </w:rPr>
        <w:t>，建筑面积</w:t>
      </w:r>
      <w:r>
        <w:rPr>
          <w:rFonts w:hint="eastAsia" w:eastAsia="仿宋_GB2312"/>
          <w:sz w:val="28"/>
          <w:szCs w:val="28"/>
          <w:lang w:val="en-US" w:eastAsia="zh-CN"/>
        </w:rPr>
        <w:t>89</w:t>
      </w:r>
      <w:r>
        <w:rPr>
          <w:rFonts w:eastAsia="仿宋_GB2312"/>
          <w:sz w:val="28"/>
          <w:szCs w:val="28"/>
        </w:rPr>
        <w:t>平方米</w:t>
      </w:r>
      <w:r>
        <w:rPr>
          <w:rFonts w:hint="eastAsia" w:eastAsia="仿宋_GB2312"/>
          <w:sz w:val="28"/>
          <w:szCs w:val="28"/>
        </w:rPr>
        <w:t>，一般</w:t>
      </w:r>
      <w:r>
        <w:rPr>
          <w:rFonts w:eastAsia="仿宋_GB2312"/>
          <w:sz w:val="28"/>
          <w:szCs w:val="28"/>
        </w:rPr>
        <w:t>装修，月租金</w:t>
      </w:r>
      <w:r>
        <w:rPr>
          <w:rFonts w:hint="eastAsia" w:eastAsia="仿宋_GB2312"/>
          <w:sz w:val="28"/>
          <w:szCs w:val="28"/>
          <w:lang w:val="en-US" w:eastAsia="zh-CN"/>
        </w:rPr>
        <w:t>18</w:t>
      </w:r>
      <w:r>
        <w:rPr>
          <w:rFonts w:hint="eastAsia" w:eastAsia="仿宋_GB2312"/>
          <w:sz w:val="28"/>
          <w:szCs w:val="28"/>
        </w:rPr>
        <w:t>00</w:t>
      </w:r>
      <w:r>
        <w:rPr>
          <w:rFonts w:eastAsia="仿宋_GB2312"/>
          <w:sz w:val="28"/>
          <w:szCs w:val="28"/>
        </w:rPr>
        <w:t>元，租金约为</w:t>
      </w:r>
      <w:r>
        <w:rPr>
          <w:rFonts w:hint="eastAsia" w:eastAsia="仿宋_GB2312"/>
          <w:sz w:val="28"/>
          <w:szCs w:val="28"/>
        </w:rPr>
        <w:t>0.</w:t>
      </w:r>
      <w:r>
        <w:rPr>
          <w:rFonts w:hint="eastAsia" w:eastAsia="仿宋_GB2312"/>
          <w:sz w:val="28"/>
          <w:szCs w:val="28"/>
          <w:lang w:val="en-US" w:eastAsia="zh-CN"/>
        </w:rPr>
        <w:t>67</w:t>
      </w:r>
      <w:r>
        <w:rPr>
          <w:rFonts w:eastAsia="仿宋_GB2312"/>
          <w:sz w:val="28"/>
          <w:szCs w:val="28"/>
        </w:rPr>
        <w:t>元/平方米.日；</w:t>
      </w:r>
      <w:r>
        <w:rPr>
          <w:rFonts w:hint="eastAsia" w:eastAsia="仿宋_GB2312"/>
          <w:sz w:val="28"/>
          <w:szCs w:val="28"/>
          <w:lang w:eastAsia="zh-CN"/>
        </w:rPr>
        <w:t>卓越蔚蓝群岛</w:t>
      </w:r>
      <w:r>
        <w:rPr>
          <w:rFonts w:eastAsia="仿宋_GB2312"/>
          <w:sz w:val="28"/>
          <w:szCs w:val="28"/>
        </w:rPr>
        <w:t>住宅，</w:t>
      </w:r>
      <w:r>
        <w:rPr>
          <w:rFonts w:hint="eastAsia" w:eastAsia="仿宋_GB2312"/>
          <w:sz w:val="28"/>
          <w:szCs w:val="28"/>
        </w:rPr>
        <w:t>中楼层/1</w:t>
      </w:r>
      <w:r>
        <w:rPr>
          <w:rFonts w:hint="eastAsia" w:eastAsia="仿宋_GB2312"/>
          <w:sz w:val="28"/>
          <w:szCs w:val="28"/>
          <w:lang w:val="en-US" w:eastAsia="zh-CN"/>
        </w:rPr>
        <w:t>5</w:t>
      </w:r>
      <w:r>
        <w:rPr>
          <w:rFonts w:hint="eastAsia" w:eastAsia="仿宋_GB2312"/>
          <w:sz w:val="28"/>
          <w:szCs w:val="28"/>
        </w:rPr>
        <w:t>层</w:t>
      </w:r>
      <w:r>
        <w:rPr>
          <w:rFonts w:eastAsia="仿宋_GB2312"/>
          <w:sz w:val="28"/>
          <w:szCs w:val="28"/>
        </w:rPr>
        <w:t>，建筑面积</w:t>
      </w:r>
      <w:r>
        <w:rPr>
          <w:rFonts w:hint="eastAsia" w:eastAsia="仿宋_GB2312"/>
          <w:sz w:val="28"/>
          <w:szCs w:val="28"/>
          <w:lang w:val="en-US" w:eastAsia="zh-CN"/>
        </w:rPr>
        <w:t>89</w:t>
      </w:r>
      <w:r>
        <w:rPr>
          <w:rFonts w:eastAsia="仿宋_GB2312"/>
          <w:sz w:val="28"/>
          <w:szCs w:val="28"/>
        </w:rPr>
        <w:t>平方米，</w:t>
      </w:r>
      <w:r>
        <w:rPr>
          <w:rFonts w:hint="eastAsia" w:eastAsia="仿宋_GB2312"/>
          <w:sz w:val="28"/>
          <w:szCs w:val="28"/>
          <w:lang w:val="en-US" w:eastAsia="zh-CN"/>
        </w:rPr>
        <w:t>高档</w:t>
      </w:r>
      <w:r>
        <w:rPr>
          <w:rFonts w:eastAsia="仿宋_GB2312"/>
          <w:sz w:val="28"/>
          <w:szCs w:val="28"/>
        </w:rPr>
        <w:t>装修，</w:t>
      </w:r>
      <w:r>
        <w:rPr>
          <w:rFonts w:hint="eastAsia" w:eastAsia="仿宋_GB2312"/>
          <w:sz w:val="28"/>
          <w:szCs w:val="28"/>
          <w:lang w:val="en-US" w:eastAsia="zh-CN"/>
        </w:rPr>
        <w:t>月</w:t>
      </w:r>
      <w:r>
        <w:rPr>
          <w:rFonts w:eastAsia="仿宋_GB2312"/>
          <w:sz w:val="28"/>
          <w:szCs w:val="28"/>
        </w:rPr>
        <w:t>租金</w:t>
      </w:r>
      <w:r>
        <w:rPr>
          <w:rFonts w:hint="eastAsia" w:eastAsia="仿宋_GB2312"/>
          <w:sz w:val="28"/>
          <w:szCs w:val="28"/>
        </w:rPr>
        <w:t>2</w:t>
      </w:r>
      <w:r>
        <w:rPr>
          <w:rFonts w:hint="eastAsia" w:eastAsia="仿宋_GB2312"/>
          <w:sz w:val="28"/>
          <w:szCs w:val="28"/>
          <w:lang w:val="en-US" w:eastAsia="zh-CN"/>
        </w:rPr>
        <w:t>1</w:t>
      </w:r>
      <w:r>
        <w:rPr>
          <w:rFonts w:hint="eastAsia" w:eastAsia="仿宋_GB2312"/>
          <w:sz w:val="28"/>
          <w:szCs w:val="28"/>
        </w:rPr>
        <w:t>00</w:t>
      </w:r>
      <w:r>
        <w:rPr>
          <w:rFonts w:eastAsia="仿宋_GB2312"/>
          <w:sz w:val="28"/>
          <w:szCs w:val="28"/>
        </w:rPr>
        <w:t>元，租金约为</w:t>
      </w:r>
      <w:r>
        <w:rPr>
          <w:rFonts w:hint="eastAsia" w:eastAsia="仿宋_GB2312"/>
          <w:sz w:val="28"/>
          <w:szCs w:val="28"/>
        </w:rPr>
        <w:t>0.</w:t>
      </w:r>
      <w:r>
        <w:rPr>
          <w:rFonts w:hint="eastAsia" w:eastAsia="仿宋_GB2312"/>
          <w:sz w:val="28"/>
          <w:szCs w:val="28"/>
          <w:lang w:val="en-US" w:eastAsia="zh-CN"/>
        </w:rPr>
        <w:t>79</w:t>
      </w:r>
      <w:r>
        <w:rPr>
          <w:rFonts w:eastAsia="仿宋_GB2312"/>
          <w:sz w:val="28"/>
          <w:szCs w:val="28"/>
        </w:rPr>
        <w:t>元/平方米.日</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经过调查分析比较，该区域同类物业毛租金约为</w:t>
      </w:r>
      <w:r>
        <w:rPr>
          <w:rFonts w:hint="eastAsia" w:eastAsia="仿宋_GB2312"/>
          <w:sz w:val="28"/>
          <w:szCs w:val="28"/>
          <w:lang w:val="en-US" w:eastAsia="zh-CN"/>
        </w:rPr>
        <w:t>0.8</w:t>
      </w:r>
      <w:r>
        <w:rPr>
          <w:rFonts w:eastAsia="仿宋_GB2312"/>
          <w:sz w:val="28"/>
          <w:szCs w:val="28"/>
        </w:rPr>
        <w:t>元/平方米.日。</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③根据区域平均租金及平均售价情况，根据资本化率求取公式</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房地产报酬率=年房地产纯收益/房地产价格</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w:t>
      </w:r>
      <w:r>
        <w:rPr>
          <w:rFonts w:hint="eastAsia" w:eastAsia="仿宋_GB2312"/>
          <w:sz w:val="28"/>
          <w:szCs w:val="28"/>
          <w:lang w:val="en-US" w:eastAsia="zh-CN"/>
        </w:rPr>
        <w:t>0.8</w:t>
      </w:r>
      <w:r>
        <w:rPr>
          <w:rFonts w:eastAsia="仿宋_GB2312"/>
          <w:sz w:val="28"/>
          <w:szCs w:val="28"/>
        </w:rPr>
        <w:t>元/平方米.日×365日÷</w:t>
      </w:r>
      <w:r>
        <w:rPr>
          <w:rFonts w:hint="eastAsia" w:eastAsia="仿宋_GB2312"/>
          <w:sz w:val="28"/>
          <w:szCs w:val="28"/>
          <w:lang w:val="en-US" w:eastAsia="zh-CN"/>
        </w:rPr>
        <w:t>19</w:t>
      </w:r>
      <w:r>
        <w:rPr>
          <w:rFonts w:hint="eastAsia" w:eastAsia="仿宋_GB2312"/>
          <w:sz w:val="28"/>
          <w:szCs w:val="28"/>
        </w:rPr>
        <w:t>000</w:t>
      </w:r>
      <w:r>
        <w:rPr>
          <w:rFonts w:eastAsia="仿宋_GB2312"/>
          <w:sz w:val="28"/>
          <w:szCs w:val="28"/>
        </w:rPr>
        <w:t>元/平方米=</w:t>
      </w:r>
      <w:r>
        <w:rPr>
          <w:rFonts w:hint="eastAsia" w:eastAsia="仿宋_GB2312"/>
          <w:sz w:val="28"/>
          <w:szCs w:val="28"/>
        </w:rPr>
        <w:t>1.</w:t>
      </w:r>
      <w:r>
        <w:rPr>
          <w:rFonts w:hint="eastAsia" w:eastAsia="仿宋_GB2312"/>
          <w:sz w:val="28"/>
          <w:szCs w:val="28"/>
          <w:lang w:val="en-US" w:eastAsia="zh-CN"/>
        </w:rPr>
        <w:t>5</w:t>
      </w:r>
      <w:r>
        <w:rPr>
          <w:rFonts w:hint="eastAsia" w:eastAsia="仿宋_GB2312"/>
          <w:sz w:val="28"/>
          <w:szCs w:val="28"/>
        </w:rPr>
        <w:t>4</w:t>
      </w:r>
      <w:r>
        <w:rPr>
          <w:rFonts w:eastAsia="仿宋_GB2312"/>
          <w:sz w:val="28"/>
          <w:szCs w:val="28"/>
        </w:rPr>
        <w:t>%</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本次评估房地产报酬率</w:t>
      </w:r>
      <w:r>
        <w:rPr>
          <w:rFonts w:hint="eastAsia" w:eastAsia="仿宋_GB2312"/>
          <w:sz w:val="28"/>
          <w:szCs w:val="28"/>
        </w:rPr>
        <w:t>取1.</w:t>
      </w:r>
      <w:r>
        <w:rPr>
          <w:rFonts w:hint="eastAsia" w:eastAsia="仿宋_GB2312"/>
          <w:sz w:val="28"/>
          <w:szCs w:val="28"/>
          <w:lang w:val="en-US" w:eastAsia="zh-CN"/>
        </w:rPr>
        <w:t>5</w:t>
      </w:r>
      <w:r>
        <w:rPr>
          <w:rFonts w:eastAsia="仿宋_GB2312"/>
          <w:sz w:val="28"/>
          <w:szCs w:val="28"/>
        </w:rPr>
        <w:t>%。</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（5）年净收益增长率</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根据《青岛市统计年鉴》，青岛市2008-2017年居住价格指数如下表所示：</w:t>
      </w:r>
    </w:p>
    <w:tbl>
      <w:tblPr>
        <w:tblStyle w:val="29"/>
        <w:tblW w:w="9546" w:type="dxa"/>
        <w:jc w:val="center"/>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856"/>
        <w:gridCol w:w="857"/>
        <w:gridCol w:w="857"/>
        <w:gridCol w:w="856"/>
        <w:gridCol w:w="858"/>
        <w:gridCol w:w="858"/>
        <w:gridCol w:w="858"/>
        <w:gridCol w:w="857"/>
        <w:gridCol w:w="85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973" w:type="dxa"/>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年份</w:t>
            </w:r>
          </w:p>
        </w:tc>
        <w:tc>
          <w:tcPr>
            <w:tcW w:w="856" w:type="dxa"/>
            <w:vAlign w:val="center"/>
          </w:tcPr>
          <w:p>
            <w:pPr>
              <w:jc w:val="center"/>
              <w:rPr>
                <w:rFonts w:eastAsia="仿宋_GB2312"/>
                <w:color w:val="000000"/>
                <w:sz w:val="24"/>
                <w:szCs w:val="24"/>
              </w:rPr>
            </w:pPr>
            <w:r>
              <w:rPr>
                <w:rFonts w:eastAsia="仿宋_GB2312"/>
                <w:color w:val="000000"/>
                <w:sz w:val="24"/>
                <w:szCs w:val="24"/>
              </w:rPr>
              <w:t>2008</w:t>
            </w:r>
          </w:p>
        </w:tc>
        <w:tc>
          <w:tcPr>
            <w:tcW w:w="857" w:type="dxa"/>
            <w:vAlign w:val="center"/>
          </w:tcPr>
          <w:p>
            <w:pPr>
              <w:jc w:val="center"/>
              <w:rPr>
                <w:rFonts w:eastAsia="仿宋_GB2312"/>
                <w:color w:val="000000"/>
                <w:sz w:val="24"/>
                <w:szCs w:val="24"/>
              </w:rPr>
            </w:pPr>
            <w:r>
              <w:rPr>
                <w:rFonts w:eastAsia="仿宋_GB2312"/>
                <w:color w:val="000000"/>
                <w:sz w:val="24"/>
                <w:szCs w:val="24"/>
              </w:rPr>
              <w:t>2009</w:t>
            </w:r>
          </w:p>
        </w:tc>
        <w:tc>
          <w:tcPr>
            <w:tcW w:w="857" w:type="dxa"/>
            <w:vAlign w:val="center"/>
          </w:tcPr>
          <w:p>
            <w:pPr>
              <w:jc w:val="center"/>
              <w:rPr>
                <w:rFonts w:eastAsia="仿宋_GB2312"/>
                <w:color w:val="000000"/>
                <w:sz w:val="24"/>
                <w:szCs w:val="24"/>
              </w:rPr>
            </w:pPr>
            <w:r>
              <w:rPr>
                <w:rFonts w:eastAsia="仿宋_GB2312"/>
                <w:color w:val="000000"/>
                <w:sz w:val="24"/>
                <w:szCs w:val="24"/>
              </w:rPr>
              <w:t>2010</w:t>
            </w:r>
          </w:p>
        </w:tc>
        <w:tc>
          <w:tcPr>
            <w:tcW w:w="856" w:type="dxa"/>
            <w:vAlign w:val="center"/>
          </w:tcPr>
          <w:p>
            <w:pPr>
              <w:jc w:val="center"/>
              <w:rPr>
                <w:rFonts w:eastAsia="仿宋_GB2312"/>
                <w:color w:val="000000"/>
                <w:sz w:val="24"/>
                <w:szCs w:val="24"/>
              </w:rPr>
            </w:pPr>
            <w:r>
              <w:rPr>
                <w:rFonts w:eastAsia="仿宋_GB2312"/>
                <w:color w:val="000000"/>
                <w:sz w:val="24"/>
                <w:szCs w:val="24"/>
              </w:rPr>
              <w:t>2011</w:t>
            </w:r>
          </w:p>
        </w:tc>
        <w:tc>
          <w:tcPr>
            <w:tcW w:w="858" w:type="dxa"/>
            <w:vAlign w:val="center"/>
          </w:tcPr>
          <w:p>
            <w:pPr>
              <w:jc w:val="center"/>
              <w:rPr>
                <w:rFonts w:eastAsia="仿宋_GB2312"/>
                <w:color w:val="000000"/>
                <w:sz w:val="24"/>
                <w:szCs w:val="24"/>
              </w:rPr>
            </w:pPr>
            <w:r>
              <w:rPr>
                <w:rFonts w:eastAsia="仿宋_GB2312"/>
                <w:color w:val="000000"/>
                <w:sz w:val="24"/>
                <w:szCs w:val="24"/>
              </w:rPr>
              <w:t>2012</w:t>
            </w:r>
          </w:p>
        </w:tc>
        <w:tc>
          <w:tcPr>
            <w:tcW w:w="858" w:type="dxa"/>
            <w:vAlign w:val="center"/>
          </w:tcPr>
          <w:p>
            <w:pPr>
              <w:jc w:val="center"/>
              <w:rPr>
                <w:rFonts w:eastAsia="仿宋_GB2312"/>
                <w:color w:val="000000"/>
                <w:sz w:val="24"/>
                <w:szCs w:val="24"/>
              </w:rPr>
            </w:pPr>
            <w:r>
              <w:rPr>
                <w:rFonts w:eastAsia="仿宋_GB2312"/>
                <w:color w:val="000000"/>
                <w:sz w:val="24"/>
                <w:szCs w:val="24"/>
              </w:rPr>
              <w:t>2013</w:t>
            </w:r>
          </w:p>
        </w:tc>
        <w:tc>
          <w:tcPr>
            <w:tcW w:w="858" w:type="dxa"/>
            <w:vAlign w:val="center"/>
          </w:tcPr>
          <w:p>
            <w:pPr>
              <w:jc w:val="center"/>
              <w:rPr>
                <w:rFonts w:eastAsia="仿宋_GB2312"/>
                <w:color w:val="000000"/>
                <w:sz w:val="24"/>
                <w:szCs w:val="24"/>
              </w:rPr>
            </w:pPr>
            <w:r>
              <w:rPr>
                <w:rFonts w:eastAsia="仿宋_GB2312"/>
                <w:color w:val="000000"/>
                <w:sz w:val="24"/>
                <w:szCs w:val="24"/>
              </w:rPr>
              <w:t>2014</w:t>
            </w:r>
          </w:p>
        </w:tc>
        <w:tc>
          <w:tcPr>
            <w:tcW w:w="857" w:type="dxa"/>
            <w:vAlign w:val="center"/>
          </w:tcPr>
          <w:p>
            <w:pPr>
              <w:jc w:val="center"/>
              <w:rPr>
                <w:rFonts w:eastAsia="仿宋_GB2312"/>
                <w:color w:val="000000"/>
                <w:sz w:val="24"/>
                <w:szCs w:val="24"/>
              </w:rPr>
            </w:pPr>
            <w:r>
              <w:rPr>
                <w:rFonts w:eastAsia="仿宋_GB2312"/>
                <w:color w:val="000000"/>
                <w:sz w:val="24"/>
                <w:szCs w:val="24"/>
              </w:rPr>
              <w:t>2015</w:t>
            </w:r>
          </w:p>
        </w:tc>
        <w:tc>
          <w:tcPr>
            <w:tcW w:w="858" w:type="dxa"/>
            <w:vAlign w:val="center"/>
          </w:tcPr>
          <w:p>
            <w:pPr>
              <w:jc w:val="center"/>
              <w:rPr>
                <w:rFonts w:eastAsia="仿宋_GB2312"/>
                <w:color w:val="000000"/>
                <w:sz w:val="24"/>
                <w:szCs w:val="24"/>
              </w:rPr>
            </w:pPr>
            <w:r>
              <w:rPr>
                <w:rFonts w:eastAsia="仿宋_GB2312"/>
                <w:color w:val="000000"/>
                <w:sz w:val="24"/>
                <w:szCs w:val="24"/>
              </w:rPr>
              <w:t>2016</w:t>
            </w:r>
          </w:p>
        </w:tc>
        <w:tc>
          <w:tcPr>
            <w:tcW w:w="858" w:type="dxa"/>
            <w:vAlign w:val="center"/>
          </w:tcPr>
          <w:p>
            <w:pPr>
              <w:jc w:val="center"/>
              <w:rPr>
                <w:rFonts w:eastAsia="仿宋_GB2312"/>
                <w:color w:val="000000"/>
                <w:sz w:val="24"/>
                <w:szCs w:val="24"/>
              </w:rPr>
            </w:pPr>
            <w:r>
              <w:rPr>
                <w:rFonts w:eastAsia="仿宋_GB2312"/>
                <w:color w:val="000000"/>
                <w:sz w:val="24"/>
                <w:szCs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73" w:type="dxa"/>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增长率</w:t>
            </w:r>
          </w:p>
        </w:tc>
        <w:tc>
          <w:tcPr>
            <w:tcW w:w="856" w:type="dxa"/>
            <w:vAlign w:val="center"/>
          </w:tcPr>
          <w:p>
            <w:pPr>
              <w:jc w:val="center"/>
              <w:rPr>
                <w:rFonts w:eastAsia="仿宋_GB2312"/>
                <w:color w:val="000000"/>
                <w:sz w:val="24"/>
                <w:szCs w:val="24"/>
              </w:rPr>
            </w:pPr>
            <w:r>
              <w:rPr>
                <w:rFonts w:eastAsia="仿宋_GB2312"/>
                <w:color w:val="000000"/>
                <w:sz w:val="24"/>
                <w:szCs w:val="24"/>
              </w:rPr>
              <w:t>0.036</w:t>
            </w:r>
          </w:p>
        </w:tc>
        <w:tc>
          <w:tcPr>
            <w:tcW w:w="857" w:type="dxa"/>
            <w:vAlign w:val="center"/>
          </w:tcPr>
          <w:p>
            <w:pPr>
              <w:jc w:val="center"/>
              <w:rPr>
                <w:rFonts w:eastAsia="仿宋_GB2312"/>
                <w:color w:val="000000"/>
                <w:sz w:val="24"/>
                <w:szCs w:val="24"/>
              </w:rPr>
            </w:pPr>
            <w:r>
              <w:rPr>
                <w:rFonts w:eastAsia="仿宋_GB2312"/>
                <w:color w:val="000000"/>
                <w:sz w:val="24"/>
                <w:szCs w:val="24"/>
              </w:rPr>
              <w:t>0.053</w:t>
            </w:r>
          </w:p>
        </w:tc>
        <w:tc>
          <w:tcPr>
            <w:tcW w:w="857" w:type="dxa"/>
            <w:vAlign w:val="center"/>
          </w:tcPr>
          <w:p>
            <w:pPr>
              <w:jc w:val="center"/>
              <w:rPr>
                <w:rFonts w:eastAsia="仿宋_GB2312"/>
                <w:color w:val="000000"/>
                <w:sz w:val="24"/>
                <w:szCs w:val="24"/>
              </w:rPr>
            </w:pPr>
            <w:r>
              <w:rPr>
                <w:rFonts w:eastAsia="仿宋_GB2312"/>
                <w:color w:val="000000"/>
                <w:sz w:val="24"/>
                <w:szCs w:val="24"/>
              </w:rPr>
              <w:t>0.023</w:t>
            </w:r>
          </w:p>
        </w:tc>
        <w:tc>
          <w:tcPr>
            <w:tcW w:w="856" w:type="dxa"/>
            <w:vAlign w:val="center"/>
          </w:tcPr>
          <w:p>
            <w:pPr>
              <w:jc w:val="center"/>
              <w:rPr>
                <w:rFonts w:eastAsia="仿宋_GB2312"/>
                <w:color w:val="000000"/>
                <w:sz w:val="24"/>
                <w:szCs w:val="24"/>
              </w:rPr>
            </w:pPr>
            <w:r>
              <w:rPr>
                <w:rFonts w:eastAsia="仿宋_GB2312"/>
                <w:color w:val="000000"/>
                <w:sz w:val="24"/>
                <w:szCs w:val="24"/>
              </w:rPr>
              <w:t>0.035</w:t>
            </w:r>
          </w:p>
        </w:tc>
        <w:tc>
          <w:tcPr>
            <w:tcW w:w="858" w:type="dxa"/>
            <w:vAlign w:val="center"/>
          </w:tcPr>
          <w:p>
            <w:pPr>
              <w:jc w:val="center"/>
              <w:rPr>
                <w:rFonts w:eastAsia="仿宋_GB2312"/>
                <w:color w:val="000000"/>
                <w:sz w:val="24"/>
                <w:szCs w:val="24"/>
              </w:rPr>
            </w:pPr>
            <w:r>
              <w:rPr>
                <w:rFonts w:eastAsia="仿宋_GB2312"/>
                <w:color w:val="000000"/>
                <w:sz w:val="24"/>
                <w:szCs w:val="24"/>
              </w:rPr>
              <w:t>0.022</w:t>
            </w:r>
          </w:p>
        </w:tc>
        <w:tc>
          <w:tcPr>
            <w:tcW w:w="858" w:type="dxa"/>
            <w:vAlign w:val="center"/>
          </w:tcPr>
          <w:p>
            <w:pPr>
              <w:jc w:val="center"/>
              <w:rPr>
                <w:rFonts w:eastAsia="仿宋_GB2312"/>
                <w:color w:val="000000"/>
                <w:sz w:val="24"/>
                <w:szCs w:val="24"/>
              </w:rPr>
            </w:pPr>
            <w:r>
              <w:rPr>
                <w:rFonts w:eastAsia="仿宋_GB2312"/>
                <w:color w:val="000000"/>
                <w:sz w:val="24"/>
                <w:szCs w:val="24"/>
              </w:rPr>
              <w:t>0.008</w:t>
            </w:r>
          </w:p>
        </w:tc>
        <w:tc>
          <w:tcPr>
            <w:tcW w:w="858" w:type="dxa"/>
            <w:vAlign w:val="center"/>
          </w:tcPr>
          <w:p>
            <w:pPr>
              <w:jc w:val="center"/>
              <w:rPr>
                <w:rFonts w:eastAsia="仿宋_GB2312"/>
                <w:color w:val="000000"/>
                <w:sz w:val="24"/>
                <w:szCs w:val="24"/>
              </w:rPr>
            </w:pPr>
            <w:r>
              <w:rPr>
                <w:rFonts w:eastAsia="仿宋_GB2312"/>
                <w:color w:val="000000"/>
                <w:sz w:val="24"/>
                <w:szCs w:val="24"/>
              </w:rPr>
              <w:t>0.022</w:t>
            </w:r>
          </w:p>
        </w:tc>
        <w:tc>
          <w:tcPr>
            <w:tcW w:w="857" w:type="dxa"/>
            <w:vAlign w:val="center"/>
          </w:tcPr>
          <w:p>
            <w:pPr>
              <w:jc w:val="center"/>
              <w:rPr>
                <w:rFonts w:eastAsia="仿宋_GB2312"/>
                <w:color w:val="000000"/>
                <w:sz w:val="24"/>
                <w:szCs w:val="24"/>
              </w:rPr>
            </w:pPr>
            <w:r>
              <w:rPr>
                <w:rFonts w:eastAsia="仿宋_GB2312"/>
                <w:color w:val="000000"/>
                <w:sz w:val="24"/>
                <w:szCs w:val="24"/>
              </w:rPr>
              <w:t>0.03</w:t>
            </w:r>
          </w:p>
        </w:tc>
        <w:tc>
          <w:tcPr>
            <w:tcW w:w="858" w:type="dxa"/>
            <w:vAlign w:val="center"/>
          </w:tcPr>
          <w:p>
            <w:pPr>
              <w:jc w:val="center"/>
              <w:rPr>
                <w:rFonts w:eastAsia="仿宋_GB2312"/>
                <w:color w:val="000000"/>
                <w:sz w:val="24"/>
                <w:szCs w:val="24"/>
              </w:rPr>
            </w:pPr>
            <w:r>
              <w:rPr>
                <w:rFonts w:eastAsia="仿宋_GB2312"/>
                <w:color w:val="000000"/>
                <w:sz w:val="24"/>
                <w:szCs w:val="24"/>
              </w:rPr>
              <w:t>0.019</w:t>
            </w:r>
          </w:p>
        </w:tc>
        <w:tc>
          <w:tcPr>
            <w:tcW w:w="858" w:type="dxa"/>
            <w:vAlign w:val="center"/>
          </w:tcPr>
          <w:p>
            <w:pPr>
              <w:jc w:val="center"/>
              <w:rPr>
                <w:rFonts w:eastAsia="仿宋_GB2312"/>
                <w:color w:val="000000"/>
                <w:sz w:val="24"/>
                <w:szCs w:val="24"/>
              </w:rPr>
            </w:pPr>
            <w:r>
              <w:rPr>
                <w:rFonts w:eastAsia="仿宋_GB2312"/>
                <w:color w:val="000000"/>
                <w:sz w:val="24"/>
                <w:szCs w:val="24"/>
              </w:rPr>
              <w:t>0.021</w:t>
            </w:r>
          </w:p>
        </w:tc>
      </w:tr>
    </w:tbl>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从上表可以求出，近十年青岛市房地产价格平均增长率为2.69%。通过调查估价对象所在区域未来规划发展状况、产业聚焦度以及周边同类型物业的租赁情况，同类型用房的年平均租金水平一般以2%-3%的幅度递增。根据我国经济发展情况并参照青岛市居住价格指数变化状况，预计估价对象净收益会在上一年的基础上增长为2.7%，即年净收益增长率为</w:t>
      </w:r>
      <w:r>
        <w:rPr>
          <w:rFonts w:hint="eastAsia" w:eastAsia="仿宋_GB2312"/>
          <w:sz w:val="28"/>
          <w:szCs w:val="28"/>
        </w:rPr>
        <w:t>2.7</w:t>
      </w:r>
      <w:r>
        <w:rPr>
          <w:rFonts w:eastAsia="仿宋_GB2312"/>
          <w:sz w:val="28"/>
          <w:szCs w:val="28"/>
        </w:rPr>
        <w:t>%。</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（6）</w:t>
      </w:r>
      <w:r>
        <w:rPr>
          <w:rFonts w:hint="eastAsia" w:eastAsia="仿宋_GB2312"/>
          <w:sz w:val="28"/>
          <w:szCs w:val="28"/>
        </w:rPr>
        <w:t>剩余收益年期确定</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根据估价委托人提供的资料，估价对象土地使用期限</w:t>
      </w:r>
      <w:r>
        <w:rPr>
          <w:rFonts w:hint="eastAsia" w:eastAsia="仿宋_GB2312"/>
          <w:sz w:val="28"/>
          <w:szCs w:val="28"/>
          <w:lang w:val="en-US" w:eastAsia="zh-CN"/>
        </w:rPr>
        <w:t>到</w:t>
      </w:r>
      <w:r>
        <w:rPr>
          <w:rFonts w:hint="eastAsia" w:eastAsia="仿宋_GB2312"/>
          <w:sz w:val="28"/>
          <w:szCs w:val="28"/>
        </w:rPr>
        <w:t>20</w:t>
      </w:r>
      <w:r>
        <w:rPr>
          <w:rFonts w:hint="eastAsia" w:eastAsia="仿宋_GB2312"/>
          <w:sz w:val="28"/>
          <w:szCs w:val="28"/>
          <w:lang w:val="en-US" w:eastAsia="zh-CN"/>
        </w:rPr>
        <w:t>76</w:t>
      </w:r>
      <w:r>
        <w:rPr>
          <w:rFonts w:hint="eastAsia" w:eastAsia="仿宋_GB2312"/>
          <w:sz w:val="28"/>
          <w:szCs w:val="28"/>
        </w:rPr>
        <w:t>年</w:t>
      </w:r>
      <w:r>
        <w:rPr>
          <w:rFonts w:hint="eastAsia" w:eastAsia="仿宋_GB2312"/>
          <w:sz w:val="28"/>
          <w:szCs w:val="28"/>
          <w:lang w:val="en-US" w:eastAsia="zh-CN"/>
        </w:rPr>
        <w:t>11</w:t>
      </w:r>
      <w:r>
        <w:rPr>
          <w:rFonts w:hint="eastAsia" w:eastAsia="仿宋_GB2312"/>
          <w:sz w:val="28"/>
          <w:szCs w:val="28"/>
        </w:rPr>
        <w:t>月2日</w:t>
      </w:r>
      <w:r>
        <w:rPr>
          <w:rFonts w:hint="eastAsia" w:eastAsia="仿宋_GB2312"/>
          <w:sz w:val="28"/>
          <w:szCs w:val="28"/>
          <w:lang w:val="en-US" w:eastAsia="zh-CN"/>
        </w:rPr>
        <w:t>止</w:t>
      </w:r>
      <w:r>
        <w:rPr>
          <w:rFonts w:eastAsia="仿宋_GB2312"/>
          <w:sz w:val="28"/>
          <w:szCs w:val="28"/>
        </w:rPr>
        <w:t>，则截至价值时点，</w:t>
      </w:r>
      <w:r>
        <w:rPr>
          <w:rFonts w:hint="eastAsia" w:eastAsia="仿宋_GB2312"/>
          <w:sz w:val="28"/>
          <w:szCs w:val="28"/>
        </w:rPr>
        <w:t>估价对象土地剩余使用</w:t>
      </w:r>
      <w:r>
        <w:rPr>
          <w:rFonts w:eastAsia="仿宋_GB2312"/>
          <w:sz w:val="28"/>
          <w:szCs w:val="28"/>
        </w:rPr>
        <w:t>年限为</w:t>
      </w:r>
      <w:r>
        <w:rPr>
          <w:rFonts w:hint="eastAsia" w:eastAsia="仿宋_GB2312"/>
          <w:sz w:val="28"/>
          <w:szCs w:val="28"/>
          <w:lang w:val="en-US" w:eastAsia="zh-CN"/>
        </w:rPr>
        <w:t>58.30</w:t>
      </w:r>
      <w:r>
        <w:rPr>
          <w:rFonts w:eastAsia="仿宋_GB2312"/>
          <w:sz w:val="28"/>
          <w:szCs w:val="28"/>
        </w:rPr>
        <w:t>年</w:t>
      </w:r>
      <w:r>
        <w:rPr>
          <w:rFonts w:hint="eastAsia" w:eastAsia="仿宋_GB2312"/>
          <w:sz w:val="28"/>
          <w:szCs w:val="28"/>
        </w:rPr>
        <w:t>，根据《物权法》第149条明确规定：“住宅建设用地使用权期间届满的，自动续期”；钢筋混凝土结构（包括框架结构、剪力墙结构、简体结构、框架剪力墙结构等），非生产用房耐用年限为60年，估价对象建成年代为20</w:t>
      </w:r>
      <w:r>
        <w:rPr>
          <w:rFonts w:hint="eastAsia" w:eastAsia="仿宋_GB2312"/>
          <w:sz w:val="28"/>
          <w:szCs w:val="28"/>
          <w:lang w:val="en-US" w:eastAsia="zh-CN"/>
        </w:rPr>
        <w:t>15</w:t>
      </w:r>
      <w:r>
        <w:rPr>
          <w:rFonts w:hint="eastAsia" w:eastAsia="仿宋_GB2312"/>
          <w:sz w:val="28"/>
          <w:szCs w:val="28"/>
        </w:rPr>
        <w:t>年，截至价值时点2018年</w:t>
      </w:r>
      <w:r>
        <w:rPr>
          <w:rFonts w:hint="eastAsia" w:eastAsia="仿宋_GB2312"/>
          <w:sz w:val="28"/>
          <w:szCs w:val="28"/>
          <w:lang w:val="en-US" w:eastAsia="zh-CN"/>
        </w:rPr>
        <w:t>6</w:t>
      </w:r>
      <w:r>
        <w:rPr>
          <w:rFonts w:hint="eastAsia" w:eastAsia="仿宋_GB2312"/>
          <w:sz w:val="28"/>
          <w:szCs w:val="28"/>
        </w:rPr>
        <w:t>月</w:t>
      </w:r>
      <w:r>
        <w:rPr>
          <w:rFonts w:hint="eastAsia" w:eastAsia="仿宋_GB2312"/>
          <w:sz w:val="28"/>
          <w:szCs w:val="28"/>
          <w:lang w:val="en-US" w:eastAsia="zh-CN"/>
        </w:rPr>
        <w:t>29</w:t>
      </w:r>
      <w:r>
        <w:rPr>
          <w:rFonts w:hint="eastAsia" w:eastAsia="仿宋_GB2312"/>
          <w:sz w:val="28"/>
          <w:szCs w:val="28"/>
        </w:rPr>
        <w:t>日，已使用</w:t>
      </w:r>
      <w:r>
        <w:rPr>
          <w:rFonts w:hint="eastAsia" w:eastAsia="仿宋_GB2312"/>
          <w:sz w:val="28"/>
          <w:szCs w:val="28"/>
          <w:lang w:val="en-US" w:eastAsia="zh-CN"/>
        </w:rPr>
        <w:t>3.3</w:t>
      </w:r>
      <w:r>
        <w:rPr>
          <w:rFonts w:hint="eastAsia" w:eastAsia="仿宋_GB2312"/>
          <w:sz w:val="28"/>
          <w:szCs w:val="28"/>
        </w:rPr>
        <w:t>年，剩余使用年限为</w:t>
      </w:r>
      <w:r>
        <w:rPr>
          <w:rFonts w:hint="eastAsia" w:eastAsia="仿宋_GB2312"/>
          <w:sz w:val="28"/>
          <w:szCs w:val="28"/>
          <w:lang w:val="en-US" w:eastAsia="zh-CN"/>
        </w:rPr>
        <w:t>56.7</w:t>
      </w:r>
      <w:r>
        <w:rPr>
          <w:rFonts w:hint="eastAsia" w:eastAsia="仿宋_GB2312"/>
          <w:sz w:val="28"/>
          <w:szCs w:val="28"/>
        </w:rPr>
        <w:t>年；综上本次评估估价对象剩余收益年期取</w:t>
      </w:r>
      <w:r>
        <w:rPr>
          <w:rFonts w:hint="eastAsia" w:eastAsia="仿宋_GB2312"/>
          <w:sz w:val="28"/>
          <w:szCs w:val="28"/>
          <w:lang w:val="en-US" w:eastAsia="zh-CN"/>
        </w:rPr>
        <w:t>56.7</w:t>
      </w:r>
      <w:r>
        <w:rPr>
          <w:rFonts w:hint="eastAsia" w:eastAsia="仿宋_GB2312"/>
          <w:sz w:val="28"/>
          <w:szCs w:val="28"/>
        </w:rPr>
        <w:t>年</w:t>
      </w:r>
      <w:r>
        <w:rPr>
          <w:rFonts w:eastAsia="仿宋_GB2312"/>
          <w:sz w:val="28"/>
          <w:szCs w:val="28"/>
        </w:rPr>
        <w:t>。</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w:t>
      </w:r>
      <w:r>
        <w:rPr>
          <w:rFonts w:hint="eastAsia" w:eastAsia="仿宋_GB2312"/>
          <w:sz w:val="28"/>
          <w:szCs w:val="28"/>
        </w:rPr>
        <w:t>7</w:t>
      </w:r>
      <w:r>
        <w:rPr>
          <w:rFonts w:eastAsia="仿宋_GB2312"/>
          <w:sz w:val="28"/>
          <w:szCs w:val="28"/>
        </w:rPr>
        <w:t>）计算房地产收益价格</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房地产收益价格=第一年纯收益÷（房地产报酬率-年净收益增长率）×{1-[（1+年净收益增长率）÷（1+房地产报酬率）]</w:t>
      </w:r>
      <w:r>
        <w:rPr>
          <w:rFonts w:hint="eastAsia" w:eastAsia="仿宋_GB2312"/>
          <w:sz w:val="28"/>
          <w:szCs w:val="28"/>
        </w:rPr>
        <w:t>^</w:t>
      </w:r>
      <w:r>
        <w:rPr>
          <w:rFonts w:eastAsia="仿宋_GB2312"/>
          <w:sz w:val="28"/>
          <w:szCs w:val="28"/>
        </w:rPr>
        <w:t>剩余</w:t>
      </w:r>
      <w:r>
        <w:rPr>
          <w:rFonts w:hint="eastAsia" w:eastAsia="仿宋_GB2312"/>
          <w:sz w:val="28"/>
          <w:szCs w:val="28"/>
        </w:rPr>
        <w:t>收益</w:t>
      </w:r>
      <w:r>
        <w:rPr>
          <w:rFonts w:eastAsia="仿宋_GB2312"/>
          <w:sz w:val="28"/>
          <w:szCs w:val="28"/>
        </w:rPr>
        <w:t>年期}</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w:t>
      </w:r>
      <w:r>
        <w:rPr>
          <w:rFonts w:hint="eastAsia" w:eastAsia="仿宋_GB2312"/>
          <w:sz w:val="28"/>
          <w:szCs w:val="28"/>
          <w:lang w:val="en-US" w:eastAsia="zh-CN"/>
        </w:rPr>
        <w:t>15408.6</w:t>
      </w:r>
      <w:r>
        <w:rPr>
          <w:rFonts w:eastAsia="仿宋_GB2312"/>
          <w:sz w:val="28"/>
          <w:szCs w:val="28"/>
        </w:rPr>
        <w:t>÷(</w:t>
      </w:r>
      <w:r>
        <w:rPr>
          <w:rFonts w:hint="eastAsia" w:eastAsia="仿宋_GB2312"/>
          <w:sz w:val="28"/>
          <w:szCs w:val="28"/>
        </w:rPr>
        <w:t>1.</w:t>
      </w:r>
      <w:r>
        <w:rPr>
          <w:rFonts w:hint="eastAsia" w:eastAsia="仿宋_GB2312"/>
          <w:sz w:val="28"/>
          <w:szCs w:val="28"/>
          <w:lang w:val="en-US" w:eastAsia="zh-CN"/>
        </w:rPr>
        <w:t>5</w:t>
      </w:r>
      <w:r>
        <w:rPr>
          <w:rFonts w:eastAsia="仿宋_GB2312"/>
          <w:sz w:val="28"/>
          <w:szCs w:val="28"/>
        </w:rPr>
        <w:t>%-2.7%)×{1-[（1+2.7%）÷（1+</w:t>
      </w:r>
      <w:r>
        <w:rPr>
          <w:rFonts w:hint="eastAsia" w:eastAsia="仿宋_GB2312"/>
          <w:sz w:val="28"/>
          <w:szCs w:val="28"/>
        </w:rPr>
        <w:t>1.</w:t>
      </w:r>
      <w:r>
        <w:rPr>
          <w:rFonts w:hint="eastAsia" w:eastAsia="仿宋_GB2312"/>
          <w:sz w:val="28"/>
          <w:szCs w:val="28"/>
          <w:lang w:val="en-US" w:eastAsia="zh-CN"/>
        </w:rPr>
        <w:t>5</w:t>
      </w:r>
      <w:r>
        <w:rPr>
          <w:rFonts w:eastAsia="仿宋_GB2312"/>
          <w:sz w:val="28"/>
          <w:szCs w:val="28"/>
        </w:rPr>
        <w:t>%）]</w:t>
      </w:r>
      <w:r>
        <w:t xml:space="preserve"> </w:t>
      </w:r>
      <w:r>
        <w:rPr>
          <w:rFonts w:hint="eastAsia" w:eastAsia="仿宋_GB2312"/>
          <w:kern w:val="2"/>
          <w:sz w:val="28"/>
          <w:szCs w:val="24"/>
          <w:vertAlign w:val="superscript"/>
          <w:lang w:val="en-US" w:eastAsia="zh-CN"/>
        </w:rPr>
        <w:t>56</w:t>
      </w:r>
      <w:r>
        <w:rPr>
          <w:rFonts w:hint="eastAsia" w:eastAsia="仿宋_GB2312"/>
          <w:kern w:val="2"/>
          <w:sz w:val="28"/>
          <w:szCs w:val="24"/>
          <w:vertAlign w:val="superscript"/>
        </w:rPr>
        <w:t>.</w:t>
      </w:r>
      <w:r>
        <w:rPr>
          <w:rFonts w:hint="eastAsia" w:eastAsia="仿宋_GB2312"/>
          <w:kern w:val="2"/>
          <w:sz w:val="28"/>
          <w:szCs w:val="24"/>
          <w:vertAlign w:val="superscript"/>
          <w:lang w:val="en-US" w:eastAsia="zh-CN"/>
        </w:rPr>
        <w:t>7</w:t>
      </w:r>
      <w:r>
        <w:rPr>
          <w:rFonts w:eastAsia="仿宋_GB2312"/>
          <w:sz w:val="28"/>
          <w:szCs w:val="28"/>
        </w:rPr>
        <w:t>}</w:t>
      </w:r>
    </w:p>
    <w:p>
      <w:pPr>
        <w:widowControl w:val="0"/>
        <w:autoSpaceDE w:val="0"/>
        <w:autoSpaceDN w:val="0"/>
        <w:spacing w:line="360" w:lineRule="auto"/>
        <w:ind w:firstLine="560" w:firstLineChars="200"/>
        <w:textAlignment w:val="bottom"/>
        <w:rPr>
          <w:rFonts w:eastAsia="仿宋_GB2312"/>
          <w:sz w:val="28"/>
          <w:szCs w:val="28"/>
        </w:rPr>
      </w:pPr>
      <w:r>
        <w:rPr>
          <w:rFonts w:hint="eastAsia" w:eastAsia="仿宋_GB2312"/>
          <w:sz w:val="28"/>
          <w:szCs w:val="28"/>
        </w:rPr>
        <w:t>=</w:t>
      </w:r>
      <w:r>
        <w:rPr>
          <w:rFonts w:hint="eastAsia" w:eastAsia="仿宋_GB2312"/>
          <w:sz w:val="28"/>
          <w:szCs w:val="28"/>
          <w:lang w:val="en-US" w:eastAsia="zh-CN"/>
        </w:rPr>
        <w:t>1216304</w:t>
      </w:r>
      <w:r>
        <w:rPr>
          <w:rFonts w:hint="eastAsia" w:eastAsia="仿宋_GB2312"/>
          <w:sz w:val="28"/>
          <w:szCs w:val="28"/>
        </w:rPr>
        <w:t>（元）</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房地产单价=</w:t>
      </w:r>
      <w:r>
        <w:rPr>
          <w:rFonts w:hint="eastAsia" w:eastAsia="仿宋_GB2312"/>
          <w:sz w:val="28"/>
          <w:szCs w:val="28"/>
          <w:lang w:val="en-US" w:eastAsia="zh-CN"/>
        </w:rPr>
        <w:t>1216304</w:t>
      </w:r>
      <w:r>
        <w:rPr>
          <w:rFonts w:eastAsia="仿宋_GB2312"/>
          <w:sz w:val="28"/>
          <w:szCs w:val="28"/>
        </w:rPr>
        <w:t>÷</w:t>
      </w:r>
      <w:r>
        <w:rPr>
          <w:rFonts w:hint="eastAsia" w:eastAsia="仿宋_GB2312"/>
          <w:sz w:val="28"/>
          <w:szCs w:val="28"/>
          <w:lang w:val="en-US" w:eastAsia="zh-CN"/>
        </w:rPr>
        <w:t>84.88</w:t>
      </w:r>
      <w:r>
        <w:rPr>
          <w:rFonts w:eastAsia="仿宋_GB2312"/>
          <w:sz w:val="28"/>
          <w:szCs w:val="28"/>
        </w:rPr>
        <w:t>=</w:t>
      </w:r>
      <w:r>
        <w:rPr>
          <w:rFonts w:hint="eastAsia" w:eastAsia="仿宋_GB2312"/>
          <w:sz w:val="28"/>
          <w:szCs w:val="28"/>
          <w:lang w:val="en-US" w:eastAsia="zh-CN"/>
        </w:rPr>
        <w:t>14404</w:t>
      </w:r>
      <w:r>
        <w:rPr>
          <w:rFonts w:eastAsia="仿宋_GB2312"/>
          <w:sz w:val="28"/>
          <w:szCs w:val="28"/>
        </w:rPr>
        <w:t>（元/平方米）</w:t>
      </w:r>
    </w:p>
    <w:p>
      <w:pPr>
        <w:widowControl w:val="0"/>
        <w:autoSpaceDE w:val="0"/>
        <w:autoSpaceDN w:val="0"/>
        <w:spacing w:line="360" w:lineRule="auto"/>
        <w:ind w:firstLine="560" w:firstLineChars="200"/>
        <w:textAlignment w:val="bottom"/>
        <w:rPr>
          <w:rFonts w:eastAsia="仿宋_GB2312"/>
          <w:sz w:val="28"/>
          <w:szCs w:val="28"/>
        </w:rPr>
      </w:pPr>
      <w:r>
        <w:rPr>
          <w:rFonts w:eastAsia="仿宋_GB2312"/>
          <w:sz w:val="28"/>
          <w:szCs w:val="28"/>
        </w:rPr>
        <w:t>（Ⅲ）房地产估价结果</w:t>
      </w:r>
    </w:p>
    <w:p>
      <w:pPr>
        <w:widowControl w:val="0"/>
        <w:autoSpaceDE w:val="0"/>
        <w:autoSpaceDN w:val="0"/>
        <w:spacing w:line="360" w:lineRule="auto"/>
        <w:ind w:firstLine="560" w:firstLineChars="200"/>
        <w:textAlignment w:val="bottom"/>
        <w:rPr>
          <w:rFonts w:eastAsia="仿宋_GB2312"/>
          <w:sz w:val="28"/>
          <w:szCs w:val="28"/>
          <w:highlight w:val="none"/>
        </w:rPr>
      </w:pPr>
      <w:r>
        <w:rPr>
          <w:rFonts w:eastAsia="仿宋_GB2312"/>
          <w:sz w:val="28"/>
          <w:szCs w:val="28"/>
        </w:rPr>
        <w:t>本次评</w:t>
      </w:r>
      <w:r>
        <w:rPr>
          <w:rFonts w:eastAsia="仿宋_GB2312"/>
          <w:sz w:val="28"/>
          <w:szCs w:val="28"/>
          <w:highlight w:val="none"/>
        </w:rPr>
        <w:t>估</w:t>
      </w:r>
      <w:r>
        <w:rPr>
          <w:rFonts w:hint="eastAsia" w:eastAsia="仿宋_GB2312"/>
          <w:sz w:val="28"/>
          <w:szCs w:val="28"/>
          <w:highlight w:val="none"/>
        </w:rPr>
        <w:t>分别</w:t>
      </w:r>
      <w:r>
        <w:rPr>
          <w:rFonts w:eastAsia="仿宋_GB2312"/>
          <w:sz w:val="28"/>
          <w:szCs w:val="28"/>
          <w:highlight w:val="none"/>
        </w:rPr>
        <w:t>采用比较法和收益法</w:t>
      </w:r>
      <w:r>
        <w:rPr>
          <w:rFonts w:hint="eastAsia" w:eastAsia="仿宋_GB2312"/>
          <w:sz w:val="28"/>
          <w:szCs w:val="28"/>
          <w:highlight w:val="none"/>
        </w:rPr>
        <w:t>对估价对象进行了评估，比较法估价结果房地产单价为</w:t>
      </w:r>
      <w:r>
        <w:rPr>
          <w:rFonts w:hint="eastAsia" w:eastAsia="仿宋_GB2312"/>
          <w:sz w:val="28"/>
          <w:szCs w:val="28"/>
          <w:highlight w:val="none"/>
          <w:lang w:val="en-US" w:eastAsia="zh-CN"/>
        </w:rPr>
        <w:t>17691</w:t>
      </w:r>
      <w:r>
        <w:rPr>
          <w:rFonts w:hint="eastAsia" w:eastAsia="仿宋_GB2312"/>
          <w:sz w:val="28"/>
          <w:szCs w:val="28"/>
          <w:highlight w:val="none"/>
        </w:rPr>
        <w:t>元/平方米，收益法估价结果房地产单价为</w:t>
      </w:r>
      <w:r>
        <w:rPr>
          <w:rFonts w:hint="eastAsia" w:eastAsia="仿宋_GB2312"/>
          <w:sz w:val="28"/>
          <w:szCs w:val="28"/>
          <w:highlight w:val="none"/>
          <w:lang w:val="en-US" w:eastAsia="zh-CN"/>
        </w:rPr>
        <w:t>14404</w:t>
      </w:r>
      <w:r>
        <w:rPr>
          <w:rFonts w:hint="eastAsia" w:eastAsia="仿宋_GB2312"/>
          <w:sz w:val="28"/>
          <w:szCs w:val="28"/>
          <w:highlight w:val="none"/>
        </w:rPr>
        <w:t>元/平方米，两种方法估价结果相差较大；经综合分析、测算与判断，认为比较法结果更为准确，更能直观反应当前该区域房地产市场价格水平；而收益法测算结果偏离市场行情较多，原因主要有该区域房地产租售比异常，房地产报酬率，净收益增长率等不确定因素较多，预期收益的不可预见性较大。</w:t>
      </w:r>
    </w:p>
    <w:p>
      <w:pPr>
        <w:widowControl w:val="0"/>
        <w:autoSpaceDE w:val="0"/>
        <w:autoSpaceDN w:val="0"/>
        <w:spacing w:line="360" w:lineRule="auto"/>
        <w:ind w:firstLine="560" w:firstLineChars="200"/>
        <w:textAlignment w:val="bottom"/>
        <w:rPr>
          <w:rFonts w:eastAsia="仿宋_GB2312"/>
          <w:sz w:val="28"/>
          <w:szCs w:val="28"/>
          <w:highlight w:val="none"/>
        </w:rPr>
      </w:pPr>
      <w:r>
        <w:rPr>
          <w:rFonts w:hint="eastAsia" w:eastAsia="仿宋_GB2312"/>
          <w:sz w:val="28"/>
          <w:szCs w:val="28"/>
          <w:highlight w:val="none"/>
        </w:rPr>
        <w:t>综上，本次评估选取比较法测算结果为估价结果，即</w:t>
      </w:r>
    </w:p>
    <w:p>
      <w:pPr>
        <w:widowControl w:val="0"/>
        <w:autoSpaceDE w:val="0"/>
        <w:autoSpaceDN w:val="0"/>
        <w:spacing w:line="360" w:lineRule="auto"/>
        <w:ind w:firstLine="560" w:firstLineChars="200"/>
        <w:textAlignment w:val="bottom"/>
        <w:rPr>
          <w:rFonts w:eastAsia="仿宋_GB2312"/>
          <w:sz w:val="28"/>
          <w:szCs w:val="28"/>
          <w:highlight w:val="none"/>
        </w:rPr>
      </w:pPr>
      <w:r>
        <w:rPr>
          <w:rFonts w:hint="eastAsia" w:eastAsia="仿宋_GB2312"/>
          <w:sz w:val="28"/>
          <w:szCs w:val="28"/>
          <w:highlight w:val="none"/>
        </w:rPr>
        <w:t>房地产单价=</w:t>
      </w:r>
      <w:r>
        <w:rPr>
          <w:rFonts w:hint="eastAsia" w:eastAsia="仿宋_GB2312"/>
          <w:sz w:val="28"/>
          <w:szCs w:val="28"/>
          <w:highlight w:val="none"/>
          <w:lang w:val="en-US" w:eastAsia="zh-CN"/>
        </w:rPr>
        <w:t>17691</w:t>
      </w:r>
      <w:r>
        <w:rPr>
          <w:rFonts w:hint="eastAsia" w:eastAsia="仿宋_GB2312"/>
          <w:sz w:val="28"/>
          <w:szCs w:val="28"/>
          <w:highlight w:val="none"/>
        </w:rPr>
        <w:t>元/平方米</w:t>
      </w:r>
    </w:p>
    <w:p>
      <w:pPr>
        <w:widowControl w:val="0"/>
        <w:autoSpaceDE w:val="0"/>
        <w:autoSpaceDN w:val="0"/>
        <w:spacing w:line="360" w:lineRule="auto"/>
        <w:ind w:firstLine="560" w:firstLineChars="200"/>
        <w:textAlignment w:val="bottom"/>
        <w:rPr>
          <w:rFonts w:eastAsia="仿宋_GB2312"/>
          <w:sz w:val="28"/>
          <w:szCs w:val="28"/>
          <w:highlight w:val="none"/>
        </w:rPr>
      </w:pPr>
      <w:r>
        <w:rPr>
          <w:rFonts w:hint="eastAsia" w:eastAsia="仿宋_GB2312"/>
          <w:sz w:val="28"/>
          <w:szCs w:val="28"/>
          <w:highlight w:val="none"/>
        </w:rPr>
        <w:t>房地产总价=</w:t>
      </w:r>
      <w:r>
        <w:rPr>
          <w:rFonts w:hint="eastAsia" w:eastAsia="仿宋_GB2312"/>
          <w:sz w:val="28"/>
          <w:szCs w:val="28"/>
          <w:highlight w:val="none"/>
          <w:lang w:val="en-US" w:eastAsia="zh-CN"/>
        </w:rPr>
        <w:t>17691</w:t>
      </w:r>
      <w:r>
        <w:rPr>
          <w:rFonts w:hint="eastAsia" w:eastAsia="仿宋_GB2312"/>
          <w:sz w:val="28"/>
          <w:szCs w:val="28"/>
          <w:highlight w:val="none"/>
        </w:rPr>
        <w:t>×</w:t>
      </w:r>
      <w:r>
        <w:rPr>
          <w:rFonts w:hint="eastAsia" w:eastAsia="仿宋_GB2312"/>
          <w:sz w:val="28"/>
          <w:szCs w:val="28"/>
          <w:highlight w:val="none"/>
          <w:lang w:val="en-US" w:eastAsia="zh-CN"/>
        </w:rPr>
        <w:t>84.44</w:t>
      </w:r>
      <w:r>
        <w:rPr>
          <w:rFonts w:hint="eastAsia" w:eastAsia="仿宋_GB2312"/>
          <w:sz w:val="28"/>
          <w:szCs w:val="28"/>
          <w:highlight w:val="none"/>
        </w:rPr>
        <w:t>=</w:t>
      </w:r>
      <w:r>
        <w:rPr>
          <w:rFonts w:hint="eastAsia" w:eastAsia="仿宋_GB2312"/>
          <w:sz w:val="28"/>
          <w:szCs w:val="28"/>
          <w:highlight w:val="none"/>
          <w:lang w:val="en-US" w:eastAsia="zh-CN"/>
        </w:rPr>
        <w:t>1493828</w:t>
      </w:r>
      <w:r>
        <w:rPr>
          <w:rFonts w:hint="eastAsia" w:eastAsia="仿宋_GB2312"/>
          <w:sz w:val="28"/>
          <w:szCs w:val="28"/>
          <w:highlight w:val="none"/>
        </w:rPr>
        <w:t>（元）</w:t>
      </w:r>
    </w:p>
    <w:p>
      <w:pPr>
        <w:autoSpaceDE w:val="0"/>
        <w:autoSpaceDN w:val="0"/>
        <w:spacing w:line="360" w:lineRule="auto"/>
        <w:textAlignment w:val="bottom"/>
        <w:rPr>
          <w:rFonts w:eastAsia="仿宋_GB2312"/>
          <w:b/>
          <w:sz w:val="30"/>
          <w:szCs w:val="30"/>
          <w:highlight w:val="none"/>
        </w:rPr>
      </w:pPr>
      <w:r>
        <w:rPr>
          <w:rFonts w:eastAsia="仿宋_GB2312"/>
          <w:b/>
          <w:sz w:val="30"/>
          <w:szCs w:val="30"/>
          <w:highlight w:val="none"/>
        </w:rPr>
        <w:t>六、估价结果确定</w:t>
      </w:r>
    </w:p>
    <w:p>
      <w:pPr>
        <w:autoSpaceDE w:val="0"/>
        <w:autoSpaceDN w:val="0"/>
        <w:spacing w:line="360" w:lineRule="auto"/>
        <w:ind w:firstLine="560" w:firstLineChars="200"/>
        <w:textAlignment w:val="bottom"/>
        <w:rPr>
          <w:rFonts w:eastAsia="仿宋_GB2312"/>
          <w:sz w:val="28"/>
          <w:szCs w:val="28"/>
          <w:highlight w:val="none"/>
        </w:rPr>
      </w:pPr>
      <w:r>
        <w:rPr>
          <w:rFonts w:eastAsia="仿宋_GB2312"/>
          <w:sz w:val="28"/>
          <w:szCs w:val="28"/>
          <w:highlight w:val="none"/>
        </w:rPr>
        <w:t>注册房地产估价师经过实地查勘和市场调查，遵照国家法律法规和技术标准，遵循独立、客观、公正、合法的原则，选用比较法</w:t>
      </w:r>
      <w:r>
        <w:rPr>
          <w:rFonts w:hint="eastAsia" w:eastAsia="仿宋_GB2312"/>
          <w:sz w:val="28"/>
          <w:szCs w:val="28"/>
          <w:highlight w:val="none"/>
        </w:rPr>
        <w:t>和收益法</w:t>
      </w:r>
      <w:r>
        <w:rPr>
          <w:rFonts w:eastAsia="仿宋_GB2312"/>
          <w:sz w:val="28"/>
          <w:szCs w:val="28"/>
          <w:highlight w:val="none"/>
        </w:rPr>
        <w:t>进行了分析、测算和判断，最终得出以下结论：</w:t>
      </w:r>
    </w:p>
    <w:p>
      <w:pPr>
        <w:autoSpaceDE w:val="0"/>
        <w:autoSpaceDN w:val="0"/>
        <w:spacing w:line="360" w:lineRule="auto"/>
        <w:ind w:firstLine="560" w:firstLineChars="200"/>
        <w:textAlignment w:val="bottom"/>
        <w:rPr>
          <w:rFonts w:eastAsia="仿宋_GB2312"/>
          <w:sz w:val="28"/>
          <w:szCs w:val="28"/>
          <w:highlight w:val="none"/>
        </w:rPr>
      </w:pPr>
      <w:r>
        <w:rPr>
          <w:rFonts w:eastAsia="仿宋_GB2312"/>
          <w:sz w:val="28"/>
          <w:szCs w:val="28"/>
          <w:highlight w:val="none"/>
        </w:rPr>
        <w:t>本次估价对象为青岛市城阳区</w:t>
      </w:r>
      <w:r>
        <w:rPr>
          <w:rFonts w:hint="eastAsia" w:eastAsia="仿宋_GB2312"/>
          <w:sz w:val="28"/>
          <w:szCs w:val="28"/>
          <w:highlight w:val="none"/>
          <w:lang w:eastAsia="zh-CN"/>
        </w:rPr>
        <w:t>双元路18号160号楼2单元701户</w:t>
      </w:r>
      <w:r>
        <w:rPr>
          <w:rFonts w:eastAsia="仿宋_GB2312"/>
          <w:sz w:val="28"/>
          <w:szCs w:val="28"/>
          <w:highlight w:val="none"/>
        </w:rPr>
        <w:t>房地产，房屋</w:t>
      </w:r>
      <w:r>
        <w:rPr>
          <w:rFonts w:hint="eastAsia" w:eastAsia="仿宋_GB2312"/>
          <w:sz w:val="28"/>
          <w:szCs w:val="28"/>
          <w:highlight w:val="none"/>
          <w:lang w:eastAsia="zh-CN"/>
        </w:rPr>
        <w:t>建筑面积为84.44平方米</w:t>
      </w:r>
      <w:r>
        <w:rPr>
          <w:rFonts w:eastAsia="仿宋_GB2312"/>
          <w:sz w:val="28"/>
          <w:szCs w:val="28"/>
          <w:highlight w:val="none"/>
        </w:rPr>
        <w:t>，在价值时点的房地产单价为</w:t>
      </w:r>
      <w:r>
        <w:rPr>
          <w:rFonts w:hint="eastAsia" w:eastAsia="仿宋_GB2312"/>
          <w:sz w:val="28"/>
          <w:szCs w:val="28"/>
          <w:highlight w:val="none"/>
          <w:lang w:val="en-US" w:eastAsia="zh-CN"/>
        </w:rPr>
        <w:t>17691</w:t>
      </w:r>
      <w:r>
        <w:rPr>
          <w:rFonts w:eastAsia="仿宋_GB2312"/>
          <w:sz w:val="28"/>
          <w:szCs w:val="28"/>
          <w:highlight w:val="none"/>
        </w:rPr>
        <w:t>元/平方米，房地产总价：</w:t>
      </w:r>
      <w:r>
        <w:rPr>
          <w:rFonts w:hint="eastAsia" w:eastAsia="仿宋_GB2312"/>
          <w:sz w:val="28"/>
          <w:szCs w:val="28"/>
          <w:highlight w:val="none"/>
          <w:lang w:val="en-US" w:eastAsia="zh-CN"/>
        </w:rPr>
        <w:t>1493828</w:t>
      </w:r>
      <w:r>
        <w:rPr>
          <w:rFonts w:eastAsia="仿宋_GB2312"/>
          <w:sz w:val="28"/>
          <w:szCs w:val="28"/>
          <w:highlight w:val="none"/>
        </w:rPr>
        <w:t>元，大写人民币：</w:t>
      </w:r>
      <w:r>
        <w:rPr>
          <w:rFonts w:hint="eastAsia" w:eastAsia="仿宋_GB2312"/>
          <w:b/>
          <w:bCs/>
          <w:sz w:val="28"/>
          <w:szCs w:val="28"/>
          <w:highlight w:val="none"/>
          <w:lang w:val="en-US" w:eastAsia="zh-CN"/>
        </w:rPr>
        <w:t>壹佰肆拾玖万叁仟捌佰贰拾捌</w:t>
      </w:r>
      <w:r>
        <w:rPr>
          <w:rFonts w:eastAsia="仿宋_GB2312"/>
          <w:b/>
          <w:bCs/>
          <w:sz w:val="28"/>
          <w:szCs w:val="28"/>
          <w:highlight w:val="none"/>
        </w:rPr>
        <w:t>元</w:t>
      </w:r>
      <w:r>
        <w:rPr>
          <w:rFonts w:eastAsia="仿宋_GB2312"/>
          <w:sz w:val="28"/>
          <w:szCs w:val="28"/>
          <w:highlight w:val="none"/>
        </w:rPr>
        <w:t>整。</w:t>
      </w:r>
    </w:p>
    <w:p>
      <w:pPr>
        <w:spacing w:line="360" w:lineRule="auto"/>
        <w:ind w:firstLine="630" w:firstLineChars="225"/>
        <w:jc w:val="right"/>
        <w:rPr>
          <w:rFonts w:eastAsia="仿宋_GB2312"/>
          <w:sz w:val="28"/>
          <w:szCs w:val="28"/>
          <w:highlight w:val="none"/>
        </w:rPr>
      </w:pPr>
    </w:p>
    <w:p>
      <w:pPr>
        <w:spacing w:line="360" w:lineRule="auto"/>
        <w:ind w:firstLine="630" w:firstLineChars="225"/>
        <w:jc w:val="right"/>
        <w:rPr>
          <w:rFonts w:eastAsia="仿宋_GB2312"/>
          <w:sz w:val="28"/>
          <w:szCs w:val="28"/>
          <w:highlight w:val="none"/>
        </w:rPr>
      </w:pPr>
      <w:r>
        <w:rPr>
          <w:rFonts w:eastAsia="仿宋_GB2312"/>
          <w:sz w:val="28"/>
          <w:szCs w:val="28"/>
          <w:highlight w:val="none"/>
        </w:rPr>
        <w:t>青岛衡信土地房地产评估咨询有限公司</w:t>
      </w:r>
    </w:p>
    <w:p>
      <w:pPr>
        <w:spacing w:line="360" w:lineRule="auto"/>
        <w:ind w:firstLine="630" w:firstLineChars="225"/>
        <w:jc w:val="center"/>
        <w:rPr>
          <w:rFonts w:eastAsia="仿宋_GB2312"/>
          <w:color w:val="FF0000"/>
          <w:sz w:val="28"/>
          <w:szCs w:val="28"/>
          <w:highlight w:val="none"/>
        </w:rPr>
      </w:pPr>
      <w:r>
        <w:rPr>
          <w:rFonts w:eastAsia="仿宋_GB2312"/>
          <w:sz w:val="28"/>
          <w:szCs w:val="28"/>
          <w:highlight w:val="none"/>
        </w:rPr>
        <w:t xml:space="preserve">                 </w:t>
      </w:r>
      <w:r>
        <w:rPr>
          <w:rFonts w:eastAsia="仿宋_GB2312"/>
          <w:color w:val="FF0000"/>
          <w:sz w:val="28"/>
          <w:szCs w:val="28"/>
          <w:highlight w:val="none"/>
        </w:rPr>
        <w:t xml:space="preserve">            </w:t>
      </w:r>
      <w:r>
        <w:rPr>
          <w:rFonts w:eastAsia="仿宋_GB2312"/>
          <w:sz w:val="28"/>
          <w:szCs w:val="28"/>
          <w:highlight w:val="none"/>
        </w:rPr>
        <w:t>201</w:t>
      </w:r>
      <w:r>
        <w:rPr>
          <w:rFonts w:hint="eastAsia" w:eastAsia="仿宋_GB2312"/>
          <w:sz w:val="28"/>
          <w:szCs w:val="28"/>
          <w:highlight w:val="none"/>
        </w:rPr>
        <w:t>8</w:t>
      </w:r>
      <w:r>
        <w:rPr>
          <w:rFonts w:eastAsia="仿宋_GB2312"/>
          <w:sz w:val="28"/>
          <w:szCs w:val="28"/>
          <w:highlight w:val="none"/>
        </w:rPr>
        <w:t>年</w:t>
      </w:r>
      <w:r>
        <w:rPr>
          <w:rFonts w:hint="eastAsia" w:eastAsia="仿宋_GB2312"/>
          <w:sz w:val="28"/>
          <w:szCs w:val="28"/>
          <w:highlight w:val="none"/>
          <w:lang w:val="en-US" w:eastAsia="zh-CN"/>
        </w:rPr>
        <w:t>7</w:t>
      </w:r>
      <w:r>
        <w:rPr>
          <w:rFonts w:eastAsia="仿宋_GB2312"/>
          <w:sz w:val="28"/>
          <w:szCs w:val="28"/>
          <w:highlight w:val="none"/>
        </w:rPr>
        <w:t>月</w:t>
      </w:r>
      <w:r>
        <w:rPr>
          <w:rFonts w:hint="eastAsia" w:eastAsia="仿宋_GB2312"/>
          <w:sz w:val="28"/>
          <w:szCs w:val="28"/>
          <w:highlight w:val="none"/>
          <w:lang w:val="en-US" w:eastAsia="zh-CN"/>
        </w:rPr>
        <w:t>4</w:t>
      </w:r>
      <w:r>
        <w:rPr>
          <w:rFonts w:eastAsia="仿宋_GB2312"/>
          <w:sz w:val="28"/>
          <w:szCs w:val="28"/>
          <w:highlight w:val="none"/>
        </w:rPr>
        <w:t xml:space="preserve">日 </w:t>
      </w:r>
    </w:p>
    <w:sectPr>
      <w:pgSz w:w="11907" w:h="16840"/>
      <w:pgMar w:top="1134" w:right="1106" w:bottom="1134" w:left="1418" w:header="720" w:footer="72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jc w:val="center"/>
                </w:pPr>
                <w:r>
                  <w:fldChar w:fldCharType="begin"/>
                </w:r>
                <w:r>
                  <w:rPr>
                    <w:rStyle w:val="24"/>
                  </w:rPr>
                  <w:instrText xml:space="preserve"> PAGE </w:instrText>
                </w:r>
                <w:r>
                  <w:fldChar w:fldCharType="separate"/>
                </w:r>
                <w:r>
                  <w:rPr>
                    <w:rStyle w:val="24"/>
                  </w:rPr>
                  <w:t>25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15</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485"/>
    <w:multiLevelType w:val="singleLevel"/>
    <w:tmpl w:val="2D920485"/>
    <w:lvl w:ilvl="0" w:tentative="0">
      <w:start w:val="1"/>
      <w:numFmt w:val="upperLetter"/>
      <w:pStyle w:val="4"/>
      <w:lvlText w:val="%1、"/>
      <w:lvlJc w:val="left"/>
      <w:pPr>
        <w:tabs>
          <w:tab w:val="left" w:pos="960"/>
        </w:tabs>
        <w:ind w:left="9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UseMarginsForDrawingGridOrigin w:val="1"/>
  <w:drawingGridHorizontalOrigin w:val="0"/>
  <w:drawingGridVerticalOrigin w:val="1134"/>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4F"/>
    <w:rsid w:val="00000F0E"/>
    <w:rsid w:val="000011E0"/>
    <w:rsid w:val="00001378"/>
    <w:rsid w:val="00001411"/>
    <w:rsid w:val="00003BFB"/>
    <w:rsid w:val="00003EF6"/>
    <w:rsid w:val="00004154"/>
    <w:rsid w:val="000059D3"/>
    <w:rsid w:val="0000735A"/>
    <w:rsid w:val="00010D6F"/>
    <w:rsid w:val="00011B6C"/>
    <w:rsid w:val="00012042"/>
    <w:rsid w:val="000123C0"/>
    <w:rsid w:val="00012D6B"/>
    <w:rsid w:val="000152C5"/>
    <w:rsid w:val="000162B8"/>
    <w:rsid w:val="000167C5"/>
    <w:rsid w:val="00017766"/>
    <w:rsid w:val="000225C9"/>
    <w:rsid w:val="00023815"/>
    <w:rsid w:val="00023CC0"/>
    <w:rsid w:val="000257ED"/>
    <w:rsid w:val="00026A61"/>
    <w:rsid w:val="00026F39"/>
    <w:rsid w:val="000278D1"/>
    <w:rsid w:val="00030865"/>
    <w:rsid w:val="0003271A"/>
    <w:rsid w:val="00033116"/>
    <w:rsid w:val="00034B5A"/>
    <w:rsid w:val="0003648E"/>
    <w:rsid w:val="00036811"/>
    <w:rsid w:val="00036D42"/>
    <w:rsid w:val="00037197"/>
    <w:rsid w:val="0004197C"/>
    <w:rsid w:val="00041AC5"/>
    <w:rsid w:val="000427DD"/>
    <w:rsid w:val="00043306"/>
    <w:rsid w:val="00043EB7"/>
    <w:rsid w:val="00046347"/>
    <w:rsid w:val="00050410"/>
    <w:rsid w:val="00050F2F"/>
    <w:rsid w:val="00051908"/>
    <w:rsid w:val="000519DF"/>
    <w:rsid w:val="000528D2"/>
    <w:rsid w:val="00052AEF"/>
    <w:rsid w:val="00056847"/>
    <w:rsid w:val="00056BFA"/>
    <w:rsid w:val="00056E51"/>
    <w:rsid w:val="00061C42"/>
    <w:rsid w:val="0006206A"/>
    <w:rsid w:val="000632EE"/>
    <w:rsid w:val="00064312"/>
    <w:rsid w:val="000668CC"/>
    <w:rsid w:val="00066A71"/>
    <w:rsid w:val="00066FBE"/>
    <w:rsid w:val="000714DA"/>
    <w:rsid w:val="00071514"/>
    <w:rsid w:val="000731D3"/>
    <w:rsid w:val="000733E2"/>
    <w:rsid w:val="00073C15"/>
    <w:rsid w:val="00075E4C"/>
    <w:rsid w:val="00076C46"/>
    <w:rsid w:val="00077618"/>
    <w:rsid w:val="000807E9"/>
    <w:rsid w:val="00080AC8"/>
    <w:rsid w:val="00081A69"/>
    <w:rsid w:val="0008245B"/>
    <w:rsid w:val="00083275"/>
    <w:rsid w:val="00083FA4"/>
    <w:rsid w:val="00086EBC"/>
    <w:rsid w:val="000870CA"/>
    <w:rsid w:val="0008714D"/>
    <w:rsid w:val="000911CD"/>
    <w:rsid w:val="000912EA"/>
    <w:rsid w:val="000932DA"/>
    <w:rsid w:val="00093C95"/>
    <w:rsid w:val="00094B1C"/>
    <w:rsid w:val="00094BBC"/>
    <w:rsid w:val="00094D99"/>
    <w:rsid w:val="00095CA0"/>
    <w:rsid w:val="000975E2"/>
    <w:rsid w:val="000A4587"/>
    <w:rsid w:val="000A4703"/>
    <w:rsid w:val="000A59CB"/>
    <w:rsid w:val="000A5BA4"/>
    <w:rsid w:val="000A5F81"/>
    <w:rsid w:val="000A624F"/>
    <w:rsid w:val="000A7906"/>
    <w:rsid w:val="000B0792"/>
    <w:rsid w:val="000B1FB5"/>
    <w:rsid w:val="000B3DB2"/>
    <w:rsid w:val="000B407B"/>
    <w:rsid w:val="000B5B0B"/>
    <w:rsid w:val="000B6D1A"/>
    <w:rsid w:val="000B7715"/>
    <w:rsid w:val="000B7B76"/>
    <w:rsid w:val="000C06A8"/>
    <w:rsid w:val="000C0A14"/>
    <w:rsid w:val="000C0F0A"/>
    <w:rsid w:val="000C23B8"/>
    <w:rsid w:val="000C488D"/>
    <w:rsid w:val="000C63EE"/>
    <w:rsid w:val="000C6AC1"/>
    <w:rsid w:val="000C6C08"/>
    <w:rsid w:val="000D0A89"/>
    <w:rsid w:val="000D1347"/>
    <w:rsid w:val="000D24C9"/>
    <w:rsid w:val="000D3D33"/>
    <w:rsid w:val="000D40F8"/>
    <w:rsid w:val="000D445E"/>
    <w:rsid w:val="000D52CC"/>
    <w:rsid w:val="000D538A"/>
    <w:rsid w:val="000D55C1"/>
    <w:rsid w:val="000D722F"/>
    <w:rsid w:val="000D72FD"/>
    <w:rsid w:val="000D768A"/>
    <w:rsid w:val="000E07B7"/>
    <w:rsid w:val="000E227D"/>
    <w:rsid w:val="000E325D"/>
    <w:rsid w:val="000E32EC"/>
    <w:rsid w:val="000E4EEC"/>
    <w:rsid w:val="000E4EFF"/>
    <w:rsid w:val="000E613E"/>
    <w:rsid w:val="000E6939"/>
    <w:rsid w:val="000F02D0"/>
    <w:rsid w:val="000F0F1E"/>
    <w:rsid w:val="000F4A28"/>
    <w:rsid w:val="000F5B59"/>
    <w:rsid w:val="000F6CEB"/>
    <w:rsid w:val="000F6D32"/>
    <w:rsid w:val="000F7221"/>
    <w:rsid w:val="00100747"/>
    <w:rsid w:val="0010132D"/>
    <w:rsid w:val="00102204"/>
    <w:rsid w:val="00102FDE"/>
    <w:rsid w:val="00103EC7"/>
    <w:rsid w:val="00105BE1"/>
    <w:rsid w:val="00106A43"/>
    <w:rsid w:val="00106FDB"/>
    <w:rsid w:val="001077F8"/>
    <w:rsid w:val="00107F3C"/>
    <w:rsid w:val="0011036F"/>
    <w:rsid w:val="0011092B"/>
    <w:rsid w:val="0011096A"/>
    <w:rsid w:val="00113B0B"/>
    <w:rsid w:val="00113C59"/>
    <w:rsid w:val="00115002"/>
    <w:rsid w:val="0011589A"/>
    <w:rsid w:val="00116560"/>
    <w:rsid w:val="001169E8"/>
    <w:rsid w:val="0012005F"/>
    <w:rsid w:val="00120FF0"/>
    <w:rsid w:val="001213D6"/>
    <w:rsid w:val="00121D14"/>
    <w:rsid w:val="00122A5B"/>
    <w:rsid w:val="00122B66"/>
    <w:rsid w:val="00123E72"/>
    <w:rsid w:val="00124C22"/>
    <w:rsid w:val="001250BE"/>
    <w:rsid w:val="001264FB"/>
    <w:rsid w:val="001274DB"/>
    <w:rsid w:val="00127A93"/>
    <w:rsid w:val="00130B0D"/>
    <w:rsid w:val="00130F1A"/>
    <w:rsid w:val="00133118"/>
    <w:rsid w:val="0013363C"/>
    <w:rsid w:val="00135D7F"/>
    <w:rsid w:val="00136B96"/>
    <w:rsid w:val="00137013"/>
    <w:rsid w:val="00142A2B"/>
    <w:rsid w:val="00142A6A"/>
    <w:rsid w:val="001448B6"/>
    <w:rsid w:val="001468D6"/>
    <w:rsid w:val="001468DD"/>
    <w:rsid w:val="00147AAE"/>
    <w:rsid w:val="001529D7"/>
    <w:rsid w:val="00152F59"/>
    <w:rsid w:val="0015469A"/>
    <w:rsid w:val="00154F59"/>
    <w:rsid w:val="00155F2E"/>
    <w:rsid w:val="00157B9C"/>
    <w:rsid w:val="00157FE2"/>
    <w:rsid w:val="00162B76"/>
    <w:rsid w:val="0016399B"/>
    <w:rsid w:val="00164503"/>
    <w:rsid w:val="001663F4"/>
    <w:rsid w:val="0016725A"/>
    <w:rsid w:val="001676C5"/>
    <w:rsid w:val="001701DC"/>
    <w:rsid w:val="00170246"/>
    <w:rsid w:val="00170F3C"/>
    <w:rsid w:val="001711B2"/>
    <w:rsid w:val="001712AF"/>
    <w:rsid w:val="00171818"/>
    <w:rsid w:val="00172A27"/>
    <w:rsid w:val="001752E2"/>
    <w:rsid w:val="001771C2"/>
    <w:rsid w:val="00177543"/>
    <w:rsid w:val="00182641"/>
    <w:rsid w:val="001837B9"/>
    <w:rsid w:val="00183F29"/>
    <w:rsid w:val="00184676"/>
    <w:rsid w:val="00184F51"/>
    <w:rsid w:val="0018549B"/>
    <w:rsid w:val="00185607"/>
    <w:rsid w:val="001863FB"/>
    <w:rsid w:val="00186902"/>
    <w:rsid w:val="00190275"/>
    <w:rsid w:val="00190ED3"/>
    <w:rsid w:val="0019277E"/>
    <w:rsid w:val="001953DE"/>
    <w:rsid w:val="0019561A"/>
    <w:rsid w:val="00195C85"/>
    <w:rsid w:val="00197275"/>
    <w:rsid w:val="001A244D"/>
    <w:rsid w:val="001A490C"/>
    <w:rsid w:val="001A4EDE"/>
    <w:rsid w:val="001A5885"/>
    <w:rsid w:val="001A5BDA"/>
    <w:rsid w:val="001A6C4D"/>
    <w:rsid w:val="001B15A9"/>
    <w:rsid w:val="001B274D"/>
    <w:rsid w:val="001B4D2C"/>
    <w:rsid w:val="001B7ECE"/>
    <w:rsid w:val="001C0582"/>
    <w:rsid w:val="001C10D3"/>
    <w:rsid w:val="001C208C"/>
    <w:rsid w:val="001C269B"/>
    <w:rsid w:val="001C2C91"/>
    <w:rsid w:val="001C351E"/>
    <w:rsid w:val="001C3C0F"/>
    <w:rsid w:val="001C4DA3"/>
    <w:rsid w:val="001C526C"/>
    <w:rsid w:val="001C5D6E"/>
    <w:rsid w:val="001C61F3"/>
    <w:rsid w:val="001C65E9"/>
    <w:rsid w:val="001D413A"/>
    <w:rsid w:val="001D5839"/>
    <w:rsid w:val="001D5A5D"/>
    <w:rsid w:val="001D6299"/>
    <w:rsid w:val="001D795F"/>
    <w:rsid w:val="001E32EA"/>
    <w:rsid w:val="001E32FD"/>
    <w:rsid w:val="001E3A39"/>
    <w:rsid w:val="001E482D"/>
    <w:rsid w:val="001E665C"/>
    <w:rsid w:val="001E6D61"/>
    <w:rsid w:val="001E72C2"/>
    <w:rsid w:val="001E7EB5"/>
    <w:rsid w:val="001F00B0"/>
    <w:rsid w:val="001F1392"/>
    <w:rsid w:val="001F344B"/>
    <w:rsid w:val="001F3AF1"/>
    <w:rsid w:val="001F3FE5"/>
    <w:rsid w:val="001F4288"/>
    <w:rsid w:val="001F5FE9"/>
    <w:rsid w:val="001F601D"/>
    <w:rsid w:val="001F624E"/>
    <w:rsid w:val="001F7331"/>
    <w:rsid w:val="00200328"/>
    <w:rsid w:val="0020147F"/>
    <w:rsid w:val="0020153C"/>
    <w:rsid w:val="0020176F"/>
    <w:rsid w:val="00201F6F"/>
    <w:rsid w:val="002047F7"/>
    <w:rsid w:val="0020505C"/>
    <w:rsid w:val="00205101"/>
    <w:rsid w:val="00205B51"/>
    <w:rsid w:val="00205CC6"/>
    <w:rsid w:val="002107C5"/>
    <w:rsid w:val="00210BCA"/>
    <w:rsid w:val="00211196"/>
    <w:rsid w:val="00211490"/>
    <w:rsid w:val="00212A8F"/>
    <w:rsid w:val="002133C3"/>
    <w:rsid w:val="0021518B"/>
    <w:rsid w:val="00215D19"/>
    <w:rsid w:val="00215EA1"/>
    <w:rsid w:val="0022128F"/>
    <w:rsid w:val="00221CD1"/>
    <w:rsid w:val="00222371"/>
    <w:rsid w:val="00223510"/>
    <w:rsid w:val="00223C93"/>
    <w:rsid w:val="002250F3"/>
    <w:rsid w:val="002252AC"/>
    <w:rsid w:val="0022657C"/>
    <w:rsid w:val="00227435"/>
    <w:rsid w:val="0023037E"/>
    <w:rsid w:val="00232ABD"/>
    <w:rsid w:val="00233250"/>
    <w:rsid w:val="00236934"/>
    <w:rsid w:val="00236946"/>
    <w:rsid w:val="0023761A"/>
    <w:rsid w:val="00240265"/>
    <w:rsid w:val="00241A0D"/>
    <w:rsid w:val="002421F5"/>
    <w:rsid w:val="00242A37"/>
    <w:rsid w:val="00243A30"/>
    <w:rsid w:val="0024403D"/>
    <w:rsid w:val="00244764"/>
    <w:rsid w:val="002457FD"/>
    <w:rsid w:val="002500A9"/>
    <w:rsid w:val="002502EB"/>
    <w:rsid w:val="002505CB"/>
    <w:rsid w:val="002506B2"/>
    <w:rsid w:val="002508C1"/>
    <w:rsid w:val="00250B44"/>
    <w:rsid w:val="002516A7"/>
    <w:rsid w:val="00253748"/>
    <w:rsid w:val="00254919"/>
    <w:rsid w:val="00255D14"/>
    <w:rsid w:val="002612D7"/>
    <w:rsid w:val="00263C9C"/>
    <w:rsid w:val="00263FED"/>
    <w:rsid w:val="002657B4"/>
    <w:rsid w:val="00265A09"/>
    <w:rsid w:val="002669F2"/>
    <w:rsid w:val="00267623"/>
    <w:rsid w:val="00267844"/>
    <w:rsid w:val="002679EA"/>
    <w:rsid w:val="00267E49"/>
    <w:rsid w:val="0027044A"/>
    <w:rsid w:val="002705CB"/>
    <w:rsid w:val="002716BF"/>
    <w:rsid w:val="00275C26"/>
    <w:rsid w:val="00276BDB"/>
    <w:rsid w:val="00277454"/>
    <w:rsid w:val="00277E83"/>
    <w:rsid w:val="002811E2"/>
    <w:rsid w:val="00283C72"/>
    <w:rsid w:val="002845AF"/>
    <w:rsid w:val="00284F6A"/>
    <w:rsid w:val="00285D52"/>
    <w:rsid w:val="00286840"/>
    <w:rsid w:val="00287E21"/>
    <w:rsid w:val="0029040E"/>
    <w:rsid w:val="00290928"/>
    <w:rsid w:val="00290B55"/>
    <w:rsid w:val="00291402"/>
    <w:rsid w:val="00291E06"/>
    <w:rsid w:val="0029234F"/>
    <w:rsid w:val="0029282F"/>
    <w:rsid w:val="00292E0B"/>
    <w:rsid w:val="002938BF"/>
    <w:rsid w:val="00293D59"/>
    <w:rsid w:val="00294193"/>
    <w:rsid w:val="00294938"/>
    <w:rsid w:val="002954E1"/>
    <w:rsid w:val="002A0449"/>
    <w:rsid w:val="002A1B74"/>
    <w:rsid w:val="002A4C64"/>
    <w:rsid w:val="002A5E78"/>
    <w:rsid w:val="002A64F3"/>
    <w:rsid w:val="002A7A5B"/>
    <w:rsid w:val="002B0136"/>
    <w:rsid w:val="002B08A9"/>
    <w:rsid w:val="002B223D"/>
    <w:rsid w:val="002B38FB"/>
    <w:rsid w:val="002B407C"/>
    <w:rsid w:val="002B57AF"/>
    <w:rsid w:val="002B61F4"/>
    <w:rsid w:val="002B65F2"/>
    <w:rsid w:val="002B7AD7"/>
    <w:rsid w:val="002B7C35"/>
    <w:rsid w:val="002C0273"/>
    <w:rsid w:val="002C21DB"/>
    <w:rsid w:val="002C3054"/>
    <w:rsid w:val="002C342B"/>
    <w:rsid w:val="002C422B"/>
    <w:rsid w:val="002C4825"/>
    <w:rsid w:val="002C50F9"/>
    <w:rsid w:val="002D0579"/>
    <w:rsid w:val="002D081B"/>
    <w:rsid w:val="002D0CDE"/>
    <w:rsid w:val="002D2366"/>
    <w:rsid w:val="002D3D95"/>
    <w:rsid w:val="002D4352"/>
    <w:rsid w:val="002D5000"/>
    <w:rsid w:val="002D58B5"/>
    <w:rsid w:val="002D67C2"/>
    <w:rsid w:val="002E1102"/>
    <w:rsid w:val="002E15EB"/>
    <w:rsid w:val="002E33BD"/>
    <w:rsid w:val="002E3729"/>
    <w:rsid w:val="002E4C47"/>
    <w:rsid w:val="002E5099"/>
    <w:rsid w:val="002E559D"/>
    <w:rsid w:val="002F10B3"/>
    <w:rsid w:val="002F1ECD"/>
    <w:rsid w:val="002F2BCE"/>
    <w:rsid w:val="002F37CD"/>
    <w:rsid w:val="002F3F1D"/>
    <w:rsid w:val="002F4878"/>
    <w:rsid w:val="002F5E54"/>
    <w:rsid w:val="002F61C8"/>
    <w:rsid w:val="002F6B78"/>
    <w:rsid w:val="002F768A"/>
    <w:rsid w:val="003000BA"/>
    <w:rsid w:val="003001CD"/>
    <w:rsid w:val="00301870"/>
    <w:rsid w:val="003022F3"/>
    <w:rsid w:val="00303353"/>
    <w:rsid w:val="00303871"/>
    <w:rsid w:val="00304260"/>
    <w:rsid w:val="00304EC9"/>
    <w:rsid w:val="00305EFE"/>
    <w:rsid w:val="00305F28"/>
    <w:rsid w:val="0030618D"/>
    <w:rsid w:val="00306764"/>
    <w:rsid w:val="0030704A"/>
    <w:rsid w:val="003072B2"/>
    <w:rsid w:val="0030786C"/>
    <w:rsid w:val="00310108"/>
    <w:rsid w:val="003107A8"/>
    <w:rsid w:val="0031235C"/>
    <w:rsid w:val="003130B2"/>
    <w:rsid w:val="00313552"/>
    <w:rsid w:val="00313C2A"/>
    <w:rsid w:val="00313D8B"/>
    <w:rsid w:val="003154C3"/>
    <w:rsid w:val="00315794"/>
    <w:rsid w:val="003165A2"/>
    <w:rsid w:val="00320687"/>
    <w:rsid w:val="0032184F"/>
    <w:rsid w:val="003229EF"/>
    <w:rsid w:val="00322DE1"/>
    <w:rsid w:val="00323A29"/>
    <w:rsid w:val="00324CBB"/>
    <w:rsid w:val="00324F9C"/>
    <w:rsid w:val="0032613E"/>
    <w:rsid w:val="00326EDF"/>
    <w:rsid w:val="0032722B"/>
    <w:rsid w:val="0032730D"/>
    <w:rsid w:val="003275C6"/>
    <w:rsid w:val="00327660"/>
    <w:rsid w:val="003277DD"/>
    <w:rsid w:val="00330EAF"/>
    <w:rsid w:val="00331F95"/>
    <w:rsid w:val="00332664"/>
    <w:rsid w:val="00335042"/>
    <w:rsid w:val="0033550F"/>
    <w:rsid w:val="0033640C"/>
    <w:rsid w:val="00336811"/>
    <w:rsid w:val="00337264"/>
    <w:rsid w:val="003408B5"/>
    <w:rsid w:val="003413EB"/>
    <w:rsid w:val="00341851"/>
    <w:rsid w:val="0034293B"/>
    <w:rsid w:val="00345B6A"/>
    <w:rsid w:val="0034624F"/>
    <w:rsid w:val="003463E1"/>
    <w:rsid w:val="00347222"/>
    <w:rsid w:val="00351921"/>
    <w:rsid w:val="00351A85"/>
    <w:rsid w:val="00354AA6"/>
    <w:rsid w:val="00354B45"/>
    <w:rsid w:val="00354B6F"/>
    <w:rsid w:val="00354C16"/>
    <w:rsid w:val="00356ED5"/>
    <w:rsid w:val="00357909"/>
    <w:rsid w:val="00357B2D"/>
    <w:rsid w:val="00361FD1"/>
    <w:rsid w:val="0036426E"/>
    <w:rsid w:val="00364415"/>
    <w:rsid w:val="00367C17"/>
    <w:rsid w:val="00371622"/>
    <w:rsid w:val="0037225F"/>
    <w:rsid w:val="00372315"/>
    <w:rsid w:val="00372E4B"/>
    <w:rsid w:val="003747B0"/>
    <w:rsid w:val="003749A8"/>
    <w:rsid w:val="00375EC9"/>
    <w:rsid w:val="00376C9B"/>
    <w:rsid w:val="0038122F"/>
    <w:rsid w:val="00381A00"/>
    <w:rsid w:val="00381DE8"/>
    <w:rsid w:val="00383192"/>
    <w:rsid w:val="003846D8"/>
    <w:rsid w:val="0038481B"/>
    <w:rsid w:val="00385383"/>
    <w:rsid w:val="00385C5E"/>
    <w:rsid w:val="00385E4F"/>
    <w:rsid w:val="003874B3"/>
    <w:rsid w:val="00391622"/>
    <w:rsid w:val="00392D83"/>
    <w:rsid w:val="00393AF3"/>
    <w:rsid w:val="00394883"/>
    <w:rsid w:val="00395825"/>
    <w:rsid w:val="00397E14"/>
    <w:rsid w:val="00397EF9"/>
    <w:rsid w:val="003A142D"/>
    <w:rsid w:val="003A20B6"/>
    <w:rsid w:val="003A234E"/>
    <w:rsid w:val="003A352B"/>
    <w:rsid w:val="003A3572"/>
    <w:rsid w:val="003A6234"/>
    <w:rsid w:val="003B06CC"/>
    <w:rsid w:val="003B3B07"/>
    <w:rsid w:val="003B3FDC"/>
    <w:rsid w:val="003B405C"/>
    <w:rsid w:val="003B64F2"/>
    <w:rsid w:val="003B6C51"/>
    <w:rsid w:val="003B7280"/>
    <w:rsid w:val="003B768D"/>
    <w:rsid w:val="003C0261"/>
    <w:rsid w:val="003C09AA"/>
    <w:rsid w:val="003C4473"/>
    <w:rsid w:val="003C7121"/>
    <w:rsid w:val="003C7544"/>
    <w:rsid w:val="003C778D"/>
    <w:rsid w:val="003D062E"/>
    <w:rsid w:val="003D26EB"/>
    <w:rsid w:val="003D2C86"/>
    <w:rsid w:val="003D4F7B"/>
    <w:rsid w:val="003D5DCA"/>
    <w:rsid w:val="003D5EF2"/>
    <w:rsid w:val="003D628D"/>
    <w:rsid w:val="003D62A5"/>
    <w:rsid w:val="003D735E"/>
    <w:rsid w:val="003D7C2D"/>
    <w:rsid w:val="003E06D8"/>
    <w:rsid w:val="003E17AB"/>
    <w:rsid w:val="003E32BE"/>
    <w:rsid w:val="003E4198"/>
    <w:rsid w:val="003E57BC"/>
    <w:rsid w:val="003E5B21"/>
    <w:rsid w:val="003E654A"/>
    <w:rsid w:val="003E779E"/>
    <w:rsid w:val="003E7C93"/>
    <w:rsid w:val="003F0958"/>
    <w:rsid w:val="003F1757"/>
    <w:rsid w:val="003F1E20"/>
    <w:rsid w:val="003F434F"/>
    <w:rsid w:val="003F4F28"/>
    <w:rsid w:val="003F54C0"/>
    <w:rsid w:val="003F6669"/>
    <w:rsid w:val="003F6C1B"/>
    <w:rsid w:val="00400269"/>
    <w:rsid w:val="00401DA1"/>
    <w:rsid w:val="00401F1D"/>
    <w:rsid w:val="0040207F"/>
    <w:rsid w:val="00402541"/>
    <w:rsid w:val="00403480"/>
    <w:rsid w:val="00404087"/>
    <w:rsid w:val="00404473"/>
    <w:rsid w:val="0040795B"/>
    <w:rsid w:val="00407B44"/>
    <w:rsid w:val="004111C8"/>
    <w:rsid w:val="004119C5"/>
    <w:rsid w:val="004149B4"/>
    <w:rsid w:val="00414FAD"/>
    <w:rsid w:val="0041528E"/>
    <w:rsid w:val="004160F7"/>
    <w:rsid w:val="00417B56"/>
    <w:rsid w:val="004206E6"/>
    <w:rsid w:val="00420850"/>
    <w:rsid w:val="004213DE"/>
    <w:rsid w:val="00421581"/>
    <w:rsid w:val="00422A1E"/>
    <w:rsid w:val="00422E52"/>
    <w:rsid w:val="00423020"/>
    <w:rsid w:val="00423D81"/>
    <w:rsid w:val="0042416E"/>
    <w:rsid w:val="0042510D"/>
    <w:rsid w:val="004253F0"/>
    <w:rsid w:val="00426CF3"/>
    <w:rsid w:val="00426EBF"/>
    <w:rsid w:val="00432546"/>
    <w:rsid w:val="0043286F"/>
    <w:rsid w:val="00433308"/>
    <w:rsid w:val="00433409"/>
    <w:rsid w:val="00434F6E"/>
    <w:rsid w:val="004351FD"/>
    <w:rsid w:val="00437011"/>
    <w:rsid w:val="00440DBC"/>
    <w:rsid w:val="00442371"/>
    <w:rsid w:val="00443239"/>
    <w:rsid w:val="0044420B"/>
    <w:rsid w:val="004443A0"/>
    <w:rsid w:val="00447A47"/>
    <w:rsid w:val="004505F1"/>
    <w:rsid w:val="00450B7E"/>
    <w:rsid w:val="00450F90"/>
    <w:rsid w:val="00451150"/>
    <w:rsid w:val="00451943"/>
    <w:rsid w:val="004529CF"/>
    <w:rsid w:val="00452B8F"/>
    <w:rsid w:val="004533D8"/>
    <w:rsid w:val="00454822"/>
    <w:rsid w:val="00456E4C"/>
    <w:rsid w:val="00457151"/>
    <w:rsid w:val="004571EE"/>
    <w:rsid w:val="00460388"/>
    <w:rsid w:val="00460E67"/>
    <w:rsid w:val="00463748"/>
    <w:rsid w:val="00463A52"/>
    <w:rsid w:val="00463D59"/>
    <w:rsid w:val="00464508"/>
    <w:rsid w:val="004649D0"/>
    <w:rsid w:val="00464AE9"/>
    <w:rsid w:val="00464F57"/>
    <w:rsid w:val="004652E4"/>
    <w:rsid w:val="00465736"/>
    <w:rsid w:val="00465DA4"/>
    <w:rsid w:val="00466361"/>
    <w:rsid w:val="00467125"/>
    <w:rsid w:val="00467F08"/>
    <w:rsid w:val="00470A38"/>
    <w:rsid w:val="00470B10"/>
    <w:rsid w:val="00470BEE"/>
    <w:rsid w:val="0047121D"/>
    <w:rsid w:val="00472306"/>
    <w:rsid w:val="004723DD"/>
    <w:rsid w:val="0047244D"/>
    <w:rsid w:val="004739FF"/>
    <w:rsid w:val="0047662D"/>
    <w:rsid w:val="00477077"/>
    <w:rsid w:val="004772F1"/>
    <w:rsid w:val="0048103C"/>
    <w:rsid w:val="004826ED"/>
    <w:rsid w:val="0048345E"/>
    <w:rsid w:val="0048517D"/>
    <w:rsid w:val="00485395"/>
    <w:rsid w:val="00485D8B"/>
    <w:rsid w:val="00485E8A"/>
    <w:rsid w:val="004865CF"/>
    <w:rsid w:val="00487890"/>
    <w:rsid w:val="00487C1B"/>
    <w:rsid w:val="00490F3B"/>
    <w:rsid w:val="004922E6"/>
    <w:rsid w:val="00492D2A"/>
    <w:rsid w:val="00494E8E"/>
    <w:rsid w:val="00494EB1"/>
    <w:rsid w:val="00494FA9"/>
    <w:rsid w:val="004958D2"/>
    <w:rsid w:val="00497E17"/>
    <w:rsid w:val="004A2A33"/>
    <w:rsid w:val="004A3E6C"/>
    <w:rsid w:val="004A6496"/>
    <w:rsid w:val="004A6B5D"/>
    <w:rsid w:val="004B017D"/>
    <w:rsid w:val="004B1131"/>
    <w:rsid w:val="004B4A06"/>
    <w:rsid w:val="004B79F4"/>
    <w:rsid w:val="004C2325"/>
    <w:rsid w:val="004C255C"/>
    <w:rsid w:val="004C41FF"/>
    <w:rsid w:val="004C7259"/>
    <w:rsid w:val="004D124C"/>
    <w:rsid w:val="004D1D42"/>
    <w:rsid w:val="004D1EBF"/>
    <w:rsid w:val="004D2F9F"/>
    <w:rsid w:val="004D310F"/>
    <w:rsid w:val="004D39AC"/>
    <w:rsid w:val="004D3D02"/>
    <w:rsid w:val="004D5359"/>
    <w:rsid w:val="004D6115"/>
    <w:rsid w:val="004D6300"/>
    <w:rsid w:val="004D6995"/>
    <w:rsid w:val="004D767B"/>
    <w:rsid w:val="004D7A6B"/>
    <w:rsid w:val="004D7E9B"/>
    <w:rsid w:val="004E013C"/>
    <w:rsid w:val="004E129C"/>
    <w:rsid w:val="004E1537"/>
    <w:rsid w:val="004E1A89"/>
    <w:rsid w:val="004E1C53"/>
    <w:rsid w:val="004E2E61"/>
    <w:rsid w:val="004E3311"/>
    <w:rsid w:val="004E4094"/>
    <w:rsid w:val="004E474F"/>
    <w:rsid w:val="004E5FE1"/>
    <w:rsid w:val="004E6652"/>
    <w:rsid w:val="004F0116"/>
    <w:rsid w:val="004F18E2"/>
    <w:rsid w:val="004F1FB0"/>
    <w:rsid w:val="004F1FC8"/>
    <w:rsid w:val="004F204F"/>
    <w:rsid w:val="004F4431"/>
    <w:rsid w:val="004F4771"/>
    <w:rsid w:val="004F7202"/>
    <w:rsid w:val="004F7DC1"/>
    <w:rsid w:val="00500262"/>
    <w:rsid w:val="005032F3"/>
    <w:rsid w:val="0050416F"/>
    <w:rsid w:val="00504F85"/>
    <w:rsid w:val="0050522C"/>
    <w:rsid w:val="005064D1"/>
    <w:rsid w:val="0050749D"/>
    <w:rsid w:val="00507517"/>
    <w:rsid w:val="005076D0"/>
    <w:rsid w:val="00511A81"/>
    <w:rsid w:val="0051302B"/>
    <w:rsid w:val="005140EF"/>
    <w:rsid w:val="005176D4"/>
    <w:rsid w:val="00517A54"/>
    <w:rsid w:val="00520F53"/>
    <w:rsid w:val="00520F8D"/>
    <w:rsid w:val="00521C37"/>
    <w:rsid w:val="0052282F"/>
    <w:rsid w:val="00523A52"/>
    <w:rsid w:val="00524A71"/>
    <w:rsid w:val="00526357"/>
    <w:rsid w:val="00526DA5"/>
    <w:rsid w:val="00527CDF"/>
    <w:rsid w:val="00527F77"/>
    <w:rsid w:val="0053072F"/>
    <w:rsid w:val="00533BED"/>
    <w:rsid w:val="0053459C"/>
    <w:rsid w:val="0053724E"/>
    <w:rsid w:val="00540582"/>
    <w:rsid w:val="00540FA4"/>
    <w:rsid w:val="005413B6"/>
    <w:rsid w:val="00541B89"/>
    <w:rsid w:val="00542438"/>
    <w:rsid w:val="00544097"/>
    <w:rsid w:val="00544883"/>
    <w:rsid w:val="005450B9"/>
    <w:rsid w:val="00546E18"/>
    <w:rsid w:val="00547181"/>
    <w:rsid w:val="005508FA"/>
    <w:rsid w:val="00550DFA"/>
    <w:rsid w:val="00552165"/>
    <w:rsid w:val="005532E9"/>
    <w:rsid w:val="0055359E"/>
    <w:rsid w:val="00553C48"/>
    <w:rsid w:val="00553D70"/>
    <w:rsid w:val="00554260"/>
    <w:rsid w:val="00554363"/>
    <w:rsid w:val="005549F4"/>
    <w:rsid w:val="00554E4C"/>
    <w:rsid w:val="00557693"/>
    <w:rsid w:val="00557B0C"/>
    <w:rsid w:val="00560DA2"/>
    <w:rsid w:val="00563E04"/>
    <w:rsid w:val="005640C4"/>
    <w:rsid w:val="005661F7"/>
    <w:rsid w:val="005662A0"/>
    <w:rsid w:val="00566583"/>
    <w:rsid w:val="0056715E"/>
    <w:rsid w:val="00571621"/>
    <w:rsid w:val="00571E32"/>
    <w:rsid w:val="00572354"/>
    <w:rsid w:val="005738EB"/>
    <w:rsid w:val="0057473F"/>
    <w:rsid w:val="0057534D"/>
    <w:rsid w:val="00575CC0"/>
    <w:rsid w:val="00577733"/>
    <w:rsid w:val="00581F68"/>
    <w:rsid w:val="005827AE"/>
    <w:rsid w:val="00585E15"/>
    <w:rsid w:val="005902D1"/>
    <w:rsid w:val="005909A8"/>
    <w:rsid w:val="00590ABB"/>
    <w:rsid w:val="005917DF"/>
    <w:rsid w:val="0059196E"/>
    <w:rsid w:val="0059270C"/>
    <w:rsid w:val="0059392F"/>
    <w:rsid w:val="00593E1D"/>
    <w:rsid w:val="00594CD1"/>
    <w:rsid w:val="00595535"/>
    <w:rsid w:val="00596651"/>
    <w:rsid w:val="0059683F"/>
    <w:rsid w:val="005A1197"/>
    <w:rsid w:val="005A242F"/>
    <w:rsid w:val="005A37AC"/>
    <w:rsid w:val="005A407B"/>
    <w:rsid w:val="005A4401"/>
    <w:rsid w:val="005B3207"/>
    <w:rsid w:val="005B3405"/>
    <w:rsid w:val="005B3480"/>
    <w:rsid w:val="005B3D85"/>
    <w:rsid w:val="005B5B86"/>
    <w:rsid w:val="005B6137"/>
    <w:rsid w:val="005B65BD"/>
    <w:rsid w:val="005B7726"/>
    <w:rsid w:val="005B7FE9"/>
    <w:rsid w:val="005C059E"/>
    <w:rsid w:val="005C20EF"/>
    <w:rsid w:val="005C2888"/>
    <w:rsid w:val="005C2D34"/>
    <w:rsid w:val="005C4701"/>
    <w:rsid w:val="005C73BB"/>
    <w:rsid w:val="005C7F5B"/>
    <w:rsid w:val="005D14D7"/>
    <w:rsid w:val="005D169A"/>
    <w:rsid w:val="005D19A5"/>
    <w:rsid w:val="005D1A58"/>
    <w:rsid w:val="005D1FA1"/>
    <w:rsid w:val="005D2976"/>
    <w:rsid w:val="005D39FE"/>
    <w:rsid w:val="005D3BD3"/>
    <w:rsid w:val="005D50D7"/>
    <w:rsid w:val="005D593F"/>
    <w:rsid w:val="005D59CB"/>
    <w:rsid w:val="005D64CB"/>
    <w:rsid w:val="005E0700"/>
    <w:rsid w:val="005E197D"/>
    <w:rsid w:val="005E3C16"/>
    <w:rsid w:val="005E447A"/>
    <w:rsid w:val="005E540B"/>
    <w:rsid w:val="005E5C25"/>
    <w:rsid w:val="005E72B8"/>
    <w:rsid w:val="005E7E15"/>
    <w:rsid w:val="005F009E"/>
    <w:rsid w:val="005F094E"/>
    <w:rsid w:val="005F1385"/>
    <w:rsid w:val="005F36DF"/>
    <w:rsid w:val="005F3D8B"/>
    <w:rsid w:val="005F4327"/>
    <w:rsid w:val="005F5B07"/>
    <w:rsid w:val="005F5CB5"/>
    <w:rsid w:val="005F6DC3"/>
    <w:rsid w:val="00601D20"/>
    <w:rsid w:val="00603382"/>
    <w:rsid w:val="00603875"/>
    <w:rsid w:val="00606BDA"/>
    <w:rsid w:val="00606BE2"/>
    <w:rsid w:val="0060725E"/>
    <w:rsid w:val="00607C54"/>
    <w:rsid w:val="0061036A"/>
    <w:rsid w:val="00610370"/>
    <w:rsid w:val="00614979"/>
    <w:rsid w:val="00615516"/>
    <w:rsid w:val="00615AD5"/>
    <w:rsid w:val="00615D19"/>
    <w:rsid w:val="00617D4B"/>
    <w:rsid w:val="0062028E"/>
    <w:rsid w:val="006203DA"/>
    <w:rsid w:val="00621CC3"/>
    <w:rsid w:val="006229AC"/>
    <w:rsid w:val="00622DEC"/>
    <w:rsid w:val="00623B3A"/>
    <w:rsid w:val="0062514B"/>
    <w:rsid w:val="0062591A"/>
    <w:rsid w:val="006259CB"/>
    <w:rsid w:val="00627003"/>
    <w:rsid w:val="00627299"/>
    <w:rsid w:val="00627DF3"/>
    <w:rsid w:val="00631C8A"/>
    <w:rsid w:val="0063203B"/>
    <w:rsid w:val="00632633"/>
    <w:rsid w:val="00632732"/>
    <w:rsid w:val="0063498A"/>
    <w:rsid w:val="00635A4D"/>
    <w:rsid w:val="00636B80"/>
    <w:rsid w:val="00636BC5"/>
    <w:rsid w:val="00637929"/>
    <w:rsid w:val="00641642"/>
    <w:rsid w:val="006424B2"/>
    <w:rsid w:val="006444E1"/>
    <w:rsid w:val="0064473A"/>
    <w:rsid w:val="006460D1"/>
    <w:rsid w:val="00646A4F"/>
    <w:rsid w:val="0065017C"/>
    <w:rsid w:val="00650E17"/>
    <w:rsid w:val="0065179B"/>
    <w:rsid w:val="006517DE"/>
    <w:rsid w:val="00651EF1"/>
    <w:rsid w:val="00653216"/>
    <w:rsid w:val="006543F8"/>
    <w:rsid w:val="006550E4"/>
    <w:rsid w:val="006559E2"/>
    <w:rsid w:val="00656E63"/>
    <w:rsid w:val="006575BD"/>
    <w:rsid w:val="00657E19"/>
    <w:rsid w:val="00660DCD"/>
    <w:rsid w:val="00660ECA"/>
    <w:rsid w:val="006619BD"/>
    <w:rsid w:val="00661DFA"/>
    <w:rsid w:val="00662F17"/>
    <w:rsid w:val="00664518"/>
    <w:rsid w:val="0066565F"/>
    <w:rsid w:val="00665C87"/>
    <w:rsid w:val="00666514"/>
    <w:rsid w:val="00666A5B"/>
    <w:rsid w:val="00666E89"/>
    <w:rsid w:val="00667BCF"/>
    <w:rsid w:val="0067082D"/>
    <w:rsid w:val="00670FB2"/>
    <w:rsid w:val="0067267D"/>
    <w:rsid w:val="006734F3"/>
    <w:rsid w:val="00674A22"/>
    <w:rsid w:val="00675228"/>
    <w:rsid w:val="00675417"/>
    <w:rsid w:val="006761BE"/>
    <w:rsid w:val="00677AEF"/>
    <w:rsid w:val="00680B8A"/>
    <w:rsid w:val="00680F0E"/>
    <w:rsid w:val="006813C6"/>
    <w:rsid w:val="00682914"/>
    <w:rsid w:val="00682CDB"/>
    <w:rsid w:val="0068494D"/>
    <w:rsid w:val="00684AFB"/>
    <w:rsid w:val="006865E0"/>
    <w:rsid w:val="006916EE"/>
    <w:rsid w:val="00692001"/>
    <w:rsid w:val="006978BF"/>
    <w:rsid w:val="006A0180"/>
    <w:rsid w:val="006A0FFD"/>
    <w:rsid w:val="006A2E48"/>
    <w:rsid w:val="006A35D5"/>
    <w:rsid w:val="006A3FC8"/>
    <w:rsid w:val="006A45A4"/>
    <w:rsid w:val="006B0FAF"/>
    <w:rsid w:val="006B12D6"/>
    <w:rsid w:val="006B181E"/>
    <w:rsid w:val="006B191F"/>
    <w:rsid w:val="006B39C1"/>
    <w:rsid w:val="006B4CB9"/>
    <w:rsid w:val="006B58E1"/>
    <w:rsid w:val="006B7012"/>
    <w:rsid w:val="006C0A11"/>
    <w:rsid w:val="006C336A"/>
    <w:rsid w:val="006C49C6"/>
    <w:rsid w:val="006C4D2F"/>
    <w:rsid w:val="006C51AF"/>
    <w:rsid w:val="006C6F39"/>
    <w:rsid w:val="006C77B9"/>
    <w:rsid w:val="006C7F11"/>
    <w:rsid w:val="006D06C7"/>
    <w:rsid w:val="006D0909"/>
    <w:rsid w:val="006D0F86"/>
    <w:rsid w:val="006D1D2A"/>
    <w:rsid w:val="006D315F"/>
    <w:rsid w:val="006D3864"/>
    <w:rsid w:val="006D3B8C"/>
    <w:rsid w:val="006D3E18"/>
    <w:rsid w:val="006D4323"/>
    <w:rsid w:val="006E1D72"/>
    <w:rsid w:val="006E24DD"/>
    <w:rsid w:val="006E27BA"/>
    <w:rsid w:val="006E5B25"/>
    <w:rsid w:val="006E625A"/>
    <w:rsid w:val="006E72E7"/>
    <w:rsid w:val="006E76EC"/>
    <w:rsid w:val="006E7D3B"/>
    <w:rsid w:val="006F00F1"/>
    <w:rsid w:val="006F1381"/>
    <w:rsid w:val="006F1EED"/>
    <w:rsid w:val="006F2D02"/>
    <w:rsid w:val="006F31E0"/>
    <w:rsid w:val="006F4B23"/>
    <w:rsid w:val="006F4B7F"/>
    <w:rsid w:val="006F5CA6"/>
    <w:rsid w:val="006F6470"/>
    <w:rsid w:val="006F7FF0"/>
    <w:rsid w:val="00701557"/>
    <w:rsid w:val="00705503"/>
    <w:rsid w:val="007061C2"/>
    <w:rsid w:val="007062BC"/>
    <w:rsid w:val="0070677D"/>
    <w:rsid w:val="00707056"/>
    <w:rsid w:val="00707642"/>
    <w:rsid w:val="00707F68"/>
    <w:rsid w:val="007116EF"/>
    <w:rsid w:val="00711768"/>
    <w:rsid w:val="00711C39"/>
    <w:rsid w:val="00712F2C"/>
    <w:rsid w:val="00713501"/>
    <w:rsid w:val="00714915"/>
    <w:rsid w:val="00715042"/>
    <w:rsid w:val="007160D2"/>
    <w:rsid w:val="00716BEB"/>
    <w:rsid w:val="00716D2C"/>
    <w:rsid w:val="00717530"/>
    <w:rsid w:val="00720E8E"/>
    <w:rsid w:val="00721C8E"/>
    <w:rsid w:val="007258B8"/>
    <w:rsid w:val="007261C9"/>
    <w:rsid w:val="007265F7"/>
    <w:rsid w:val="00726C0A"/>
    <w:rsid w:val="00730EEB"/>
    <w:rsid w:val="00731F39"/>
    <w:rsid w:val="00733C4E"/>
    <w:rsid w:val="00733E5B"/>
    <w:rsid w:val="00735522"/>
    <w:rsid w:val="007361F7"/>
    <w:rsid w:val="00740337"/>
    <w:rsid w:val="007409BA"/>
    <w:rsid w:val="007413D6"/>
    <w:rsid w:val="00741E05"/>
    <w:rsid w:val="00741E0E"/>
    <w:rsid w:val="007436D9"/>
    <w:rsid w:val="0074466F"/>
    <w:rsid w:val="00745077"/>
    <w:rsid w:val="00751623"/>
    <w:rsid w:val="007544E5"/>
    <w:rsid w:val="00754597"/>
    <w:rsid w:val="00754A0B"/>
    <w:rsid w:val="0075776C"/>
    <w:rsid w:val="0075785F"/>
    <w:rsid w:val="00757F50"/>
    <w:rsid w:val="00761B64"/>
    <w:rsid w:val="00761D0C"/>
    <w:rsid w:val="00763C7A"/>
    <w:rsid w:val="007654CE"/>
    <w:rsid w:val="00765E17"/>
    <w:rsid w:val="0076734B"/>
    <w:rsid w:val="00770684"/>
    <w:rsid w:val="00770B03"/>
    <w:rsid w:val="00774159"/>
    <w:rsid w:val="00775FD8"/>
    <w:rsid w:val="007768E7"/>
    <w:rsid w:val="00776915"/>
    <w:rsid w:val="00777CDD"/>
    <w:rsid w:val="00780483"/>
    <w:rsid w:val="00783425"/>
    <w:rsid w:val="0078354C"/>
    <w:rsid w:val="00783E53"/>
    <w:rsid w:val="0078442C"/>
    <w:rsid w:val="00787298"/>
    <w:rsid w:val="00790042"/>
    <w:rsid w:val="00791296"/>
    <w:rsid w:val="007932E5"/>
    <w:rsid w:val="00795A56"/>
    <w:rsid w:val="007A07EC"/>
    <w:rsid w:val="007A2219"/>
    <w:rsid w:val="007A26DA"/>
    <w:rsid w:val="007A3202"/>
    <w:rsid w:val="007A4AEF"/>
    <w:rsid w:val="007A4E2D"/>
    <w:rsid w:val="007A527A"/>
    <w:rsid w:val="007A541C"/>
    <w:rsid w:val="007B0138"/>
    <w:rsid w:val="007B0257"/>
    <w:rsid w:val="007B0F11"/>
    <w:rsid w:val="007B434A"/>
    <w:rsid w:val="007B4444"/>
    <w:rsid w:val="007B49B3"/>
    <w:rsid w:val="007B4A88"/>
    <w:rsid w:val="007B5A65"/>
    <w:rsid w:val="007B6521"/>
    <w:rsid w:val="007C01A5"/>
    <w:rsid w:val="007C2976"/>
    <w:rsid w:val="007C46FD"/>
    <w:rsid w:val="007C6631"/>
    <w:rsid w:val="007C6DAD"/>
    <w:rsid w:val="007C7430"/>
    <w:rsid w:val="007C7FAE"/>
    <w:rsid w:val="007D0ADD"/>
    <w:rsid w:val="007D10A9"/>
    <w:rsid w:val="007D20EE"/>
    <w:rsid w:val="007D39E4"/>
    <w:rsid w:val="007D4A04"/>
    <w:rsid w:val="007D5FA6"/>
    <w:rsid w:val="007E08A2"/>
    <w:rsid w:val="007E09A2"/>
    <w:rsid w:val="007E0BE9"/>
    <w:rsid w:val="007E0EA9"/>
    <w:rsid w:val="007E18C3"/>
    <w:rsid w:val="007E1D67"/>
    <w:rsid w:val="007E2C49"/>
    <w:rsid w:val="007E3C63"/>
    <w:rsid w:val="007E3F00"/>
    <w:rsid w:val="007E4113"/>
    <w:rsid w:val="007E4AC2"/>
    <w:rsid w:val="007E4DDC"/>
    <w:rsid w:val="007E4FE7"/>
    <w:rsid w:val="007E72B5"/>
    <w:rsid w:val="007E772C"/>
    <w:rsid w:val="007E7E5F"/>
    <w:rsid w:val="007F260E"/>
    <w:rsid w:val="007F30AB"/>
    <w:rsid w:val="007F4867"/>
    <w:rsid w:val="007F6A67"/>
    <w:rsid w:val="0080096B"/>
    <w:rsid w:val="008015C6"/>
    <w:rsid w:val="00802F34"/>
    <w:rsid w:val="00803FF1"/>
    <w:rsid w:val="0081098E"/>
    <w:rsid w:val="00810E2D"/>
    <w:rsid w:val="00811744"/>
    <w:rsid w:val="00813797"/>
    <w:rsid w:val="008143C7"/>
    <w:rsid w:val="008144F4"/>
    <w:rsid w:val="00815635"/>
    <w:rsid w:val="00815AC8"/>
    <w:rsid w:val="00815B70"/>
    <w:rsid w:val="0081667E"/>
    <w:rsid w:val="00817ACC"/>
    <w:rsid w:val="0082034B"/>
    <w:rsid w:val="00820F83"/>
    <w:rsid w:val="00821E7C"/>
    <w:rsid w:val="00823136"/>
    <w:rsid w:val="008240F2"/>
    <w:rsid w:val="00824951"/>
    <w:rsid w:val="00826C6E"/>
    <w:rsid w:val="008273F3"/>
    <w:rsid w:val="0082771C"/>
    <w:rsid w:val="00831CE9"/>
    <w:rsid w:val="00832CE2"/>
    <w:rsid w:val="0083331E"/>
    <w:rsid w:val="00833EF3"/>
    <w:rsid w:val="00833F3B"/>
    <w:rsid w:val="008350AA"/>
    <w:rsid w:val="00837313"/>
    <w:rsid w:val="008400F9"/>
    <w:rsid w:val="00844BC3"/>
    <w:rsid w:val="00844F26"/>
    <w:rsid w:val="008452C7"/>
    <w:rsid w:val="0084541A"/>
    <w:rsid w:val="00845841"/>
    <w:rsid w:val="008470C0"/>
    <w:rsid w:val="0085001C"/>
    <w:rsid w:val="0085056E"/>
    <w:rsid w:val="008509AD"/>
    <w:rsid w:val="00851A6F"/>
    <w:rsid w:val="00852255"/>
    <w:rsid w:val="00852280"/>
    <w:rsid w:val="00852814"/>
    <w:rsid w:val="00854A06"/>
    <w:rsid w:val="00855DFB"/>
    <w:rsid w:val="00856804"/>
    <w:rsid w:val="008569C0"/>
    <w:rsid w:val="00857889"/>
    <w:rsid w:val="00857BC7"/>
    <w:rsid w:val="008610EC"/>
    <w:rsid w:val="008628EC"/>
    <w:rsid w:val="00870193"/>
    <w:rsid w:val="008706EB"/>
    <w:rsid w:val="0087122A"/>
    <w:rsid w:val="00871353"/>
    <w:rsid w:val="008718D8"/>
    <w:rsid w:val="00872009"/>
    <w:rsid w:val="008724B9"/>
    <w:rsid w:val="008724C4"/>
    <w:rsid w:val="00872567"/>
    <w:rsid w:val="00872ACB"/>
    <w:rsid w:val="0087542E"/>
    <w:rsid w:val="00875FFA"/>
    <w:rsid w:val="008761EA"/>
    <w:rsid w:val="0087734D"/>
    <w:rsid w:val="00882078"/>
    <w:rsid w:val="00885705"/>
    <w:rsid w:val="00886DDE"/>
    <w:rsid w:val="008877D1"/>
    <w:rsid w:val="008904EE"/>
    <w:rsid w:val="008905B3"/>
    <w:rsid w:val="00892E9C"/>
    <w:rsid w:val="00894A18"/>
    <w:rsid w:val="00897D0A"/>
    <w:rsid w:val="00897F7A"/>
    <w:rsid w:val="008A0A67"/>
    <w:rsid w:val="008A0EC3"/>
    <w:rsid w:val="008A1D75"/>
    <w:rsid w:val="008A22B5"/>
    <w:rsid w:val="008A367F"/>
    <w:rsid w:val="008A393B"/>
    <w:rsid w:val="008A4C62"/>
    <w:rsid w:val="008A4F88"/>
    <w:rsid w:val="008A5591"/>
    <w:rsid w:val="008B05C3"/>
    <w:rsid w:val="008B0C7E"/>
    <w:rsid w:val="008B10AC"/>
    <w:rsid w:val="008B11E5"/>
    <w:rsid w:val="008B12F7"/>
    <w:rsid w:val="008B25E7"/>
    <w:rsid w:val="008B6199"/>
    <w:rsid w:val="008B7961"/>
    <w:rsid w:val="008C0690"/>
    <w:rsid w:val="008C1093"/>
    <w:rsid w:val="008C11BF"/>
    <w:rsid w:val="008C204F"/>
    <w:rsid w:val="008C29BF"/>
    <w:rsid w:val="008C3EDD"/>
    <w:rsid w:val="008C5228"/>
    <w:rsid w:val="008C5377"/>
    <w:rsid w:val="008C5BE0"/>
    <w:rsid w:val="008C6258"/>
    <w:rsid w:val="008C7C41"/>
    <w:rsid w:val="008C7EDD"/>
    <w:rsid w:val="008D1DF5"/>
    <w:rsid w:val="008D2D11"/>
    <w:rsid w:val="008D337B"/>
    <w:rsid w:val="008D34A4"/>
    <w:rsid w:val="008D48D2"/>
    <w:rsid w:val="008D5C4F"/>
    <w:rsid w:val="008D63EA"/>
    <w:rsid w:val="008E10A7"/>
    <w:rsid w:val="008E36D6"/>
    <w:rsid w:val="008E570E"/>
    <w:rsid w:val="008E6707"/>
    <w:rsid w:val="008E759D"/>
    <w:rsid w:val="008E7872"/>
    <w:rsid w:val="008F00B5"/>
    <w:rsid w:val="008F1279"/>
    <w:rsid w:val="008F1479"/>
    <w:rsid w:val="008F1608"/>
    <w:rsid w:val="008F1FC2"/>
    <w:rsid w:val="008F228E"/>
    <w:rsid w:val="008F34B0"/>
    <w:rsid w:val="008F3C7C"/>
    <w:rsid w:val="008F41EB"/>
    <w:rsid w:val="008F49B9"/>
    <w:rsid w:val="008F5033"/>
    <w:rsid w:val="008F571F"/>
    <w:rsid w:val="008F6025"/>
    <w:rsid w:val="008F7429"/>
    <w:rsid w:val="009024A3"/>
    <w:rsid w:val="00903404"/>
    <w:rsid w:val="00904F3C"/>
    <w:rsid w:val="00905629"/>
    <w:rsid w:val="0090596E"/>
    <w:rsid w:val="00905EDD"/>
    <w:rsid w:val="00906651"/>
    <w:rsid w:val="00907D47"/>
    <w:rsid w:val="009100A8"/>
    <w:rsid w:val="00911117"/>
    <w:rsid w:val="009115EB"/>
    <w:rsid w:val="00912B28"/>
    <w:rsid w:val="00912E13"/>
    <w:rsid w:val="00913975"/>
    <w:rsid w:val="00913BD2"/>
    <w:rsid w:val="00913C01"/>
    <w:rsid w:val="00913D03"/>
    <w:rsid w:val="00914A86"/>
    <w:rsid w:val="009150D0"/>
    <w:rsid w:val="0091749A"/>
    <w:rsid w:val="00917EA3"/>
    <w:rsid w:val="00917FE1"/>
    <w:rsid w:val="00920444"/>
    <w:rsid w:val="00922259"/>
    <w:rsid w:val="0092345E"/>
    <w:rsid w:val="009236DE"/>
    <w:rsid w:val="00923D04"/>
    <w:rsid w:val="00924034"/>
    <w:rsid w:val="00924E00"/>
    <w:rsid w:val="0092610C"/>
    <w:rsid w:val="00926215"/>
    <w:rsid w:val="009266DA"/>
    <w:rsid w:val="0092671D"/>
    <w:rsid w:val="00926BD7"/>
    <w:rsid w:val="009271EF"/>
    <w:rsid w:val="00927C8D"/>
    <w:rsid w:val="00932514"/>
    <w:rsid w:val="0093363C"/>
    <w:rsid w:val="009344B0"/>
    <w:rsid w:val="00935129"/>
    <w:rsid w:val="00936390"/>
    <w:rsid w:val="00941007"/>
    <w:rsid w:val="0094135F"/>
    <w:rsid w:val="00941A33"/>
    <w:rsid w:val="009429AF"/>
    <w:rsid w:val="00943384"/>
    <w:rsid w:val="009435EE"/>
    <w:rsid w:val="0094488C"/>
    <w:rsid w:val="00944DDC"/>
    <w:rsid w:val="009454F6"/>
    <w:rsid w:val="009456C1"/>
    <w:rsid w:val="0094587E"/>
    <w:rsid w:val="00945A57"/>
    <w:rsid w:val="00947C99"/>
    <w:rsid w:val="00952071"/>
    <w:rsid w:val="009524F4"/>
    <w:rsid w:val="00954244"/>
    <w:rsid w:val="00954380"/>
    <w:rsid w:val="009545B2"/>
    <w:rsid w:val="00954C47"/>
    <w:rsid w:val="009560D4"/>
    <w:rsid w:val="009568C0"/>
    <w:rsid w:val="009573F5"/>
    <w:rsid w:val="00957DC0"/>
    <w:rsid w:val="00960073"/>
    <w:rsid w:val="009603FB"/>
    <w:rsid w:val="009605C3"/>
    <w:rsid w:val="00963FE8"/>
    <w:rsid w:val="0096725E"/>
    <w:rsid w:val="00967C19"/>
    <w:rsid w:val="00967D1A"/>
    <w:rsid w:val="00967FAC"/>
    <w:rsid w:val="00971371"/>
    <w:rsid w:val="00971C1D"/>
    <w:rsid w:val="0097252F"/>
    <w:rsid w:val="00973102"/>
    <w:rsid w:val="00974141"/>
    <w:rsid w:val="009747AA"/>
    <w:rsid w:val="0097640B"/>
    <w:rsid w:val="00976A6C"/>
    <w:rsid w:val="00976DCB"/>
    <w:rsid w:val="0097797A"/>
    <w:rsid w:val="00982ADC"/>
    <w:rsid w:val="00982EAA"/>
    <w:rsid w:val="009845E3"/>
    <w:rsid w:val="00985647"/>
    <w:rsid w:val="00986C4A"/>
    <w:rsid w:val="0098757A"/>
    <w:rsid w:val="00990895"/>
    <w:rsid w:val="009909B1"/>
    <w:rsid w:val="009946FC"/>
    <w:rsid w:val="00996076"/>
    <w:rsid w:val="009A14B4"/>
    <w:rsid w:val="009A203D"/>
    <w:rsid w:val="009A2084"/>
    <w:rsid w:val="009A220C"/>
    <w:rsid w:val="009A2BEA"/>
    <w:rsid w:val="009A350B"/>
    <w:rsid w:val="009A3B57"/>
    <w:rsid w:val="009A4EAD"/>
    <w:rsid w:val="009A5B99"/>
    <w:rsid w:val="009A62F0"/>
    <w:rsid w:val="009A6D8A"/>
    <w:rsid w:val="009A75FB"/>
    <w:rsid w:val="009B13E1"/>
    <w:rsid w:val="009B3BCA"/>
    <w:rsid w:val="009B3E54"/>
    <w:rsid w:val="009B4BCF"/>
    <w:rsid w:val="009B5DC9"/>
    <w:rsid w:val="009B63BA"/>
    <w:rsid w:val="009B7064"/>
    <w:rsid w:val="009B77F1"/>
    <w:rsid w:val="009C1435"/>
    <w:rsid w:val="009C27D1"/>
    <w:rsid w:val="009C2E53"/>
    <w:rsid w:val="009C41FE"/>
    <w:rsid w:val="009C7FD7"/>
    <w:rsid w:val="009D017B"/>
    <w:rsid w:val="009D0464"/>
    <w:rsid w:val="009D0C2E"/>
    <w:rsid w:val="009D17F4"/>
    <w:rsid w:val="009D44DB"/>
    <w:rsid w:val="009E0070"/>
    <w:rsid w:val="009E1100"/>
    <w:rsid w:val="009E1234"/>
    <w:rsid w:val="009E1FA2"/>
    <w:rsid w:val="009E2467"/>
    <w:rsid w:val="009E266B"/>
    <w:rsid w:val="009E2D6E"/>
    <w:rsid w:val="009E4476"/>
    <w:rsid w:val="009E7E0F"/>
    <w:rsid w:val="009F004A"/>
    <w:rsid w:val="009F15C7"/>
    <w:rsid w:val="009F2835"/>
    <w:rsid w:val="009F470C"/>
    <w:rsid w:val="009F5A3E"/>
    <w:rsid w:val="009F655F"/>
    <w:rsid w:val="009F662E"/>
    <w:rsid w:val="009F7936"/>
    <w:rsid w:val="009F799E"/>
    <w:rsid w:val="00A00CF3"/>
    <w:rsid w:val="00A01516"/>
    <w:rsid w:val="00A0166F"/>
    <w:rsid w:val="00A02E37"/>
    <w:rsid w:val="00A04210"/>
    <w:rsid w:val="00A04AB7"/>
    <w:rsid w:val="00A04F7C"/>
    <w:rsid w:val="00A053FE"/>
    <w:rsid w:val="00A063D9"/>
    <w:rsid w:val="00A066BB"/>
    <w:rsid w:val="00A068BC"/>
    <w:rsid w:val="00A07905"/>
    <w:rsid w:val="00A12915"/>
    <w:rsid w:val="00A14238"/>
    <w:rsid w:val="00A150DC"/>
    <w:rsid w:val="00A152DA"/>
    <w:rsid w:val="00A16F77"/>
    <w:rsid w:val="00A17276"/>
    <w:rsid w:val="00A176B3"/>
    <w:rsid w:val="00A17B04"/>
    <w:rsid w:val="00A20557"/>
    <w:rsid w:val="00A210C2"/>
    <w:rsid w:val="00A21EAC"/>
    <w:rsid w:val="00A24563"/>
    <w:rsid w:val="00A24E24"/>
    <w:rsid w:val="00A262F7"/>
    <w:rsid w:val="00A263D9"/>
    <w:rsid w:val="00A2689C"/>
    <w:rsid w:val="00A270A2"/>
    <w:rsid w:val="00A30290"/>
    <w:rsid w:val="00A3137B"/>
    <w:rsid w:val="00A331A3"/>
    <w:rsid w:val="00A36A32"/>
    <w:rsid w:val="00A37CD3"/>
    <w:rsid w:val="00A41199"/>
    <w:rsid w:val="00A43692"/>
    <w:rsid w:val="00A437D3"/>
    <w:rsid w:val="00A44072"/>
    <w:rsid w:val="00A4727F"/>
    <w:rsid w:val="00A47542"/>
    <w:rsid w:val="00A50E4E"/>
    <w:rsid w:val="00A51BE0"/>
    <w:rsid w:val="00A53456"/>
    <w:rsid w:val="00A554A0"/>
    <w:rsid w:val="00A55C05"/>
    <w:rsid w:val="00A56C9F"/>
    <w:rsid w:val="00A65767"/>
    <w:rsid w:val="00A66377"/>
    <w:rsid w:val="00A70C92"/>
    <w:rsid w:val="00A71225"/>
    <w:rsid w:val="00A71A3D"/>
    <w:rsid w:val="00A72590"/>
    <w:rsid w:val="00A750AD"/>
    <w:rsid w:val="00A755AF"/>
    <w:rsid w:val="00A75899"/>
    <w:rsid w:val="00A76CCE"/>
    <w:rsid w:val="00A76DDE"/>
    <w:rsid w:val="00A7746F"/>
    <w:rsid w:val="00A813D1"/>
    <w:rsid w:val="00A81454"/>
    <w:rsid w:val="00A8159F"/>
    <w:rsid w:val="00A82813"/>
    <w:rsid w:val="00A8314D"/>
    <w:rsid w:val="00A84E20"/>
    <w:rsid w:val="00A85938"/>
    <w:rsid w:val="00A8621A"/>
    <w:rsid w:val="00A8723F"/>
    <w:rsid w:val="00A87C18"/>
    <w:rsid w:val="00A93007"/>
    <w:rsid w:val="00A9301B"/>
    <w:rsid w:val="00A94326"/>
    <w:rsid w:val="00A947A7"/>
    <w:rsid w:val="00A95689"/>
    <w:rsid w:val="00A9574A"/>
    <w:rsid w:val="00A95F8D"/>
    <w:rsid w:val="00A96308"/>
    <w:rsid w:val="00A97135"/>
    <w:rsid w:val="00A97EFA"/>
    <w:rsid w:val="00AA16D9"/>
    <w:rsid w:val="00AA1FC0"/>
    <w:rsid w:val="00AA24C2"/>
    <w:rsid w:val="00AA2D5D"/>
    <w:rsid w:val="00AA32EE"/>
    <w:rsid w:val="00AA3934"/>
    <w:rsid w:val="00AA4A99"/>
    <w:rsid w:val="00AA5483"/>
    <w:rsid w:val="00AA61C7"/>
    <w:rsid w:val="00AA67D3"/>
    <w:rsid w:val="00AA68FB"/>
    <w:rsid w:val="00AA7924"/>
    <w:rsid w:val="00AA796C"/>
    <w:rsid w:val="00AB25A1"/>
    <w:rsid w:val="00AB5F6C"/>
    <w:rsid w:val="00AC0018"/>
    <w:rsid w:val="00AC0DDC"/>
    <w:rsid w:val="00AC2D6F"/>
    <w:rsid w:val="00AC4C8A"/>
    <w:rsid w:val="00AC4E47"/>
    <w:rsid w:val="00AC5AB7"/>
    <w:rsid w:val="00AC5EF8"/>
    <w:rsid w:val="00AC656F"/>
    <w:rsid w:val="00AC767D"/>
    <w:rsid w:val="00AD0EE5"/>
    <w:rsid w:val="00AD1454"/>
    <w:rsid w:val="00AD230C"/>
    <w:rsid w:val="00AD24E3"/>
    <w:rsid w:val="00AD256A"/>
    <w:rsid w:val="00AD3790"/>
    <w:rsid w:val="00AD3C1E"/>
    <w:rsid w:val="00AD3F60"/>
    <w:rsid w:val="00AD54AB"/>
    <w:rsid w:val="00AD5974"/>
    <w:rsid w:val="00AD6518"/>
    <w:rsid w:val="00AD74CB"/>
    <w:rsid w:val="00AE1FF6"/>
    <w:rsid w:val="00AE2A5A"/>
    <w:rsid w:val="00AE3183"/>
    <w:rsid w:val="00AE4952"/>
    <w:rsid w:val="00AE680F"/>
    <w:rsid w:val="00AF04F2"/>
    <w:rsid w:val="00AF1FE9"/>
    <w:rsid w:val="00AF23B3"/>
    <w:rsid w:val="00AF23D7"/>
    <w:rsid w:val="00AF287F"/>
    <w:rsid w:val="00AF2C97"/>
    <w:rsid w:val="00AF2E9F"/>
    <w:rsid w:val="00AF4543"/>
    <w:rsid w:val="00AF51AE"/>
    <w:rsid w:val="00AF721B"/>
    <w:rsid w:val="00B0122C"/>
    <w:rsid w:val="00B01C54"/>
    <w:rsid w:val="00B02DA8"/>
    <w:rsid w:val="00B02ED2"/>
    <w:rsid w:val="00B06669"/>
    <w:rsid w:val="00B07E35"/>
    <w:rsid w:val="00B1213A"/>
    <w:rsid w:val="00B12622"/>
    <w:rsid w:val="00B12F62"/>
    <w:rsid w:val="00B132EF"/>
    <w:rsid w:val="00B13D15"/>
    <w:rsid w:val="00B1408F"/>
    <w:rsid w:val="00B15079"/>
    <w:rsid w:val="00B151BE"/>
    <w:rsid w:val="00B15354"/>
    <w:rsid w:val="00B21A7B"/>
    <w:rsid w:val="00B22544"/>
    <w:rsid w:val="00B227C1"/>
    <w:rsid w:val="00B2587D"/>
    <w:rsid w:val="00B26CC6"/>
    <w:rsid w:val="00B27B2A"/>
    <w:rsid w:val="00B31488"/>
    <w:rsid w:val="00B32DB3"/>
    <w:rsid w:val="00B3505D"/>
    <w:rsid w:val="00B36C82"/>
    <w:rsid w:val="00B37563"/>
    <w:rsid w:val="00B40A93"/>
    <w:rsid w:val="00B40B0F"/>
    <w:rsid w:val="00B41038"/>
    <w:rsid w:val="00B4210D"/>
    <w:rsid w:val="00B42936"/>
    <w:rsid w:val="00B42A8D"/>
    <w:rsid w:val="00B43C0C"/>
    <w:rsid w:val="00B44B5E"/>
    <w:rsid w:val="00B5055D"/>
    <w:rsid w:val="00B52C74"/>
    <w:rsid w:val="00B5447A"/>
    <w:rsid w:val="00B55E51"/>
    <w:rsid w:val="00B60CF9"/>
    <w:rsid w:val="00B60D64"/>
    <w:rsid w:val="00B61016"/>
    <w:rsid w:val="00B61D18"/>
    <w:rsid w:val="00B6288D"/>
    <w:rsid w:val="00B629E8"/>
    <w:rsid w:val="00B6381C"/>
    <w:rsid w:val="00B63D9F"/>
    <w:rsid w:val="00B65DB4"/>
    <w:rsid w:val="00B66F80"/>
    <w:rsid w:val="00B70599"/>
    <w:rsid w:val="00B71B30"/>
    <w:rsid w:val="00B734E3"/>
    <w:rsid w:val="00B73AD2"/>
    <w:rsid w:val="00B73F2D"/>
    <w:rsid w:val="00B74245"/>
    <w:rsid w:val="00B745DD"/>
    <w:rsid w:val="00B74C8C"/>
    <w:rsid w:val="00B7537E"/>
    <w:rsid w:val="00B76874"/>
    <w:rsid w:val="00B77015"/>
    <w:rsid w:val="00B80B36"/>
    <w:rsid w:val="00B81547"/>
    <w:rsid w:val="00B82BF3"/>
    <w:rsid w:val="00B83361"/>
    <w:rsid w:val="00B85A3D"/>
    <w:rsid w:val="00B868DC"/>
    <w:rsid w:val="00B90B6F"/>
    <w:rsid w:val="00B912A9"/>
    <w:rsid w:val="00B916FA"/>
    <w:rsid w:val="00B9434C"/>
    <w:rsid w:val="00B94C75"/>
    <w:rsid w:val="00B9515A"/>
    <w:rsid w:val="00B97084"/>
    <w:rsid w:val="00B970B8"/>
    <w:rsid w:val="00BA0175"/>
    <w:rsid w:val="00BA052E"/>
    <w:rsid w:val="00BA08E9"/>
    <w:rsid w:val="00BA10A0"/>
    <w:rsid w:val="00BA10D1"/>
    <w:rsid w:val="00BA18ED"/>
    <w:rsid w:val="00BA2239"/>
    <w:rsid w:val="00BA2A10"/>
    <w:rsid w:val="00BA327A"/>
    <w:rsid w:val="00BA3955"/>
    <w:rsid w:val="00BA4B76"/>
    <w:rsid w:val="00BA5028"/>
    <w:rsid w:val="00BA705D"/>
    <w:rsid w:val="00BB0AE2"/>
    <w:rsid w:val="00BB104F"/>
    <w:rsid w:val="00BB144D"/>
    <w:rsid w:val="00BB314F"/>
    <w:rsid w:val="00BB504A"/>
    <w:rsid w:val="00BB6311"/>
    <w:rsid w:val="00BB6683"/>
    <w:rsid w:val="00BC0E43"/>
    <w:rsid w:val="00BC0EEC"/>
    <w:rsid w:val="00BC2CB5"/>
    <w:rsid w:val="00BC34F1"/>
    <w:rsid w:val="00BC43C6"/>
    <w:rsid w:val="00BC527D"/>
    <w:rsid w:val="00BC6E25"/>
    <w:rsid w:val="00BC6F63"/>
    <w:rsid w:val="00BC74FF"/>
    <w:rsid w:val="00BD0C92"/>
    <w:rsid w:val="00BD1D29"/>
    <w:rsid w:val="00BD244B"/>
    <w:rsid w:val="00BD3729"/>
    <w:rsid w:val="00BD3A9B"/>
    <w:rsid w:val="00BD40DA"/>
    <w:rsid w:val="00BD62AD"/>
    <w:rsid w:val="00BD6923"/>
    <w:rsid w:val="00BD78D7"/>
    <w:rsid w:val="00BE1297"/>
    <w:rsid w:val="00BE3DBA"/>
    <w:rsid w:val="00BE4446"/>
    <w:rsid w:val="00BE5CB9"/>
    <w:rsid w:val="00BE6690"/>
    <w:rsid w:val="00BE6B03"/>
    <w:rsid w:val="00BE6D53"/>
    <w:rsid w:val="00BF01C1"/>
    <w:rsid w:val="00BF1290"/>
    <w:rsid w:val="00BF14AF"/>
    <w:rsid w:val="00BF21B2"/>
    <w:rsid w:val="00BF2BC1"/>
    <w:rsid w:val="00BF5566"/>
    <w:rsid w:val="00BF683F"/>
    <w:rsid w:val="00BF78AE"/>
    <w:rsid w:val="00C0030E"/>
    <w:rsid w:val="00C01529"/>
    <w:rsid w:val="00C0319D"/>
    <w:rsid w:val="00C03C57"/>
    <w:rsid w:val="00C04211"/>
    <w:rsid w:val="00C04795"/>
    <w:rsid w:val="00C0565D"/>
    <w:rsid w:val="00C06A94"/>
    <w:rsid w:val="00C06E68"/>
    <w:rsid w:val="00C10F53"/>
    <w:rsid w:val="00C11F35"/>
    <w:rsid w:val="00C128B9"/>
    <w:rsid w:val="00C1479E"/>
    <w:rsid w:val="00C150F9"/>
    <w:rsid w:val="00C1621E"/>
    <w:rsid w:val="00C16286"/>
    <w:rsid w:val="00C167B8"/>
    <w:rsid w:val="00C17006"/>
    <w:rsid w:val="00C20060"/>
    <w:rsid w:val="00C20095"/>
    <w:rsid w:val="00C20462"/>
    <w:rsid w:val="00C20D9F"/>
    <w:rsid w:val="00C21864"/>
    <w:rsid w:val="00C21C9F"/>
    <w:rsid w:val="00C22521"/>
    <w:rsid w:val="00C26F66"/>
    <w:rsid w:val="00C317B9"/>
    <w:rsid w:val="00C329B0"/>
    <w:rsid w:val="00C32AE4"/>
    <w:rsid w:val="00C33B6D"/>
    <w:rsid w:val="00C34545"/>
    <w:rsid w:val="00C35339"/>
    <w:rsid w:val="00C3544F"/>
    <w:rsid w:val="00C35941"/>
    <w:rsid w:val="00C35AE6"/>
    <w:rsid w:val="00C35D82"/>
    <w:rsid w:val="00C36014"/>
    <w:rsid w:val="00C366ED"/>
    <w:rsid w:val="00C4412C"/>
    <w:rsid w:val="00C441FA"/>
    <w:rsid w:val="00C4437D"/>
    <w:rsid w:val="00C444B7"/>
    <w:rsid w:val="00C444C9"/>
    <w:rsid w:val="00C46EAA"/>
    <w:rsid w:val="00C528F8"/>
    <w:rsid w:val="00C537D2"/>
    <w:rsid w:val="00C53941"/>
    <w:rsid w:val="00C53DA1"/>
    <w:rsid w:val="00C547D3"/>
    <w:rsid w:val="00C54A3A"/>
    <w:rsid w:val="00C5607F"/>
    <w:rsid w:val="00C56550"/>
    <w:rsid w:val="00C565CD"/>
    <w:rsid w:val="00C57925"/>
    <w:rsid w:val="00C6040A"/>
    <w:rsid w:val="00C608F0"/>
    <w:rsid w:val="00C6461A"/>
    <w:rsid w:val="00C64643"/>
    <w:rsid w:val="00C64A68"/>
    <w:rsid w:val="00C70897"/>
    <w:rsid w:val="00C71266"/>
    <w:rsid w:val="00C72145"/>
    <w:rsid w:val="00C742F6"/>
    <w:rsid w:val="00C74ADB"/>
    <w:rsid w:val="00C77115"/>
    <w:rsid w:val="00C80B87"/>
    <w:rsid w:val="00C82961"/>
    <w:rsid w:val="00C829B6"/>
    <w:rsid w:val="00C82A07"/>
    <w:rsid w:val="00C846D4"/>
    <w:rsid w:val="00C847DF"/>
    <w:rsid w:val="00C84847"/>
    <w:rsid w:val="00C849A4"/>
    <w:rsid w:val="00C85C98"/>
    <w:rsid w:val="00C90FB1"/>
    <w:rsid w:val="00C91D00"/>
    <w:rsid w:val="00C932DA"/>
    <w:rsid w:val="00C945F2"/>
    <w:rsid w:val="00C947F6"/>
    <w:rsid w:val="00C9510F"/>
    <w:rsid w:val="00C96335"/>
    <w:rsid w:val="00C96CFA"/>
    <w:rsid w:val="00C97CC2"/>
    <w:rsid w:val="00CA04FF"/>
    <w:rsid w:val="00CA0BED"/>
    <w:rsid w:val="00CA147B"/>
    <w:rsid w:val="00CA4D6C"/>
    <w:rsid w:val="00CA683D"/>
    <w:rsid w:val="00CB0F70"/>
    <w:rsid w:val="00CB19DB"/>
    <w:rsid w:val="00CB3EA8"/>
    <w:rsid w:val="00CB51D6"/>
    <w:rsid w:val="00CB5F8D"/>
    <w:rsid w:val="00CB64C8"/>
    <w:rsid w:val="00CB6B82"/>
    <w:rsid w:val="00CB6EE6"/>
    <w:rsid w:val="00CB72E9"/>
    <w:rsid w:val="00CB75DE"/>
    <w:rsid w:val="00CC0338"/>
    <w:rsid w:val="00CC211B"/>
    <w:rsid w:val="00CC2CED"/>
    <w:rsid w:val="00CC3CCD"/>
    <w:rsid w:val="00CC4ED1"/>
    <w:rsid w:val="00CC5A9A"/>
    <w:rsid w:val="00CC602D"/>
    <w:rsid w:val="00CD062D"/>
    <w:rsid w:val="00CD0D85"/>
    <w:rsid w:val="00CD1228"/>
    <w:rsid w:val="00CD1268"/>
    <w:rsid w:val="00CD4519"/>
    <w:rsid w:val="00CD4AA4"/>
    <w:rsid w:val="00CD4EE8"/>
    <w:rsid w:val="00CD611A"/>
    <w:rsid w:val="00CE0513"/>
    <w:rsid w:val="00CE0E9D"/>
    <w:rsid w:val="00CE1B66"/>
    <w:rsid w:val="00CE1E90"/>
    <w:rsid w:val="00CE448D"/>
    <w:rsid w:val="00CE44CB"/>
    <w:rsid w:val="00CE6050"/>
    <w:rsid w:val="00CE61B9"/>
    <w:rsid w:val="00CE72C9"/>
    <w:rsid w:val="00CE73B6"/>
    <w:rsid w:val="00CF078B"/>
    <w:rsid w:val="00CF1977"/>
    <w:rsid w:val="00CF2F4A"/>
    <w:rsid w:val="00CF3B04"/>
    <w:rsid w:val="00CF7DB4"/>
    <w:rsid w:val="00D002E5"/>
    <w:rsid w:val="00D005E2"/>
    <w:rsid w:val="00D01058"/>
    <w:rsid w:val="00D016A3"/>
    <w:rsid w:val="00D01B00"/>
    <w:rsid w:val="00D01CBA"/>
    <w:rsid w:val="00D040D2"/>
    <w:rsid w:val="00D05B4F"/>
    <w:rsid w:val="00D073CD"/>
    <w:rsid w:val="00D10C50"/>
    <w:rsid w:val="00D113D9"/>
    <w:rsid w:val="00D12EED"/>
    <w:rsid w:val="00D12F99"/>
    <w:rsid w:val="00D15FCC"/>
    <w:rsid w:val="00D16C75"/>
    <w:rsid w:val="00D16C9F"/>
    <w:rsid w:val="00D204FA"/>
    <w:rsid w:val="00D2121C"/>
    <w:rsid w:val="00D21C4F"/>
    <w:rsid w:val="00D21ED8"/>
    <w:rsid w:val="00D22906"/>
    <w:rsid w:val="00D22DC2"/>
    <w:rsid w:val="00D23FD3"/>
    <w:rsid w:val="00D2409E"/>
    <w:rsid w:val="00D2437D"/>
    <w:rsid w:val="00D24419"/>
    <w:rsid w:val="00D26D57"/>
    <w:rsid w:val="00D27230"/>
    <w:rsid w:val="00D273E3"/>
    <w:rsid w:val="00D27CC4"/>
    <w:rsid w:val="00D31AFB"/>
    <w:rsid w:val="00D31D5A"/>
    <w:rsid w:val="00D32DF5"/>
    <w:rsid w:val="00D34CEB"/>
    <w:rsid w:val="00D35851"/>
    <w:rsid w:val="00D3735F"/>
    <w:rsid w:val="00D41E76"/>
    <w:rsid w:val="00D42F5B"/>
    <w:rsid w:val="00D43650"/>
    <w:rsid w:val="00D46FB3"/>
    <w:rsid w:val="00D5082E"/>
    <w:rsid w:val="00D533DC"/>
    <w:rsid w:val="00D53805"/>
    <w:rsid w:val="00D53930"/>
    <w:rsid w:val="00D53A4E"/>
    <w:rsid w:val="00D53B5D"/>
    <w:rsid w:val="00D53BCB"/>
    <w:rsid w:val="00D5467A"/>
    <w:rsid w:val="00D564E2"/>
    <w:rsid w:val="00D57333"/>
    <w:rsid w:val="00D57A59"/>
    <w:rsid w:val="00D63802"/>
    <w:rsid w:val="00D63CD0"/>
    <w:rsid w:val="00D64143"/>
    <w:rsid w:val="00D66A22"/>
    <w:rsid w:val="00D673B5"/>
    <w:rsid w:val="00D70C61"/>
    <w:rsid w:val="00D73414"/>
    <w:rsid w:val="00D73F69"/>
    <w:rsid w:val="00D74ED5"/>
    <w:rsid w:val="00D763F9"/>
    <w:rsid w:val="00D76A0F"/>
    <w:rsid w:val="00D779C4"/>
    <w:rsid w:val="00D81A3C"/>
    <w:rsid w:val="00D82A73"/>
    <w:rsid w:val="00D82F88"/>
    <w:rsid w:val="00D831A0"/>
    <w:rsid w:val="00D8494F"/>
    <w:rsid w:val="00D854B7"/>
    <w:rsid w:val="00D859A8"/>
    <w:rsid w:val="00D85FDB"/>
    <w:rsid w:val="00D879E4"/>
    <w:rsid w:val="00D906F7"/>
    <w:rsid w:val="00D9160D"/>
    <w:rsid w:val="00D93E3A"/>
    <w:rsid w:val="00D94541"/>
    <w:rsid w:val="00D9497F"/>
    <w:rsid w:val="00D9646F"/>
    <w:rsid w:val="00D96997"/>
    <w:rsid w:val="00D96BB4"/>
    <w:rsid w:val="00D972A9"/>
    <w:rsid w:val="00D97C69"/>
    <w:rsid w:val="00DA10DF"/>
    <w:rsid w:val="00DA1816"/>
    <w:rsid w:val="00DA28B1"/>
    <w:rsid w:val="00DA3A7A"/>
    <w:rsid w:val="00DA4C65"/>
    <w:rsid w:val="00DA6DEE"/>
    <w:rsid w:val="00DA76B5"/>
    <w:rsid w:val="00DB08BA"/>
    <w:rsid w:val="00DB190A"/>
    <w:rsid w:val="00DB2856"/>
    <w:rsid w:val="00DB515E"/>
    <w:rsid w:val="00DB672D"/>
    <w:rsid w:val="00DB704D"/>
    <w:rsid w:val="00DB72B5"/>
    <w:rsid w:val="00DB7AC0"/>
    <w:rsid w:val="00DC0718"/>
    <w:rsid w:val="00DC14ED"/>
    <w:rsid w:val="00DC1E16"/>
    <w:rsid w:val="00DC2075"/>
    <w:rsid w:val="00DC3D7B"/>
    <w:rsid w:val="00DC3E98"/>
    <w:rsid w:val="00DC45C6"/>
    <w:rsid w:val="00DC4E27"/>
    <w:rsid w:val="00DC4E5F"/>
    <w:rsid w:val="00DC501E"/>
    <w:rsid w:val="00DC6860"/>
    <w:rsid w:val="00DC7424"/>
    <w:rsid w:val="00DD0690"/>
    <w:rsid w:val="00DD21B5"/>
    <w:rsid w:val="00DD35B9"/>
    <w:rsid w:val="00DD47C8"/>
    <w:rsid w:val="00DD5BC9"/>
    <w:rsid w:val="00DE061D"/>
    <w:rsid w:val="00DE4F1F"/>
    <w:rsid w:val="00DE62AC"/>
    <w:rsid w:val="00DE6575"/>
    <w:rsid w:val="00DF1018"/>
    <w:rsid w:val="00DF2AA8"/>
    <w:rsid w:val="00DF2DD6"/>
    <w:rsid w:val="00DF3931"/>
    <w:rsid w:val="00DF440D"/>
    <w:rsid w:val="00DF5427"/>
    <w:rsid w:val="00DF62CF"/>
    <w:rsid w:val="00DF6B60"/>
    <w:rsid w:val="00DF712E"/>
    <w:rsid w:val="00DF7BAD"/>
    <w:rsid w:val="00E00D25"/>
    <w:rsid w:val="00E025AC"/>
    <w:rsid w:val="00E03722"/>
    <w:rsid w:val="00E03A37"/>
    <w:rsid w:val="00E05A6A"/>
    <w:rsid w:val="00E0663E"/>
    <w:rsid w:val="00E0748C"/>
    <w:rsid w:val="00E07718"/>
    <w:rsid w:val="00E101D1"/>
    <w:rsid w:val="00E102C1"/>
    <w:rsid w:val="00E10676"/>
    <w:rsid w:val="00E10C00"/>
    <w:rsid w:val="00E113AB"/>
    <w:rsid w:val="00E11F46"/>
    <w:rsid w:val="00E15393"/>
    <w:rsid w:val="00E15B62"/>
    <w:rsid w:val="00E16A2F"/>
    <w:rsid w:val="00E20DC1"/>
    <w:rsid w:val="00E218E2"/>
    <w:rsid w:val="00E22081"/>
    <w:rsid w:val="00E225A4"/>
    <w:rsid w:val="00E23AE0"/>
    <w:rsid w:val="00E23BBC"/>
    <w:rsid w:val="00E24A34"/>
    <w:rsid w:val="00E26A46"/>
    <w:rsid w:val="00E27029"/>
    <w:rsid w:val="00E27315"/>
    <w:rsid w:val="00E2775D"/>
    <w:rsid w:val="00E32F39"/>
    <w:rsid w:val="00E3457E"/>
    <w:rsid w:val="00E3463A"/>
    <w:rsid w:val="00E34F14"/>
    <w:rsid w:val="00E35CB3"/>
    <w:rsid w:val="00E36BEA"/>
    <w:rsid w:val="00E379CB"/>
    <w:rsid w:val="00E37BB3"/>
    <w:rsid w:val="00E40703"/>
    <w:rsid w:val="00E409E8"/>
    <w:rsid w:val="00E40C5D"/>
    <w:rsid w:val="00E41303"/>
    <w:rsid w:val="00E419E4"/>
    <w:rsid w:val="00E420CB"/>
    <w:rsid w:val="00E422C6"/>
    <w:rsid w:val="00E435E7"/>
    <w:rsid w:val="00E43DC9"/>
    <w:rsid w:val="00E442FA"/>
    <w:rsid w:val="00E447D0"/>
    <w:rsid w:val="00E45F47"/>
    <w:rsid w:val="00E46FD6"/>
    <w:rsid w:val="00E475DA"/>
    <w:rsid w:val="00E47D54"/>
    <w:rsid w:val="00E50B43"/>
    <w:rsid w:val="00E5175A"/>
    <w:rsid w:val="00E52797"/>
    <w:rsid w:val="00E535CC"/>
    <w:rsid w:val="00E55EBD"/>
    <w:rsid w:val="00E55F57"/>
    <w:rsid w:val="00E5618A"/>
    <w:rsid w:val="00E57A7E"/>
    <w:rsid w:val="00E60F71"/>
    <w:rsid w:val="00E61AAA"/>
    <w:rsid w:val="00E61FEB"/>
    <w:rsid w:val="00E6263E"/>
    <w:rsid w:val="00E63CDC"/>
    <w:rsid w:val="00E63E94"/>
    <w:rsid w:val="00E64F10"/>
    <w:rsid w:val="00E667F6"/>
    <w:rsid w:val="00E715B5"/>
    <w:rsid w:val="00E72C9B"/>
    <w:rsid w:val="00E733F5"/>
    <w:rsid w:val="00E73F5D"/>
    <w:rsid w:val="00E74397"/>
    <w:rsid w:val="00E7478C"/>
    <w:rsid w:val="00E74D04"/>
    <w:rsid w:val="00E755DD"/>
    <w:rsid w:val="00E76376"/>
    <w:rsid w:val="00E77D8F"/>
    <w:rsid w:val="00E80394"/>
    <w:rsid w:val="00E80811"/>
    <w:rsid w:val="00E82145"/>
    <w:rsid w:val="00E83727"/>
    <w:rsid w:val="00E83C7A"/>
    <w:rsid w:val="00E84EC5"/>
    <w:rsid w:val="00E902B2"/>
    <w:rsid w:val="00E9076F"/>
    <w:rsid w:val="00E90A9D"/>
    <w:rsid w:val="00E9287B"/>
    <w:rsid w:val="00E92A0E"/>
    <w:rsid w:val="00E92E9F"/>
    <w:rsid w:val="00E93060"/>
    <w:rsid w:val="00E93631"/>
    <w:rsid w:val="00E9427F"/>
    <w:rsid w:val="00E950C9"/>
    <w:rsid w:val="00E95CBD"/>
    <w:rsid w:val="00E964F5"/>
    <w:rsid w:val="00E96BCB"/>
    <w:rsid w:val="00E97169"/>
    <w:rsid w:val="00EA0F11"/>
    <w:rsid w:val="00EA1749"/>
    <w:rsid w:val="00EA2150"/>
    <w:rsid w:val="00EA2F56"/>
    <w:rsid w:val="00EA3F78"/>
    <w:rsid w:val="00EA72A2"/>
    <w:rsid w:val="00EA7688"/>
    <w:rsid w:val="00EB0B85"/>
    <w:rsid w:val="00EB1D04"/>
    <w:rsid w:val="00EB2E65"/>
    <w:rsid w:val="00EB6C41"/>
    <w:rsid w:val="00EC03B4"/>
    <w:rsid w:val="00EC1B12"/>
    <w:rsid w:val="00EC53BB"/>
    <w:rsid w:val="00EC56C2"/>
    <w:rsid w:val="00EC6ACC"/>
    <w:rsid w:val="00EC7708"/>
    <w:rsid w:val="00ED2072"/>
    <w:rsid w:val="00ED26A1"/>
    <w:rsid w:val="00ED40F7"/>
    <w:rsid w:val="00ED43F4"/>
    <w:rsid w:val="00ED6074"/>
    <w:rsid w:val="00ED75D1"/>
    <w:rsid w:val="00EE00CC"/>
    <w:rsid w:val="00EE1DC5"/>
    <w:rsid w:val="00EE2657"/>
    <w:rsid w:val="00EE2DBC"/>
    <w:rsid w:val="00EE3335"/>
    <w:rsid w:val="00EE3FC9"/>
    <w:rsid w:val="00EE4259"/>
    <w:rsid w:val="00EE4E62"/>
    <w:rsid w:val="00EF09F3"/>
    <w:rsid w:val="00EF0B33"/>
    <w:rsid w:val="00EF17B4"/>
    <w:rsid w:val="00EF1C09"/>
    <w:rsid w:val="00EF30C3"/>
    <w:rsid w:val="00EF3CA8"/>
    <w:rsid w:val="00EF42AA"/>
    <w:rsid w:val="00EF5C62"/>
    <w:rsid w:val="00F0086B"/>
    <w:rsid w:val="00F00FD7"/>
    <w:rsid w:val="00F011B7"/>
    <w:rsid w:val="00F05277"/>
    <w:rsid w:val="00F07112"/>
    <w:rsid w:val="00F07707"/>
    <w:rsid w:val="00F07F33"/>
    <w:rsid w:val="00F07F88"/>
    <w:rsid w:val="00F111C8"/>
    <w:rsid w:val="00F11C34"/>
    <w:rsid w:val="00F14406"/>
    <w:rsid w:val="00F14B1F"/>
    <w:rsid w:val="00F14C30"/>
    <w:rsid w:val="00F151E8"/>
    <w:rsid w:val="00F15D9F"/>
    <w:rsid w:val="00F161FF"/>
    <w:rsid w:val="00F16570"/>
    <w:rsid w:val="00F16581"/>
    <w:rsid w:val="00F2182F"/>
    <w:rsid w:val="00F235CC"/>
    <w:rsid w:val="00F2370C"/>
    <w:rsid w:val="00F23EE3"/>
    <w:rsid w:val="00F24207"/>
    <w:rsid w:val="00F242A1"/>
    <w:rsid w:val="00F251F7"/>
    <w:rsid w:val="00F25D43"/>
    <w:rsid w:val="00F2601D"/>
    <w:rsid w:val="00F277F1"/>
    <w:rsid w:val="00F30A66"/>
    <w:rsid w:val="00F3112A"/>
    <w:rsid w:val="00F31A0D"/>
    <w:rsid w:val="00F33B62"/>
    <w:rsid w:val="00F35AD3"/>
    <w:rsid w:val="00F374A0"/>
    <w:rsid w:val="00F401F2"/>
    <w:rsid w:val="00F40FF0"/>
    <w:rsid w:val="00F41A34"/>
    <w:rsid w:val="00F41B43"/>
    <w:rsid w:val="00F42693"/>
    <w:rsid w:val="00F42BC3"/>
    <w:rsid w:val="00F42CFD"/>
    <w:rsid w:val="00F43FC1"/>
    <w:rsid w:val="00F454EC"/>
    <w:rsid w:val="00F46E62"/>
    <w:rsid w:val="00F47112"/>
    <w:rsid w:val="00F521E0"/>
    <w:rsid w:val="00F5308E"/>
    <w:rsid w:val="00F53526"/>
    <w:rsid w:val="00F53C32"/>
    <w:rsid w:val="00F5425F"/>
    <w:rsid w:val="00F551EC"/>
    <w:rsid w:val="00F5572B"/>
    <w:rsid w:val="00F562E3"/>
    <w:rsid w:val="00F56CAE"/>
    <w:rsid w:val="00F57346"/>
    <w:rsid w:val="00F64E7B"/>
    <w:rsid w:val="00F657EA"/>
    <w:rsid w:val="00F65C08"/>
    <w:rsid w:val="00F67843"/>
    <w:rsid w:val="00F70F3C"/>
    <w:rsid w:val="00F7147B"/>
    <w:rsid w:val="00F73510"/>
    <w:rsid w:val="00F74C56"/>
    <w:rsid w:val="00F76BD8"/>
    <w:rsid w:val="00F76FA9"/>
    <w:rsid w:val="00F777B3"/>
    <w:rsid w:val="00F8065E"/>
    <w:rsid w:val="00F81784"/>
    <w:rsid w:val="00F81928"/>
    <w:rsid w:val="00F82540"/>
    <w:rsid w:val="00F867E4"/>
    <w:rsid w:val="00F868FD"/>
    <w:rsid w:val="00F91BB1"/>
    <w:rsid w:val="00F9255D"/>
    <w:rsid w:val="00F93667"/>
    <w:rsid w:val="00F95692"/>
    <w:rsid w:val="00F96FC4"/>
    <w:rsid w:val="00F9778D"/>
    <w:rsid w:val="00FA08CF"/>
    <w:rsid w:val="00FA0A02"/>
    <w:rsid w:val="00FA0F80"/>
    <w:rsid w:val="00FA10AE"/>
    <w:rsid w:val="00FA17A3"/>
    <w:rsid w:val="00FA1D81"/>
    <w:rsid w:val="00FA2B39"/>
    <w:rsid w:val="00FA30CC"/>
    <w:rsid w:val="00FA52B5"/>
    <w:rsid w:val="00FA53E4"/>
    <w:rsid w:val="00FA7182"/>
    <w:rsid w:val="00FA72C2"/>
    <w:rsid w:val="00FA786A"/>
    <w:rsid w:val="00FB09CA"/>
    <w:rsid w:val="00FB35D3"/>
    <w:rsid w:val="00FB4180"/>
    <w:rsid w:val="00FB768E"/>
    <w:rsid w:val="00FC00D5"/>
    <w:rsid w:val="00FC0116"/>
    <w:rsid w:val="00FC1B48"/>
    <w:rsid w:val="00FC5C0B"/>
    <w:rsid w:val="00FC6041"/>
    <w:rsid w:val="00FC6D0A"/>
    <w:rsid w:val="00FC73C2"/>
    <w:rsid w:val="00FD0F67"/>
    <w:rsid w:val="00FD1D07"/>
    <w:rsid w:val="00FD1DDE"/>
    <w:rsid w:val="00FD26BA"/>
    <w:rsid w:val="00FD3393"/>
    <w:rsid w:val="00FD3C8B"/>
    <w:rsid w:val="00FD4A04"/>
    <w:rsid w:val="00FD75C2"/>
    <w:rsid w:val="00FD7E45"/>
    <w:rsid w:val="00FE0988"/>
    <w:rsid w:val="00FE1D61"/>
    <w:rsid w:val="00FE245C"/>
    <w:rsid w:val="00FE33A1"/>
    <w:rsid w:val="00FE4269"/>
    <w:rsid w:val="00FE4424"/>
    <w:rsid w:val="00FE4A2C"/>
    <w:rsid w:val="00FE4D6C"/>
    <w:rsid w:val="00FE4E4A"/>
    <w:rsid w:val="00FF0486"/>
    <w:rsid w:val="00FF0559"/>
    <w:rsid w:val="00FF287C"/>
    <w:rsid w:val="00FF386A"/>
    <w:rsid w:val="00FF3E76"/>
    <w:rsid w:val="00FF51A7"/>
    <w:rsid w:val="00FF7441"/>
    <w:rsid w:val="10335E7A"/>
    <w:rsid w:val="15607245"/>
    <w:rsid w:val="1B290ED8"/>
    <w:rsid w:val="1CEE0990"/>
    <w:rsid w:val="1DFF1938"/>
    <w:rsid w:val="2C544101"/>
    <w:rsid w:val="381D0AA5"/>
    <w:rsid w:val="419843A6"/>
    <w:rsid w:val="43D02170"/>
    <w:rsid w:val="54D04404"/>
    <w:rsid w:val="6E74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32"/>
    <w:qFormat/>
    <w:uiPriority w:val="0"/>
    <w:pPr>
      <w:keepNext/>
      <w:keepLines/>
      <w:widowControl w:val="0"/>
      <w:spacing w:before="340" w:after="330" w:line="578" w:lineRule="auto"/>
      <w:jc w:val="center"/>
      <w:outlineLvl w:val="0"/>
    </w:pPr>
    <w:rPr>
      <w:b/>
      <w:bCs/>
      <w:kern w:val="44"/>
      <w:sz w:val="36"/>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0"/>
    <w:pPr>
      <w:keepNext/>
      <w:widowControl w:val="0"/>
      <w:numPr>
        <w:ilvl w:val="0"/>
        <w:numId w:val="1"/>
      </w:numPr>
      <w:adjustRightInd w:val="0"/>
      <w:spacing w:line="312" w:lineRule="atLeast"/>
      <w:jc w:val="both"/>
      <w:textAlignment w:val="baseline"/>
      <w:outlineLvl w:val="2"/>
    </w:pPr>
    <w:rPr>
      <w:rFonts w:ascii="宋体"/>
      <w:sz w:val="30"/>
    </w:rPr>
  </w:style>
  <w:style w:type="character" w:default="1" w:styleId="22">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val="0"/>
      <w:adjustRightInd w:val="0"/>
      <w:spacing w:line="312" w:lineRule="atLeast"/>
      <w:ind w:firstLine="420"/>
      <w:jc w:val="both"/>
      <w:textAlignment w:val="baseline"/>
    </w:pPr>
    <w:rPr>
      <w:sz w:val="21"/>
    </w:rPr>
  </w:style>
  <w:style w:type="paragraph" w:styleId="6">
    <w:name w:val="Document Map"/>
    <w:basedOn w:val="1"/>
    <w:link w:val="34"/>
    <w:unhideWhenUsed/>
    <w:qFormat/>
    <w:uiPriority w:val="0"/>
    <w:rPr>
      <w:rFonts w:ascii="宋体"/>
      <w:sz w:val="16"/>
      <w:szCs w:val="16"/>
    </w:rPr>
  </w:style>
  <w:style w:type="paragraph" w:styleId="7">
    <w:name w:val="annotation text"/>
    <w:basedOn w:val="1"/>
    <w:link w:val="38"/>
    <w:semiHidden/>
    <w:qFormat/>
    <w:uiPriority w:val="0"/>
    <w:pPr>
      <w:widowControl w:val="0"/>
    </w:pPr>
    <w:rPr>
      <w:rFonts w:eastAsia="楷体_GB2312"/>
      <w:kern w:val="2"/>
      <w:sz w:val="18"/>
    </w:rPr>
  </w:style>
  <w:style w:type="paragraph" w:styleId="8">
    <w:name w:val="Body Text"/>
    <w:basedOn w:val="1"/>
    <w:qFormat/>
    <w:uiPriority w:val="0"/>
    <w:pPr>
      <w:spacing w:line="360" w:lineRule="auto"/>
    </w:pPr>
    <w:rPr>
      <w:rFonts w:ascii="仿宋_GB2312" w:eastAsia="仿宋_GB2312"/>
      <w:sz w:val="32"/>
    </w:rPr>
  </w:style>
  <w:style w:type="paragraph" w:styleId="9">
    <w:name w:val="Body Text Indent"/>
    <w:basedOn w:val="1"/>
    <w:link w:val="36"/>
    <w:qFormat/>
    <w:uiPriority w:val="0"/>
    <w:pPr>
      <w:widowControl w:val="0"/>
      <w:adjustRightInd w:val="0"/>
      <w:spacing w:line="312" w:lineRule="atLeast"/>
      <w:ind w:firstLine="630"/>
      <w:jc w:val="both"/>
      <w:textAlignment w:val="baseline"/>
    </w:pPr>
    <w:rPr>
      <w:rFonts w:ascii="仿宋体" w:eastAsia="仿宋体"/>
      <w:sz w:val="28"/>
    </w:rPr>
  </w:style>
  <w:style w:type="paragraph" w:styleId="10">
    <w:name w:val="Block Text"/>
    <w:basedOn w:val="1"/>
    <w:qFormat/>
    <w:uiPriority w:val="0"/>
    <w:pPr>
      <w:widowControl w:val="0"/>
      <w:tabs>
        <w:tab w:val="center" w:pos="7665"/>
      </w:tabs>
      <w:autoSpaceDE w:val="0"/>
      <w:autoSpaceDN w:val="0"/>
      <w:adjustRightInd w:val="0"/>
      <w:spacing w:line="312" w:lineRule="atLeast"/>
      <w:ind w:left="1155" w:right="1375" w:hanging="1155"/>
      <w:jc w:val="both"/>
      <w:textAlignment w:val="bottom"/>
      <w:outlineLvl w:val="0"/>
    </w:pPr>
    <w:rPr>
      <w:rFonts w:ascii="楷体" w:eastAsia="楷体"/>
      <w:b/>
      <w:sz w:val="32"/>
    </w:rPr>
  </w:style>
  <w:style w:type="paragraph" w:styleId="11">
    <w:name w:val="Plain Text"/>
    <w:basedOn w:val="1"/>
    <w:link w:val="44"/>
    <w:qFormat/>
    <w:uiPriority w:val="0"/>
    <w:pPr>
      <w:widowControl w:val="0"/>
      <w:jc w:val="both"/>
    </w:pPr>
    <w:rPr>
      <w:rFonts w:ascii="宋体" w:hAnsi="Courier New" w:eastAsia="楷体_GB2312"/>
      <w:kern w:val="2"/>
      <w:sz w:val="30"/>
    </w:rPr>
  </w:style>
  <w:style w:type="paragraph" w:styleId="12">
    <w:name w:val="Date"/>
    <w:basedOn w:val="1"/>
    <w:next w:val="1"/>
    <w:qFormat/>
    <w:uiPriority w:val="0"/>
    <w:pPr>
      <w:jc w:val="both"/>
    </w:pPr>
    <w:rPr>
      <w:rFonts w:ascii="仿宋_GB2312" w:eastAsia="仿宋_GB2312"/>
      <w:sz w:val="32"/>
    </w:rPr>
  </w:style>
  <w:style w:type="paragraph" w:styleId="13">
    <w:name w:val="Body Text Indent 2"/>
    <w:basedOn w:val="1"/>
    <w:qFormat/>
    <w:uiPriority w:val="0"/>
    <w:pPr>
      <w:spacing w:line="360" w:lineRule="auto"/>
      <w:ind w:left="690"/>
    </w:pPr>
    <w:rPr>
      <w:color w:val="000000"/>
      <w:sz w:val="30"/>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widowControl w:val="0"/>
      <w:pBdr>
        <w:bottom w:val="single" w:color="auto" w:sz="6" w:space="1"/>
      </w:pBdr>
      <w:tabs>
        <w:tab w:val="center" w:pos="4153"/>
        <w:tab w:val="right" w:pos="8306"/>
      </w:tabs>
      <w:snapToGrid w:val="0"/>
      <w:jc w:val="center"/>
    </w:pPr>
    <w:rPr>
      <w:kern w:val="2"/>
      <w:sz w:val="18"/>
      <w:szCs w:val="18"/>
    </w:rPr>
  </w:style>
  <w:style w:type="paragraph" w:styleId="17">
    <w:name w:val="Signature"/>
    <w:basedOn w:val="1"/>
    <w:link w:val="39"/>
    <w:qFormat/>
    <w:uiPriority w:val="0"/>
    <w:pPr>
      <w:widowControl w:val="0"/>
      <w:ind w:left="100" w:leftChars="2100"/>
      <w:jc w:val="both"/>
    </w:pPr>
    <w:rPr>
      <w:rFonts w:eastAsia="楷体_GB2312"/>
      <w:kern w:val="2"/>
      <w:sz w:val="18"/>
    </w:rPr>
  </w:style>
  <w:style w:type="paragraph" w:styleId="18">
    <w:name w:val="toc 1"/>
    <w:basedOn w:val="1"/>
    <w:next w:val="1"/>
    <w:unhideWhenUsed/>
    <w:qFormat/>
    <w:uiPriority w:val="39"/>
  </w:style>
  <w:style w:type="paragraph" w:styleId="19">
    <w:name w:val="Body Text Indent 3"/>
    <w:basedOn w:val="1"/>
    <w:link w:val="37"/>
    <w:qFormat/>
    <w:uiPriority w:val="0"/>
    <w:pPr>
      <w:widowControl w:val="0"/>
      <w:adjustRightInd w:val="0"/>
      <w:spacing w:line="312" w:lineRule="atLeast"/>
      <w:ind w:firstLine="555"/>
      <w:jc w:val="both"/>
      <w:textAlignment w:val="baseline"/>
    </w:pPr>
    <w:rPr>
      <w:rFonts w:ascii="仿宋_GB2312" w:eastAsia="仿宋_GB2312"/>
      <w:color w:val="000000"/>
      <w:sz w:val="28"/>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100" w:beforeAutospacing="1" w:after="100" w:afterAutospacing="1"/>
    </w:pPr>
    <w:rPr>
      <w:rFonts w:ascii="宋体" w:hAnsi="宋体"/>
      <w:color w:val="000000"/>
      <w:sz w:val="24"/>
      <w:szCs w:val="24"/>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qFormat/>
    <w:uiPriority w:val="0"/>
    <w:rPr>
      <w:color w:val="800080"/>
      <w:u w:val="single"/>
    </w:rPr>
  </w:style>
  <w:style w:type="character" w:styleId="26">
    <w:name w:val="Emphasis"/>
    <w:basedOn w:val="22"/>
    <w:qFormat/>
    <w:uiPriority w:val="0"/>
    <w:rPr>
      <w:color w:val="CC0000"/>
    </w:rPr>
  </w:style>
  <w:style w:type="character" w:styleId="27">
    <w:name w:val="Hyperlink"/>
    <w:basedOn w:val="22"/>
    <w:qFormat/>
    <w:uiPriority w:val="99"/>
    <w:rPr>
      <w:color w:val="0000FF"/>
      <w:u w:val="single"/>
    </w:rPr>
  </w:style>
  <w:style w:type="character" w:styleId="28">
    <w:name w:val="annotation reference"/>
    <w:basedOn w:val="22"/>
    <w:semiHidden/>
    <w:qFormat/>
    <w:uiPriority w:val="0"/>
    <w:rPr>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
    <w:name w:val="Char Char Char Char"/>
    <w:basedOn w:val="1"/>
    <w:qFormat/>
    <w:uiPriority w:val="0"/>
    <w:pPr>
      <w:widowControl w:val="0"/>
      <w:jc w:val="both"/>
    </w:pPr>
    <w:rPr>
      <w:rFonts w:ascii="宋体" w:hAnsi="宋体" w:cs="Courier New"/>
      <w:kern w:val="2"/>
      <w:sz w:val="32"/>
      <w:szCs w:val="32"/>
    </w:rPr>
  </w:style>
  <w:style w:type="character" w:customStyle="1" w:styleId="32">
    <w:name w:val="标题 1 Char"/>
    <w:basedOn w:val="22"/>
    <w:link w:val="2"/>
    <w:qFormat/>
    <w:uiPriority w:val="0"/>
    <w:rPr>
      <w:b/>
      <w:bCs/>
      <w:kern w:val="44"/>
      <w:sz w:val="36"/>
      <w:szCs w:val="44"/>
    </w:rPr>
  </w:style>
  <w:style w:type="character" w:customStyle="1" w:styleId="33">
    <w:name w:val="标题 2 Char"/>
    <w:basedOn w:val="22"/>
    <w:link w:val="3"/>
    <w:semiHidden/>
    <w:qFormat/>
    <w:uiPriority w:val="9"/>
    <w:rPr>
      <w:rFonts w:ascii="Cambria" w:hAnsi="Cambria" w:eastAsia="宋体" w:cs="Times New Roman"/>
      <w:b/>
      <w:bCs/>
      <w:sz w:val="32"/>
      <w:szCs w:val="32"/>
    </w:rPr>
  </w:style>
  <w:style w:type="character" w:customStyle="1" w:styleId="34">
    <w:name w:val="文档结构图 Char"/>
    <w:basedOn w:val="22"/>
    <w:link w:val="6"/>
    <w:semiHidden/>
    <w:qFormat/>
    <w:uiPriority w:val="99"/>
    <w:rPr>
      <w:rFonts w:ascii="宋体"/>
      <w:sz w:val="16"/>
      <w:szCs w:val="16"/>
    </w:rPr>
  </w:style>
  <w:style w:type="character" w:customStyle="1" w:styleId="35">
    <w:name w:val="标题 3 Char"/>
    <w:basedOn w:val="22"/>
    <w:link w:val="4"/>
    <w:qFormat/>
    <w:uiPriority w:val="0"/>
    <w:rPr>
      <w:rFonts w:ascii="宋体"/>
      <w:sz w:val="30"/>
    </w:rPr>
  </w:style>
  <w:style w:type="character" w:customStyle="1" w:styleId="36">
    <w:name w:val="正文文本缩进 Char"/>
    <w:basedOn w:val="22"/>
    <w:link w:val="9"/>
    <w:qFormat/>
    <w:uiPriority w:val="0"/>
    <w:rPr>
      <w:rFonts w:ascii="仿宋体" w:eastAsia="仿宋体"/>
      <w:sz w:val="28"/>
    </w:rPr>
  </w:style>
  <w:style w:type="character" w:customStyle="1" w:styleId="37">
    <w:name w:val="正文文本缩进 3 Char"/>
    <w:basedOn w:val="22"/>
    <w:link w:val="19"/>
    <w:qFormat/>
    <w:uiPriority w:val="0"/>
    <w:rPr>
      <w:rFonts w:ascii="仿宋_GB2312" w:eastAsia="仿宋_GB2312"/>
      <w:color w:val="000000"/>
      <w:sz w:val="28"/>
    </w:rPr>
  </w:style>
  <w:style w:type="character" w:customStyle="1" w:styleId="38">
    <w:name w:val="批注文字 Char"/>
    <w:basedOn w:val="22"/>
    <w:link w:val="7"/>
    <w:semiHidden/>
    <w:qFormat/>
    <w:uiPriority w:val="0"/>
    <w:rPr>
      <w:rFonts w:eastAsia="楷体_GB2312"/>
      <w:kern w:val="2"/>
      <w:sz w:val="18"/>
    </w:rPr>
  </w:style>
  <w:style w:type="character" w:customStyle="1" w:styleId="39">
    <w:name w:val="签名 Char"/>
    <w:basedOn w:val="22"/>
    <w:link w:val="17"/>
    <w:qFormat/>
    <w:uiPriority w:val="0"/>
    <w:rPr>
      <w:rFonts w:eastAsia="楷体_GB2312"/>
      <w:kern w:val="2"/>
      <w:sz w:val="18"/>
    </w:rPr>
  </w:style>
  <w:style w:type="paragraph" w:customStyle="1" w:styleId="40">
    <w:name w:val="ST20_4"/>
    <w:basedOn w:val="1"/>
    <w:qFormat/>
    <w:uiPriority w:val="0"/>
    <w:pPr>
      <w:widowControl w:val="0"/>
      <w:autoSpaceDE w:val="0"/>
      <w:autoSpaceDN w:val="0"/>
      <w:adjustRightInd w:val="0"/>
      <w:textAlignment w:val="baseline"/>
    </w:pPr>
    <w:rPr>
      <w:rFonts w:ascii="宋体" w:hAnsi="Tms Rmn"/>
      <w:sz w:val="24"/>
    </w:rPr>
  </w:style>
  <w:style w:type="paragraph" w:customStyle="1" w:styleId="41">
    <w:name w:val="样式7"/>
    <w:basedOn w:val="1"/>
    <w:qFormat/>
    <w:uiPriority w:val="0"/>
    <w:pPr>
      <w:widowControl w:val="0"/>
      <w:spacing w:line="360" w:lineRule="auto"/>
      <w:ind w:firstLine="567"/>
      <w:jc w:val="both"/>
    </w:pPr>
    <w:rPr>
      <w:rFonts w:ascii="仿宋_GB2312" w:eastAsia="仿宋_GB2312"/>
      <w:kern w:val="2"/>
      <w:sz w:val="28"/>
    </w:rPr>
  </w:style>
  <w:style w:type="paragraph" w:customStyle="1" w:styleId="42">
    <w:name w:val="正文 + 10 磅"/>
    <w:basedOn w:val="1"/>
    <w:qFormat/>
    <w:uiPriority w:val="0"/>
    <w:pPr>
      <w:widowControl w:val="0"/>
      <w:adjustRightInd w:val="0"/>
      <w:spacing w:line="312" w:lineRule="atLeast"/>
      <w:jc w:val="center"/>
      <w:textAlignment w:val="baseline"/>
    </w:pPr>
    <w:rPr>
      <w:sz w:val="16"/>
      <w:szCs w:val="16"/>
    </w:rPr>
  </w:style>
  <w:style w:type="paragraph" w:customStyle="1" w:styleId="43">
    <w:name w:val="Char"/>
    <w:basedOn w:val="1"/>
    <w:qFormat/>
    <w:uiPriority w:val="0"/>
    <w:pPr>
      <w:widowControl w:val="0"/>
      <w:snapToGrid w:val="0"/>
      <w:spacing w:line="360" w:lineRule="auto"/>
      <w:ind w:firstLine="200" w:firstLineChars="200"/>
      <w:jc w:val="both"/>
    </w:pPr>
    <w:rPr>
      <w:rFonts w:ascii="宋体" w:eastAsia="仿宋_GB2312" w:cs="宋体"/>
      <w:color w:val="000000"/>
      <w:kern w:val="2"/>
      <w:sz w:val="24"/>
      <w:szCs w:val="18"/>
    </w:rPr>
  </w:style>
  <w:style w:type="character" w:customStyle="1" w:styleId="44">
    <w:name w:val="纯文本 Char1"/>
    <w:basedOn w:val="22"/>
    <w:link w:val="11"/>
    <w:qFormat/>
    <w:uiPriority w:val="0"/>
    <w:rPr>
      <w:rFonts w:ascii="宋体" w:hAnsi="Courier New" w:eastAsia="楷体_GB2312"/>
      <w:kern w:val="2"/>
      <w:sz w:val="30"/>
    </w:rPr>
  </w:style>
  <w:style w:type="character" w:customStyle="1" w:styleId="45">
    <w:name w:val="headline-content2"/>
    <w:basedOn w:val="22"/>
    <w:qFormat/>
    <w:uiPriority w:val="0"/>
  </w:style>
  <w:style w:type="paragraph" w:customStyle="1" w:styleId="46">
    <w:name w:val="pic-info"/>
    <w:basedOn w:val="1"/>
    <w:qFormat/>
    <w:uiPriority w:val="0"/>
    <w:pPr>
      <w:spacing w:before="100" w:beforeAutospacing="1" w:after="100" w:afterAutospacing="1"/>
    </w:pPr>
    <w:rPr>
      <w:rFonts w:ascii="宋体" w:hAnsi="宋体" w:cs="宋体"/>
      <w:sz w:val="24"/>
      <w:szCs w:val="24"/>
    </w:rPr>
  </w:style>
  <w:style w:type="character" w:customStyle="1" w:styleId="47">
    <w:name w:val="纯文本 Char"/>
    <w:basedOn w:val="22"/>
    <w:qFormat/>
    <w:uiPriority w:val="0"/>
    <w:rPr>
      <w:rFonts w:ascii="宋体" w:hAnsi="Courier New" w:eastAsia="宋体"/>
      <w:kern w:val="2"/>
      <w:sz w:val="28"/>
      <w:lang w:val="en-US" w:eastAsia="zh-CN" w:bidi="ar-SA"/>
    </w:rPr>
  </w:style>
  <w:style w:type="character" w:customStyle="1" w:styleId="48">
    <w:name w:val="title10"/>
    <w:basedOn w:val="22"/>
    <w:qFormat/>
    <w:uiPriority w:val="0"/>
  </w:style>
  <w:style w:type="paragraph" w:customStyle="1" w:styleId="49">
    <w:name w:val="Char Char Char1 Char Char Char Char"/>
    <w:basedOn w:val="1"/>
    <w:qFormat/>
    <w:uiPriority w:val="0"/>
    <w:pPr>
      <w:widowControl w:val="0"/>
      <w:jc w:val="both"/>
    </w:pPr>
    <w:rPr>
      <w:rFonts w:ascii="宋体" w:hAnsi="宋体" w:cs="Courier New"/>
      <w:kern w:val="2"/>
      <w:sz w:val="32"/>
      <w:szCs w:val="32"/>
    </w:rPr>
  </w:style>
  <w:style w:type="paragraph" w:customStyle="1" w:styleId="5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51">
    <w:name w:val="z-窗体顶端1"/>
    <w:basedOn w:val="1"/>
    <w:next w:val="1"/>
    <w:link w:val="52"/>
    <w:unhideWhenUsed/>
    <w:qFormat/>
    <w:uiPriority w:val="99"/>
    <w:pPr>
      <w:pBdr>
        <w:bottom w:val="single" w:color="auto" w:sz="6" w:space="1"/>
      </w:pBdr>
      <w:jc w:val="center"/>
    </w:pPr>
    <w:rPr>
      <w:rFonts w:ascii="Arial" w:hAnsi="Arial" w:cs="Arial"/>
      <w:vanish/>
      <w:sz w:val="16"/>
      <w:szCs w:val="16"/>
    </w:rPr>
  </w:style>
  <w:style w:type="character" w:customStyle="1" w:styleId="52">
    <w:name w:val="z-窗体顶端 Char"/>
    <w:basedOn w:val="22"/>
    <w:link w:val="51"/>
    <w:semiHidden/>
    <w:qFormat/>
    <w:uiPriority w:val="99"/>
    <w:rPr>
      <w:rFonts w:ascii="Arial" w:hAnsi="Arial" w:cs="Arial"/>
      <w:vanish/>
      <w:sz w:val="16"/>
      <w:szCs w:val="16"/>
    </w:rPr>
  </w:style>
  <w:style w:type="paragraph" w:customStyle="1" w:styleId="53">
    <w:name w:val="z-窗体底端1"/>
    <w:basedOn w:val="1"/>
    <w:next w:val="1"/>
    <w:link w:val="54"/>
    <w:unhideWhenUsed/>
    <w:qFormat/>
    <w:uiPriority w:val="99"/>
    <w:pPr>
      <w:pBdr>
        <w:top w:val="single" w:color="auto" w:sz="6" w:space="1"/>
      </w:pBdr>
      <w:jc w:val="center"/>
    </w:pPr>
    <w:rPr>
      <w:rFonts w:ascii="Arial" w:hAnsi="Arial" w:cs="Arial"/>
      <w:vanish/>
      <w:sz w:val="16"/>
      <w:szCs w:val="16"/>
    </w:rPr>
  </w:style>
  <w:style w:type="character" w:customStyle="1" w:styleId="54">
    <w:name w:val="z-窗体底端 Char"/>
    <w:basedOn w:val="22"/>
    <w:link w:val="53"/>
    <w:semiHidden/>
    <w:qFormat/>
    <w:uiPriority w:val="99"/>
    <w:rPr>
      <w:rFonts w:ascii="Arial" w:hAnsi="Arial" w:cs="Arial"/>
      <w:vanish/>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FAB0D-CFDF-4FDE-93EE-ADCDEAFBC527}">
  <ds:schemaRefs/>
</ds:datastoreItem>
</file>

<file path=docProps/app.xml><?xml version="1.0" encoding="utf-8"?>
<Properties xmlns="http://schemas.openxmlformats.org/officeDocument/2006/extended-properties" xmlns:vt="http://schemas.openxmlformats.org/officeDocument/2006/docPropsVTypes">
  <Template>Normal</Template>
  <Pages>1</Pages>
  <Words>2259</Words>
  <Characters>12880</Characters>
  <Lines>107</Lines>
  <Paragraphs>30</Paragraphs>
  <TotalTime>22</TotalTime>
  <ScaleCrop>false</ScaleCrop>
  <LinksUpToDate>false</LinksUpToDate>
  <CharactersWithSpaces>15109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2010-12-19T19:15:00Z</dcterms:created>
  <dc:creator>USER</dc:creator>
  <cp:lastModifiedBy>Administrator</cp:lastModifiedBy>
  <cp:lastPrinted>2016-06-20T02:39:00Z</cp:lastPrinted>
  <dcterms:modified xsi:type="dcterms:W3CDTF">2018-07-05T01:22:56Z</dcterms:modified>
  <dc:title>房地产抵押估价报告</dc:title>
  <cp:revision>757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