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32C" w:rsidRDefault="00C03818">
      <w:pPr>
        <w:rPr>
          <w:sz w:val="24"/>
          <w:szCs w:val="24"/>
        </w:rPr>
      </w:pPr>
      <w:bookmarkStart w:id="0" w:name="_GoBack"/>
      <w:bookmarkEnd w:id="0"/>
      <w:proofErr w:type="gramStart"/>
      <w:r>
        <w:rPr>
          <w:rFonts w:hint="eastAsia"/>
          <w:sz w:val="24"/>
          <w:szCs w:val="24"/>
        </w:rPr>
        <w:t>本资产</w:t>
      </w:r>
      <w:proofErr w:type="gramEnd"/>
      <w:r>
        <w:rPr>
          <w:rFonts w:hint="eastAsia"/>
          <w:sz w:val="24"/>
          <w:szCs w:val="24"/>
        </w:rPr>
        <w:t>评估报告依据中国资产评估准则编制</w:t>
      </w:r>
    </w:p>
    <w:p w:rsidR="00A3032C" w:rsidRDefault="00A3032C">
      <w:pPr>
        <w:spacing w:before="100" w:beforeAutospacing="1" w:line="360" w:lineRule="auto"/>
        <w:jc w:val="center"/>
        <w:rPr>
          <w:rFonts w:asciiTheme="minorEastAsia" w:eastAsiaTheme="minorEastAsia" w:hAnsiTheme="minorEastAsia"/>
          <w:b/>
          <w:sz w:val="36"/>
          <w:szCs w:val="36"/>
        </w:rPr>
      </w:pPr>
    </w:p>
    <w:p w:rsidR="00A3032C" w:rsidRDefault="00A3032C">
      <w:pPr>
        <w:spacing w:before="100" w:beforeAutospacing="1" w:line="360" w:lineRule="auto"/>
        <w:jc w:val="center"/>
        <w:rPr>
          <w:rFonts w:asciiTheme="minorEastAsia" w:eastAsiaTheme="minorEastAsia" w:hAnsiTheme="minorEastAsia"/>
          <w:b/>
          <w:sz w:val="36"/>
          <w:szCs w:val="36"/>
        </w:rPr>
      </w:pPr>
    </w:p>
    <w:p w:rsidR="00A3032C" w:rsidRDefault="00C03818">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青岛海事</w:t>
      </w:r>
      <w:r>
        <w:rPr>
          <w:rFonts w:asciiTheme="minorEastAsia" w:eastAsiaTheme="minorEastAsia" w:hAnsiTheme="minorEastAsia" w:hint="eastAsia"/>
          <w:b/>
          <w:bCs/>
          <w:sz w:val="36"/>
          <w:szCs w:val="36"/>
        </w:rPr>
        <w:t>法院受理</w:t>
      </w:r>
      <w:r>
        <w:rPr>
          <w:rFonts w:asciiTheme="minorEastAsia" w:eastAsiaTheme="minorEastAsia" w:hAnsiTheme="minorEastAsia" w:hint="eastAsia"/>
          <w:b/>
          <w:bCs/>
          <w:sz w:val="36"/>
          <w:szCs w:val="36"/>
        </w:rPr>
        <w:t>(201</w:t>
      </w:r>
      <w:r>
        <w:rPr>
          <w:rFonts w:asciiTheme="minorEastAsia" w:eastAsiaTheme="minorEastAsia" w:hAnsiTheme="minorEastAsia" w:hint="eastAsia"/>
          <w:b/>
          <w:bCs/>
          <w:sz w:val="36"/>
          <w:szCs w:val="36"/>
        </w:rPr>
        <w:t>7</w:t>
      </w:r>
      <w:r>
        <w:rPr>
          <w:rFonts w:asciiTheme="minorEastAsia" w:eastAsiaTheme="minorEastAsia" w:hAnsiTheme="minorEastAsia" w:hint="eastAsia"/>
          <w:b/>
          <w:bCs/>
          <w:sz w:val="36"/>
          <w:szCs w:val="36"/>
        </w:rPr>
        <w:t>)</w:t>
      </w:r>
      <w:r>
        <w:rPr>
          <w:rFonts w:asciiTheme="minorEastAsia" w:eastAsiaTheme="minorEastAsia" w:hAnsiTheme="minorEastAsia" w:hint="eastAsia"/>
          <w:b/>
          <w:bCs/>
          <w:sz w:val="36"/>
          <w:szCs w:val="36"/>
        </w:rPr>
        <w:t>青</w:t>
      </w:r>
      <w:r>
        <w:rPr>
          <w:rFonts w:asciiTheme="minorEastAsia" w:eastAsiaTheme="minorEastAsia" w:hAnsiTheme="minorEastAsia" w:hint="eastAsia"/>
          <w:b/>
          <w:bCs/>
          <w:sz w:val="36"/>
          <w:szCs w:val="36"/>
        </w:rPr>
        <w:t>72</w:t>
      </w:r>
      <w:r>
        <w:rPr>
          <w:rFonts w:asciiTheme="minorEastAsia" w:eastAsiaTheme="minorEastAsia" w:hAnsiTheme="minorEastAsia" w:hint="eastAsia"/>
          <w:b/>
          <w:bCs/>
          <w:sz w:val="36"/>
          <w:szCs w:val="36"/>
        </w:rPr>
        <w:t>执</w:t>
      </w:r>
      <w:proofErr w:type="gramStart"/>
      <w:r>
        <w:rPr>
          <w:rFonts w:asciiTheme="minorEastAsia" w:eastAsiaTheme="minorEastAsia" w:hAnsiTheme="minorEastAsia" w:hint="eastAsia"/>
          <w:b/>
          <w:bCs/>
          <w:sz w:val="36"/>
          <w:szCs w:val="36"/>
        </w:rPr>
        <w:t>恢</w:t>
      </w:r>
      <w:proofErr w:type="gramEnd"/>
      <w:r>
        <w:rPr>
          <w:rFonts w:asciiTheme="minorEastAsia" w:eastAsiaTheme="minorEastAsia" w:hAnsiTheme="minorEastAsia" w:hint="eastAsia"/>
          <w:b/>
          <w:bCs/>
          <w:sz w:val="36"/>
          <w:szCs w:val="36"/>
        </w:rPr>
        <w:t>46</w:t>
      </w:r>
      <w:r>
        <w:rPr>
          <w:rFonts w:asciiTheme="minorEastAsia" w:eastAsiaTheme="minorEastAsia" w:hAnsiTheme="minorEastAsia" w:hint="eastAsia"/>
          <w:b/>
          <w:bCs/>
          <w:sz w:val="36"/>
          <w:szCs w:val="36"/>
        </w:rPr>
        <w:t>号一案涉及的</w:t>
      </w:r>
    </w:p>
    <w:p w:rsidR="00A3032C" w:rsidRDefault="00C03818">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山东省国际海运公司</w:t>
      </w:r>
      <w:r>
        <w:rPr>
          <w:rFonts w:asciiTheme="minorEastAsia" w:eastAsiaTheme="minorEastAsia" w:hAnsiTheme="minorEastAsia" w:hint="eastAsia"/>
          <w:b/>
          <w:bCs/>
          <w:sz w:val="36"/>
          <w:szCs w:val="36"/>
        </w:rPr>
        <w:t>持有</w:t>
      </w:r>
      <w:r>
        <w:rPr>
          <w:rFonts w:asciiTheme="minorEastAsia" w:eastAsiaTheme="minorEastAsia" w:hAnsiTheme="minorEastAsia" w:hint="eastAsia"/>
          <w:b/>
          <w:bCs/>
          <w:sz w:val="36"/>
          <w:szCs w:val="36"/>
        </w:rPr>
        <w:t>的丰慧企业有限公司</w:t>
      </w:r>
    </w:p>
    <w:p w:rsidR="00A3032C" w:rsidRDefault="00C03818">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股权评估</w:t>
      </w:r>
      <w:r>
        <w:rPr>
          <w:rFonts w:asciiTheme="minorEastAsia" w:eastAsiaTheme="minorEastAsia" w:hAnsiTheme="minorEastAsia" w:hint="eastAsia"/>
          <w:b/>
          <w:bCs/>
          <w:sz w:val="36"/>
          <w:szCs w:val="36"/>
        </w:rPr>
        <w:t>项目</w:t>
      </w:r>
    </w:p>
    <w:p w:rsidR="00A3032C" w:rsidRDefault="00C03818">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资产评估报告</w:t>
      </w:r>
    </w:p>
    <w:p w:rsidR="00A3032C" w:rsidRDefault="00C03818">
      <w:pPr>
        <w:spacing w:line="360" w:lineRule="auto"/>
        <w:jc w:val="center"/>
        <w:rPr>
          <w:rFonts w:asciiTheme="minorEastAsia" w:eastAsiaTheme="minorEastAsia" w:hAnsiTheme="minorEastAsia"/>
          <w:bCs/>
          <w:sz w:val="24"/>
          <w:szCs w:val="24"/>
        </w:rPr>
      </w:pPr>
      <w:proofErr w:type="gramStart"/>
      <w:r>
        <w:rPr>
          <w:rFonts w:asciiTheme="minorEastAsia" w:eastAsiaTheme="minorEastAsia" w:hAnsiTheme="minorEastAsia" w:hint="eastAsia"/>
          <w:bCs/>
          <w:sz w:val="24"/>
          <w:szCs w:val="24"/>
        </w:rPr>
        <w:t>青振评报</w:t>
      </w:r>
      <w:proofErr w:type="gramEnd"/>
      <w:r>
        <w:rPr>
          <w:rFonts w:asciiTheme="minorEastAsia" w:eastAsiaTheme="minorEastAsia" w:hAnsiTheme="minorEastAsia" w:hint="eastAsia"/>
          <w:bCs/>
          <w:sz w:val="24"/>
          <w:szCs w:val="24"/>
        </w:rPr>
        <w:t>字</w:t>
      </w:r>
      <w:r>
        <w:rPr>
          <w:rFonts w:asciiTheme="minorEastAsia" w:eastAsiaTheme="minorEastAsia" w:hAnsiTheme="minorEastAsia" w:hint="eastAsia"/>
          <w:bCs/>
          <w:sz w:val="24"/>
          <w:szCs w:val="24"/>
        </w:rPr>
        <w:t>[2018]</w:t>
      </w:r>
      <w:r>
        <w:rPr>
          <w:rFonts w:asciiTheme="minorEastAsia" w:eastAsiaTheme="minorEastAsia" w:hAnsiTheme="minorEastAsia" w:hint="eastAsia"/>
          <w:bCs/>
          <w:sz w:val="24"/>
          <w:szCs w:val="24"/>
        </w:rPr>
        <w:t>第</w:t>
      </w:r>
      <w:r>
        <w:rPr>
          <w:rFonts w:asciiTheme="minorEastAsia" w:eastAsiaTheme="minorEastAsia" w:hAnsiTheme="minorEastAsia" w:hint="eastAsia"/>
          <w:bCs/>
          <w:sz w:val="24"/>
          <w:szCs w:val="24"/>
        </w:rPr>
        <w:t>0182</w:t>
      </w:r>
      <w:r>
        <w:rPr>
          <w:rFonts w:asciiTheme="minorEastAsia" w:eastAsiaTheme="minorEastAsia" w:hAnsiTheme="minorEastAsia" w:hint="eastAsia"/>
          <w:bCs/>
          <w:sz w:val="24"/>
          <w:szCs w:val="24"/>
        </w:rPr>
        <w:t>号</w:t>
      </w:r>
    </w:p>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A3032C"/>
    <w:p w:rsidR="00A3032C" w:rsidRDefault="00C03818">
      <w:pPr>
        <w:jc w:val="center"/>
        <w:rPr>
          <w:rFonts w:asciiTheme="minorEastAsia" w:eastAsiaTheme="minorEastAsia" w:hAnsiTheme="minorEastAsia"/>
          <w:b/>
          <w:bCs/>
          <w:sz w:val="28"/>
        </w:rPr>
      </w:pPr>
      <w:r>
        <w:rPr>
          <w:rFonts w:asciiTheme="minorEastAsia" w:eastAsiaTheme="minorEastAsia" w:hAnsiTheme="minorEastAsia" w:hint="eastAsia"/>
          <w:b/>
          <w:bCs/>
          <w:sz w:val="28"/>
        </w:rPr>
        <w:t>青岛振</w:t>
      </w:r>
      <w:proofErr w:type="gramStart"/>
      <w:r>
        <w:rPr>
          <w:rFonts w:asciiTheme="minorEastAsia" w:eastAsiaTheme="minorEastAsia" w:hAnsiTheme="minorEastAsia" w:hint="eastAsia"/>
          <w:b/>
          <w:bCs/>
          <w:sz w:val="28"/>
        </w:rPr>
        <w:t>青资产</w:t>
      </w:r>
      <w:proofErr w:type="gramEnd"/>
      <w:r>
        <w:rPr>
          <w:rFonts w:asciiTheme="minorEastAsia" w:eastAsiaTheme="minorEastAsia" w:hAnsiTheme="minorEastAsia" w:hint="eastAsia"/>
          <w:b/>
          <w:bCs/>
          <w:sz w:val="28"/>
        </w:rPr>
        <w:t>评估有限责任公司</w:t>
      </w:r>
    </w:p>
    <w:p w:rsidR="00A3032C" w:rsidRDefault="00C03818">
      <w:pPr>
        <w:jc w:val="center"/>
        <w:rPr>
          <w:rFonts w:asciiTheme="minorEastAsia" w:eastAsiaTheme="minorEastAsia" w:hAnsiTheme="minorEastAsia"/>
          <w:b/>
          <w:bCs/>
          <w:sz w:val="28"/>
        </w:rPr>
      </w:pPr>
      <w:r>
        <w:rPr>
          <w:rFonts w:asciiTheme="minorEastAsia" w:eastAsiaTheme="minorEastAsia" w:hAnsiTheme="minorEastAsia" w:hint="eastAsia"/>
          <w:b/>
          <w:bCs/>
          <w:sz w:val="28"/>
        </w:rPr>
        <w:t>二〇一八年</w:t>
      </w:r>
      <w:r>
        <w:rPr>
          <w:rFonts w:asciiTheme="minorEastAsia" w:eastAsiaTheme="minorEastAsia" w:hAnsiTheme="minorEastAsia" w:hint="eastAsia"/>
          <w:b/>
          <w:bCs/>
          <w:sz w:val="28"/>
        </w:rPr>
        <w:t>七</w:t>
      </w:r>
      <w:r>
        <w:rPr>
          <w:rFonts w:asciiTheme="minorEastAsia" w:eastAsiaTheme="minorEastAsia" w:hAnsiTheme="minorEastAsia" w:hint="eastAsia"/>
          <w:b/>
          <w:bCs/>
          <w:sz w:val="28"/>
        </w:rPr>
        <w:t>月</w:t>
      </w:r>
      <w:r>
        <w:rPr>
          <w:rFonts w:asciiTheme="minorEastAsia" w:eastAsiaTheme="minorEastAsia" w:hAnsiTheme="minorEastAsia" w:hint="eastAsia"/>
          <w:b/>
          <w:bCs/>
          <w:sz w:val="28"/>
        </w:rPr>
        <w:t>二十四</w:t>
      </w:r>
      <w:r>
        <w:rPr>
          <w:rFonts w:asciiTheme="minorEastAsia" w:eastAsiaTheme="minorEastAsia" w:hAnsiTheme="minorEastAsia" w:hint="eastAsia"/>
          <w:b/>
          <w:bCs/>
          <w:sz w:val="28"/>
        </w:rPr>
        <w:t>日</w:t>
      </w:r>
    </w:p>
    <w:p w:rsidR="00A3032C" w:rsidRDefault="00A3032C">
      <w:pPr>
        <w:tabs>
          <w:tab w:val="left" w:pos="1785"/>
        </w:tabs>
      </w:pPr>
    </w:p>
    <w:p w:rsidR="00A3032C" w:rsidRDefault="00A3032C">
      <w:pPr>
        <w:sectPr w:rsidR="00A3032C">
          <w:headerReference w:type="default" r:id="rId9"/>
          <w:pgSz w:w="11906" w:h="16838"/>
          <w:pgMar w:top="1440" w:right="1800" w:bottom="1440" w:left="1800" w:header="851" w:footer="992" w:gutter="0"/>
          <w:cols w:space="425"/>
          <w:docGrid w:type="lines" w:linePitch="312"/>
        </w:sectPr>
      </w:pPr>
    </w:p>
    <w:p w:rsidR="00A3032C" w:rsidRDefault="00C03818">
      <w:pPr>
        <w:spacing w:before="100" w:beforeAutospacing="1" w:after="100" w:afterAutospacing="1" w:line="360" w:lineRule="auto"/>
        <w:jc w:val="center"/>
        <w:rPr>
          <w:sz w:val="32"/>
          <w:szCs w:val="32"/>
        </w:rPr>
      </w:pPr>
      <w:r>
        <w:rPr>
          <w:rFonts w:hint="eastAsia"/>
          <w:sz w:val="32"/>
          <w:szCs w:val="32"/>
        </w:rPr>
        <w:lastRenderedPageBreak/>
        <w:t>评估报告目录</w:t>
      </w:r>
    </w:p>
    <w:p w:rsidR="00A3032C" w:rsidRDefault="00C03818">
      <w:pPr>
        <w:pStyle w:val="TOC1"/>
        <w:rPr>
          <w:rFonts w:asciiTheme="minorHAnsi" w:eastAsiaTheme="minorEastAsia" w:hAnsiTheme="minorHAnsi" w:cstheme="minorBidi"/>
          <w:b w:val="0"/>
          <w:sz w:val="21"/>
          <w:szCs w:val="22"/>
        </w:rPr>
      </w:pPr>
      <w:r>
        <w:fldChar w:fldCharType="begin"/>
      </w:r>
      <w:r>
        <w:instrText xml:space="preserve"> TOC \o "1-3" \h \z \u </w:instrText>
      </w:r>
      <w:r>
        <w:fldChar w:fldCharType="separate"/>
      </w:r>
      <w:hyperlink w:anchor="_Toc493752477" w:history="1">
        <w:r>
          <w:rPr>
            <w:rStyle w:val="afc"/>
            <w:rFonts w:hint="eastAsia"/>
          </w:rPr>
          <w:t>声明</w:t>
        </w:r>
        <w:r>
          <w:tab/>
        </w:r>
        <w:r>
          <w:fldChar w:fldCharType="begin"/>
        </w:r>
        <w:r>
          <w:instrText xml:space="preserve"> PAGEREF _Toc493752477 \h </w:instrText>
        </w:r>
        <w:r>
          <w:fldChar w:fldCharType="separate"/>
        </w:r>
        <w:r>
          <w:t>1</w:t>
        </w:r>
        <w:r>
          <w:fldChar w:fldCharType="end"/>
        </w:r>
      </w:hyperlink>
    </w:p>
    <w:p w:rsidR="00A3032C" w:rsidRDefault="00C03818">
      <w:pPr>
        <w:pStyle w:val="TOC1"/>
        <w:rPr>
          <w:rFonts w:asciiTheme="minorHAnsi" w:eastAsiaTheme="minorEastAsia" w:hAnsiTheme="minorHAnsi" w:cstheme="minorBidi"/>
          <w:b w:val="0"/>
          <w:sz w:val="21"/>
          <w:szCs w:val="22"/>
        </w:rPr>
      </w:pPr>
      <w:hyperlink w:anchor="_Toc493752478" w:history="1">
        <w:r>
          <w:rPr>
            <w:rStyle w:val="afc"/>
            <w:rFonts w:hint="eastAsia"/>
          </w:rPr>
          <w:t>资产评估报告摘要</w:t>
        </w:r>
        <w:r>
          <w:tab/>
        </w:r>
        <w:r>
          <w:fldChar w:fldCharType="begin"/>
        </w:r>
        <w:r>
          <w:instrText xml:space="preserve"> PAGEREF _Toc493752478 \h </w:instrText>
        </w:r>
        <w:r>
          <w:fldChar w:fldCharType="separate"/>
        </w:r>
        <w:r>
          <w:t>2</w:t>
        </w:r>
        <w:r>
          <w:fldChar w:fldCharType="end"/>
        </w:r>
      </w:hyperlink>
    </w:p>
    <w:p w:rsidR="00A3032C" w:rsidRDefault="00C03818">
      <w:pPr>
        <w:pStyle w:val="TOC1"/>
        <w:rPr>
          <w:rFonts w:asciiTheme="minorHAnsi" w:eastAsiaTheme="minorEastAsia" w:hAnsiTheme="minorHAnsi" w:cstheme="minorBidi"/>
          <w:b w:val="0"/>
          <w:sz w:val="21"/>
          <w:szCs w:val="22"/>
        </w:rPr>
      </w:pPr>
      <w:hyperlink w:anchor="_Toc493752479" w:history="1">
        <w:r>
          <w:rPr>
            <w:rStyle w:val="afc"/>
            <w:rFonts w:hint="eastAsia"/>
          </w:rPr>
          <w:t>资产评估报告正文</w:t>
        </w:r>
        <w:r>
          <w:tab/>
        </w:r>
        <w:r>
          <w:fldChar w:fldCharType="begin"/>
        </w:r>
        <w:r>
          <w:instrText xml:space="preserve"> PAGEREF _Toc493752479 \h </w:instrText>
        </w:r>
        <w:r>
          <w:fldChar w:fldCharType="separate"/>
        </w:r>
        <w:r>
          <w:t>4</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0" w:history="1">
        <w:r>
          <w:rPr>
            <w:rStyle w:val="afc"/>
            <w:rFonts w:hint="eastAsia"/>
          </w:rPr>
          <w:t>一、委托人、被评估单位及资产评估委托合同约定的其他资产评估报告使用人的概况</w:t>
        </w:r>
        <w:r>
          <w:tab/>
        </w:r>
        <w:r>
          <w:fldChar w:fldCharType="begin"/>
        </w:r>
        <w:r>
          <w:instrText xml:space="preserve"> PAGEREF _Toc4</w:instrText>
        </w:r>
        <w:r>
          <w:instrText xml:space="preserve">93752480 \h </w:instrText>
        </w:r>
        <w:r>
          <w:fldChar w:fldCharType="separate"/>
        </w:r>
        <w:r>
          <w:t>4</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1" w:history="1">
        <w:r>
          <w:rPr>
            <w:rStyle w:val="afc"/>
            <w:rFonts w:hint="eastAsia"/>
          </w:rPr>
          <w:t>二、评估目的</w:t>
        </w:r>
        <w:r>
          <w:tab/>
        </w:r>
        <w:r>
          <w:fldChar w:fldCharType="begin"/>
        </w:r>
        <w:r>
          <w:instrText xml:space="preserve"> PAGEREF _Toc493752481 \h </w:instrText>
        </w:r>
        <w:r>
          <w:fldChar w:fldCharType="separate"/>
        </w:r>
        <w:r>
          <w:t>5</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2" w:history="1">
        <w:r>
          <w:rPr>
            <w:rStyle w:val="afc"/>
            <w:rFonts w:hint="eastAsia"/>
          </w:rPr>
          <w:t>三、评估对象</w:t>
        </w:r>
        <w:r>
          <w:rPr>
            <w:rStyle w:val="afc"/>
            <w:rFonts w:hint="eastAsia"/>
          </w:rPr>
          <w:t>和评估范围</w:t>
        </w:r>
        <w:r>
          <w:tab/>
        </w:r>
        <w:r>
          <w:fldChar w:fldCharType="begin"/>
        </w:r>
        <w:r>
          <w:instrText xml:space="preserve"> PAGEREF _Toc493752482 \h </w:instrText>
        </w:r>
        <w:r>
          <w:fldChar w:fldCharType="separate"/>
        </w:r>
        <w:r>
          <w:t>5</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3" w:history="1">
        <w:r>
          <w:rPr>
            <w:rStyle w:val="afc"/>
            <w:rFonts w:hint="eastAsia"/>
          </w:rPr>
          <w:t>四、价值类型</w:t>
        </w:r>
        <w:r>
          <w:tab/>
        </w:r>
        <w:r>
          <w:fldChar w:fldCharType="begin"/>
        </w:r>
        <w:r>
          <w:instrText xml:space="preserve"> PAGEREF _Toc493752483 \h </w:instrText>
        </w:r>
        <w:r>
          <w:fldChar w:fldCharType="separate"/>
        </w:r>
        <w:r>
          <w:t>7</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4" w:history="1">
        <w:r>
          <w:rPr>
            <w:rStyle w:val="afc"/>
            <w:rFonts w:hint="eastAsia"/>
          </w:rPr>
          <w:t>五、评估基准日</w:t>
        </w:r>
        <w:r>
          <w:tab/>
        </w:r>
        <w:r>
          <w:fldChar w:fldCharType="begin"/>
        </w:r>
        <w:r>
          <w:instrText xml:space="preserve"> PAGEREF _Toc493752484 \h </w:instrText>
        </w:r>
        <w:r>
          <w:fldChar w:fldCharType="separate"/>
        </w:r>
        <w:r>
          <w:t>7</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5" w:history="1">
        <w:r>
          <w:rPr>
            <w:rStyle w:val="afc"/>
            <w:rFonts w:hint="eastAsia"/>
          </w:rPr>
          <w:t>六、评估依据</w:t>
        </w:r>
        <w:r>
          <w:tab/>
        </w:r>
        <w:r>
          <w:fldChar w:fldCharType="begin"/>
        </w:r>
        <w:r>
          <w:instrText xml:space="preserve"> PAGEREF _Toc493752485 \h </w:instrText>
        </w:r>
        <w:r>
          <w:fldChar w:fldCharType="separate"/>
        </w:r>
        <w:r>
          <w:t>7</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6" w:history="1">
        <w:r>
          <w:rPr>
            <w:rStyle w:val="afc"/>
            <w:rFonts w:hint="eastAsia"/>
          </w:rPr>
          <w:t>七、评估方法</w:t>
        </w:r>
        <w:r>
          <w:tab/>
        </w:r>
        <w:r>
          <w:fldChar w:fldCharType="begin"/>
        </w:r>
        <w:r>
          <w:instrText xml:space="preserve"> PAGEREF _Toc49</w:instrText>
        </w:r>
        <w:r>
          <w:instrText xml:space="preserve">3752486 \h </w:instrText>
        </w:r>
        <w:r>
          <w:fldChar w:fldCharType="separate"/>
        </w:r>
        <w:r>
          <w:t>8</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7" w:history="1">
        <w:r>
          <w:rPr>
            <w:rStyle w:val="afc"/>
            <w:rFonts w:hint="eastAsia"/>
          </w:rPr>
          <w:t>八、评估程序实施过程和情况</w:t>
        </w:r>
        <w:r>
          <w:tab/>
        </w:r>
        <w:r>
          <w:fldChar w:fldCharType="begin"/>
        </w:r>
        <w:r>
          <w:instrText xml:space="preserve"> PAGEREF _Toc493752487 \h </w:instrText>
        </w:r>
        <w:r>
          <w:fldChar w:fldCharType="separate"/>
        </w:r>
        <w:r>
          <w:t>10</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8" w:history="1">
        <w:r>
          <w:rPr>
            <w:rStyle w:val="afc"/>
            <w:rFonts w:hint="eastAsia"/>
          </w:rPr>
          <w:t>九、评估假设</w:t>
        </w:r>
        <w:r>
          <w:tab/>
        </w:r>
        <w:r>
          <w:fldChar w:fldCharType="begin"/>
        </w:r>
        <w:r>
          <w:instrText xml:space="preserve"> PAGEREF _Toc493752488 \h </w:instrText>
        </w:r>
        <w:r>
          <w:fldChar w:fldCharType="separate"/>
        </w:r>
        <w:r>
          <w:t>11</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89" w:history="1">
        <w:r>
          <w:rPr>
            <w:rStyle w:val="afc"/>
            <w:rFonts w:hint="eastAsia"/>
          </w:rPr>
          <w:t>十、评估结论</w:t>
        </w:r>
        <w:r>
          <w:tab/>
        </w:r>
        <w:r>
          <w:fldChar w:fldCharType="begin"/>
        </w:r>
        <w:r>
          <w:instrText xml:space="preserve"> PAGEREF _Toc493752489 \h </w:instrText>
        </w:r>
        <w:r>
          <w:fldChar w:fldCharType="separate"/>
        </w:r>
        <w:r>
          <w:t>12</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90" w:history="1">
        <w:r>
          <w:rPr>
            <w:rStyle w:val="afc"/>
            <w:rFonts w:hint="eastAsia"/>
          </w:rPr>
          <w:t>十一、特别事项说明</w:t>
        </w:r>
        <w:r>
          <w:tab/>
        </w:r>
        <w:r>
          <w:fldChar w:fldCharType="begin"/>
        </w:r>
        <w:r>
          <w:instrText xml:space="preserve"> PAGEREF _Toc493752490 \h </w:instrText>
        </w:r>
        <w:r>
          <w:fldChar w:fldCharType="separate"/>
        </w:r>
        <w:r>
          <w:t>14</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91" w:history="1">
        <w:r>
          <w:rPr>
            <w:rStyle w:val="afc"/>
            <w:rFonts w:hint="eastAsia"/>
          </w:rPr>
          <w:t>十二、资产评估报告使用限制说明</w:t>
        </w:r>
        <w:r>
          <w:tab/>
        </w:r>
        <w:r>
          <w:fldChar w:fldCharType="begin"/>
        </w:r>
        <w:r>
          <w:instrText xml:space="preserve"> PAGEREF _Toc493752491 \h </w:instrText>
        </w:r>
        <w:r>
          <w:fldChar w:fldCharType="separate"/>
        </w:r>
        <w:r>
          <w:t>15</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92" w:history="1">
        <w:r>
          <w:rPr>
            <w:rStyle w:val="afc"/>
            <w:rFonts w:hint="eastAsia"/>
          </w:rPr>
          <w:t>十三、资产评估报告日</w:t>
        </w:r>
        <w:r>
          <w:tab/>
        </w:r>
        <w:r>
          <w:fldChar w:fldCharType="begin"/>
        </w:r>
        <w:r>
          <w:instrText xml:space="preserve"> PAGEREF _Toc493752492 \h </w:instrText>
        </w:r>
        <w:r>
          <w:fldChar w:fldCharType="separate"/>
        </w:r>
        <w:r>
          <w:t>15</w:t>
        </w:r>
        <w:r>
          <w:fldChar w:fldCharType="end"/>
        </w:r>
      </w:hyperlink>
    </w:p>
    <w:p w:rsidR="00A3032C" w:rsidRDefault="00C03818">
      <w:pPr>
        <w:pStyle w:val="TOC2"/>
        <w:tabs>
          <w:tab w:val="right" w:leader="dot" w:pos="8296"/>
        </w:tabs>
        <w:ind w:left="420"/>
        <w:rPr>
          <w:rFonts w:asciiTheme="minorHAnsi" w:eastAsiaTheme="minorEastAsia" w:hAnsiTheme="minorHAnsi" w:cstheme="minorBidi"/>
          <w:sz w:val="21"/>
          <w:szCs w:val="22"/>
        </w:rPr>
      </w:pPr>
      <w:hyperlink w:anchor="_Toc493752493" w:history="1">
        <w:r>
          <w:rPr>
            <w:rStyle w:val="afc"/>
            <w:rFonts w:hint="eastAsia"/>
          </w:rPr>
          <w:t>十四、资产评估专业人员签名和资产评估</w:t>
        </w:r>
        <w:r>
          <w:rPr>
            <w:rStyle w:val="afc"/>
            <w:rFonts w:hint="eastAsia"/>
          </w:rPr>
          <w:t>机构印章</w:t>
        </w:r>
        <w:r>
          <w:tab/>
        </w:r>
        <w:r>
          <w:fldChar w:fldCharType="begin"/>
        </w:r>
        <w:r>
          <w:instrText xml:space="preserve"> PAGEREF _Toc493752493 \h </w:instrText>
        </w:r>
        <w:r>
          <w:fldChar w:fldCharType="separate"/>
        </w:r>
        <w:r>
          <w:t>17</w:t>
        </w:r>
        <w:r>
          <w:fldChar w:fldCharType="end"/>
        </w:r>
      </w:hyperlink>
    </w:p>
    <w:p w:rsidR="00A3032C" w:rsidRDefault="00C03818">
      <w:pPr>
        <w:pStyle w:val="TOC1"/>
        <w:rPr>
          <w:rFonts w:asciiTheme="minorHAnsi" w:eastAsiaTheme="minorEastAsia" w:hAnsiTheme="minorHAnsi" w:cstheme="minorBidi"/>
          <w:b w:val="0"/>
          <w:sz w:val="21"/>
          <w:szCs w:val="22"/>
        </w:rPr>
      </w:pPr>
      <w:hyperlink w:anchor="_Toc493752494" w:history="1">
        <w:r>
          <w:rPr>
            <w:rStyle w:val="afc"/>
            <w:rFonts w:hint="eastAsia"/>
          </w:rPr>
          <w:t>附件</w:t>
        </w:r>
        <w:r>
          <w:tab/>
        </w:r>
        <w:r>
          <w:fldChar w:fldCharType="begin"/>
        </w:r>
        <w:r>
          <w:instrText xml:space="preserve"> PAGEREF _Toc493752494 \h </w:instrText>
        </w:r>
        <w:r>
          <w:fldChar w:fldCharType="separate"/>
        </w:r>
        <w:r>
          <w:t>18</w:t>
        </w:r>
        <w:r>
          <w:fldChar w:fldCharType="end"/>
        </w:r>
      </w:hyperlink>
    </w:p>
    <w:p w:rsidR="00A3032C" w:rsidRDefault="00C03818">
      <w:pPr>
        <w:tabs>
          <w:tab w:val="left" w:pos="1155"/>
        </w:tabs>
        <w:spacing w:before="100" w:beforeAutospacing="1" w:line="360" w:lineRule="auto"/>
        <w:rPr>
          <w:sz w:val="24"/>
          <w:szCs w:val="24"/>
        </w:rPr>
      </w:pPr>
      <w:r>
        <w:rPr>
          <w:sz w:val="24"/>
        </w:rPr>
        <w:fldChar w:fldCharType="end"/>
      </w:r>
      <w:r>
        <w:rPr>
          <w:sz w:val="24"/>
        </w:rPr>
        <w:tab/>
      </w:r>
    </w:p>
    <w:p w:rsidR="00A3032C" w:rsidRDefault="00A3032C">
      <w:pPr>
        <w:spacing w:line="360" w:lineRule="auto"/>
        <w:ind w:firstLineChars="200" w:firstLine="480"/>
        <w:rPr>
          <w:sz w:val="24"/>
          <w:szCs w:val="24"/>
        </w:rPr>
      </w:pPr>
    </w:p>
    <w:p w:rsidR="00A3032C" w:rsidRDefault="00C03818">
      <w:pPr>
        <w:tabs>
          <w:tab w:val="left" w:pos="1455"/>
        </w:tabs>
        <w:rPr>
          <w:sz w:val="44"/>
          <w:szCs w:val="44"/>
        </w:rPr>
      </w:pPr>
      <w:r>
        <w:rPr>
          <w:sz w:val="44"/>
          <w:szCs w:val="44"/>
        </w:rPr>
        <w:tab/>
      </w:r>
    </w:p>
    <w:p w:rsidR="00A3032C" w:rsidRDefault="00A3032C">
      <w:pPr>
        <w:rPr>
          <w:sz w:val="44"/>
          <w:szCs w:val="44"/>
        </w:rPr>
      </w:pPr>
    </w:p>
    <w:p w:rsidR="00A3032C" w:rsidRDefault="00C03818">
      <w:pPr>
        <w:tabs>
          <w:tab w:val="left" w:pos="5325"/>
        </w:tabs>
        <w:rPr>
          <w:sz w:val="44"/>
          <w:szCs w:val="44"/>
        </w:rPr>
        <w:sectPr w:rsidR="00A3032C">
          <w:headerReference w:type="default" r:id="rId10"/>
          <w:footerReference w:type="default" r:id="rId11"/>
          <w:pgSz w:w="11906" w:h="16838"/>
          <w:pgMar w:top="1440" w:right="1800" w:bottom="1440" w:left="1800" w:header="851" w:footer="992" w:gutter="0"/>
          <w:cols w:space="425"/>
          <w:docGrid w:type="lines" w:linePitch="312"/>
        </w:sectPr>
      </w:pPr>
      <w:r>
        <w:rPr>
          <w:sz w:val="44"/>
          <w:szCs w:val="44"/>
        </w:rPr>
        <w:tab/>
      </w:r>
    </w:p>
    <w:p w:rsidR="00A3032C" w:rsidRDefault="00C03818">
      <w:pPr>
        <w:pStyle w:val="1"/>
        <w:spacing w:before="0" w:after="0"/>
        <w:jc w:val="center"/>
        <w:rPr>
          <w:sz w:val="32"/>
          <w:szCs w:val="32"/>
        </w:rPr>
      </w:pPr>
      <w:bookmarkStart w:id="1" w:name="_Toc493752477"/>
      <w:bookmarkStart w:id="2" w:name="一"/>
      <w:bookmarkStart w:id="3" w:name="_Toc208276977"/>
      <w:bookmarkStart w:id="4" w:name="_Toc334186084"/>
      <w:r>
        <w:rPr>
          <w:sz w:val="32"/>
          <w:szCs w:val="32"/>
        </w:rPr>
        <w:lastRenderedPageBreak/>
        <w:t>声明</w:t>
      </w:r>
      <w:bookmarkEnd w:id="1"/>
      <w:bookmarkEnd w:id="2"/>
      <w:bookmarkEnd w:id="3"/>
      <w:bookmarkEnd w:id="4"/>
    </w:p>
    <w:p w:rsidR="00A3032C" w:rsidRDefault="00C03818">
      <w:pPr>
        <w:pStyle w:val="a0"/>
        <w:spacing w:line="360" w:lineRule="auto"/>
        <w:ind w:firstLineChars="200" w:firstLine="480"/>
        <w:rPr>
          <w:rFonts w:ascii="宋体" w:eastAsia="宋体" w:hAnsi="宋体"/>
          <w:sz w:val="24"/>
          <w:szCs w:val="24"/>
        </w:rPr>
      </w:pPr>
      <w:r>
        <w:rPr>
          <w:rFonts w:ascii="宋体" w:eastAsia="宋体" w:hAnsi="宋体" w:hint="eastAsia"/>
          <w:sz w:val="24"/>
          <w:szCs w:val="24"/>
        </w:rPr>
        <w:t>一、</w:t>
      </w:r>
      <w:proofErr w:type="gramStart"/>
      <w:r>
        <w:rPr>
          <w:rFonts w:ascii="宋体" w:eastAsia="宋体" w:hAnsi="宋体" w:hint="eastAsia"/>
          <w:sz w:val="24"/>
          <w:szCs w:val="24"/>
        </w:rPr>
        <w:t>本资产</w:t>
      </w:r>
      <w:proofErr w:type="gramEnd"/>
      <w:r>
        <w:rPr>
          <w:rFonts w:ascii="宋体" w:eastAsia="宋体" w:hAnsi="宋体" w:hint="eastAsia"/>
          <w:sz w:val="24"/>
          <w:szCs w:val="24"/>
        </w:rPr>
        <w:t>评估报告依据财政部发布的资产评估基本准则和中国资产评估协会发布的资产评估执业准则和职业道德准则编制。</w:t>
      </w:r>
    </w:p>
    <w:p w:rsidR="00A3032C" w:rsidRDefault="00C03818">
      <w:pPr>
        <w:pStyle w:val="a0"/>
        <w:spacing w:line="360" w:lineRule="auto"/>
        <w:ind w:firstLineChars="200" w:firstLine="480"/>
        <w:rPr>
          <w:rFonts w:ascii="宋体" w:eastAsia="宋体" w:hAnsi="宋体"/>
          <w:sz w:val="24"/>
          <w:szCs w:val="24"/>
        </w:rPr>
      </w:pPr>
      <w:r>
        <w:rPr>
          <w:rFonts w:ascii="宋体" w:eastAsia="宋体" w:hAnsi="宋体" w:hint="eastAsia"/>
          <w:sz w:val="24"/>
          <w:szCs w:val="24"/>
        </w:rPr>
        <w:t>二、</w:t>
      </w:r>
      <w:proofErr w:type="gramStart"/>
      <w:r>
        <w:rPr>
          <w:rFonts w:ascii="宋体" w:eastAsia="宋体" w:hAnsi="宋体" w:hint="eastAsia"/>
          <w:sz w:val="24"/>
          <w:szCs w:val="24"/>
        </w:rPr>
        <w:t>本资产</w:t>
      </w:r>
      <w:proofErr w:type="gramEnd"/>
      <w:r>
        <w:rPr>
          <w:rFonts w:ascii="宋体" w:eastAsia="宋体" w:hAnsi="宋体" w:hint="eastAsia"/>
          <w:sz w:val="24"/>
          <w:szCs w:val="24"/>
        </w:rPr>
        <w:t>评估机构及其资产评估师遵守法律、行政法规和资产评估准则，坚持独立、客观、公正的原则，并对所出具的资产评估报告依法承担责任。</w:t>
      </w:r>
    </w:p>
    <w:p w:rsidR="00A3032C" w:rsidRDefault="00C03818">
      <w:pPr>
        <w:pStyle w:val="a0"/>
        <w:spacing w:line="360" w:lineRule="auto"/>
        <w:ind w:firstLineChars="200" w:firstLine="480"/>
        <w:rPr>
          <w:rFonts w:ascii="宋体" w:eastAsia="宋体" w:hAnsi="宋体"/>
          <w:sz w:val="24"/>
          <w:szCs w:val="24"/>
        </w:rPr>
      </w:pPr>
      <w:r>
        <w:rPr>
          <w:rFonts w:ascii="宋体" w:eastAsia="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A3032C" w:rsidRDefault="00C03818">
      <w:pPr>
        <w:pStyle w:val="a0"/>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本资产</w:t>
      </w:r>
      <w:proofErr w:type="gramEnd"/>
      <w:r>
        <w:rPr>
          <w:rFonts w:ascii="宋体" w:eastAsia="宋体" w:hAnsi="宋体" w:hint="eastAsia"/>
          <w:sz w:val="24"/>
          <w:szCs w:val="24"/>
        </w:rPr>
        <w:t>评估报告仅供委托人、资产评估委托合同中约定的其他资产评估报告使用人和法律、行政法规规定的资产评估报告使用人使用；除此之外，其他任何机构和个人不能成为资产评估报告</w:t>
      </w:r>
      <w:r>
        <w:rPr>
          <w:rFonts w:ascii="宋体" w:eastAsia="宋体" w:hAnsi="宋体" w:hint="eastAsia"/>
          <w:sz w:val="24"/>
          <w:szCs w:val="24"/>
        </w:rPr>
        <w:t>的使用人。</w:t>
      </w:r>
    </w:p>
    <w:p w:rsidR="00A3032C" w:rsidRDefault="00C03818">
      <w:pPr>
        <w:pStyle w:val="a0"/>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本资产</w:t>
      </w:r>
      <w:proofErr w:type="gramEnd"/>
      <w:r>
        <w:rPr>
          <w:rFonts w:ascii="宋体" w:eastAsia="宋体" w:hAnsi="宋体" w:hint="eastAsia"/>
          <w:sz w:val="24"/>
          <w:szCs w:val="24"/>
        </w:rPr>
        <w:t>评估机构及资产评估师提示资产评估报告使用人应当正确理解评估结论，评估结论不等同于评估对象可实现价格，评估结论不应当被认为是对评估对象可实现价格的保证。</w:t>
      </w:r>
    </w:p>
    <w:p w:rsidR="00A3032C" w:rsidRDefault="00C03818">
      <w:pPr>
        <w:pStyle w:val="a0"/>
        <w:spacing w:line="360" w:lineRule="auto"/>
        <w:ind w:firstLineChars="200" w:firstLine="480"/>
        <w:rPr>
          <w:rFonts w:ascii="宋体" w:eastAsia="宋体" w:hAnsi="宋体"/>
          <w:sz w:val="24"/>
          <w:szCs w:val="24"/>
        </w:rPr>
      </w:pPr>
      <w:r>
        <w:rPr>
          <w:rFonts w:ascii="宋体" w:eastAsia="宋体" w:hAnsi="宋体" w:hint="eastAsia"/>
          <w:sz w:val="24"/>
          <w:szCs w:val="24"/>
        </w:rPr>
        <w:t>四、评估对象涉及的资产、负债清单由被评估单位申报并经其采用签名、盖章或法律允许的其他方式确认；委托人和其他相关当事人依法对其提供资料的真实性、完整性、合法性负责。</w:t>
      </w:r>
    </w:p>
    <w:p w:rsidR="00A3032C" w:rsidRDefault="00C03818">
      <w:pPr>
        <w:pStyle w:val="a0"/>
        <w:spacing w:line="360" w:lineRule="auto"/>
        <w:ind w:firstLineChars="200" w:firstLine="480"/>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资产评估师已对评估对象及其所涉及资产的法律权属状况给予必要的关注，对评估对象及其所涉及资产的法律权属资料进行了查验，对已经发现的问题进行了如实披露，并且已提请委托人及其他相关</w:t>
      </w:r>
      <w:r>
        <w:rPr>
          <w:rFonts w:ascii="宋体" w:eastAsia="宋体" w:hAnsi="宋体"/>
          <w:sz w:val="24"/>
          <w:szCs w:val="24"/>
        </w:rPr>
        <w:t>当事人完善产权以满足出具资产评估报告的要求。</w:t>
      </w:r>
    </w:p>
    <w:p w:rsidR="00A3032C" w:rsidRDefault="00C03818">
      <w:pPr>
        <w:pStyle w:val="a0"/>
        <w:spacing w:line="360" w:lineRule="auto"/>
        <w:ind w:firstLineChars="200" w:firstLine="480"/>
        <w:rPr>
          <w:rFonts w:ascii="宋体" w:eastAsia="宋体" w:hAnsi="宋体"/>
          <w:sz w:val="24"/>
          <w:szCs w:val="24"/>
        </w:rPr>
      </w:pPr>
      <w:r>
        <w:rPr>
          <w:rFonts w:ascii="宋体" w:eastAsia="宋体" w:hAnsi="宋体" w:hint="eastAsia"/>
          <w:sz w:val="24"/>
          <w:szCs w:val="24"/>
        </w:rPr>
        <w:t>六、</w:t>
      </w:r>
      <w:proofErr w:type="gramStart"/>
      <w:r>
        <w:rPr>
          <w:rFonts w:ascii="宋体" w:eastAsia="宋体" w:hAnsi="宋体" w:hint="eastAsia"/>
          <w:sz w:val="24"/>
          <w:szCs w:val="24"/>
        </w:rPr>
        <w:t>本资产</w:t>
      </w:r>
      <w:proofErr w:type="gramEnd"/>
      <w:r>
        <w:rPr>
          <w:rFonts w:ascii="宋体" w:eastAsia="宋体" w:hAnsi="宋体" w:hint="eastAsia"/>
          <w:sz w:val="24"/>
          <w:szCs w:val="24"/>
        </w:rPr>
        <w:t>评估机构及资产评估师与资产评估报告中的</w:t>
      </w:r>
      <w:r>
        <w:rPr>
          <w:rFonts w:ascii="宋体" w:eastAsia="宋体" w:hAnsi="宋体"/>
          <w:sz w:val="24"/>
          <w:szCs w:val="24"/>
        </w:rPr>
        <w:t>评估对象没有现存或者预期的利益关系</w:t>
      </w:r>
      <w:r>
        <w:rPr>
          <w:rFonts w:ascii="宋体" w:eastAsia="宋体" w:hAnsi="宋体" w:hint="eastAsia"/>
          <w:sz w:val="24"/>
          <w:szCs w:val="24"/>
        </w:rPr>
        <w:t>，</w:t>
      </w:r>
      <w:r>
        <w:rPr>
          <w:rFonts w:ascii="宋体" w:eastAsia="宋体" w:hAnsi="宋体"/>
          <w:sz w:val="24"/>
          <w:szCs w:val="24"/>
        </w:rPr>
        <w:t>与相关当事人没有现存或者预期的利益关系，对相关当事人不存在偏见。</w:t>
      </w:r>
    </w:p>
    <w:p w:rsidR="00A3032C" w:rsidRDefault="00C03818">
      <w:pPr>
        <w:snapToGrid w:val="0"/>
        <w:spacing w:line="360" w:lineRule="auto"/>
        <w:ind w:firstLineChars="200" w:firstLine="480"/>
        <w:rPr>
          <w:rFonts w:ascii="宋体" w:hAnsi="宋体"/>
          <w:sz w:val="24"/>
          <w:szCs w:val="24"/>
        </w:rPr>
      </w:pPr>
      <w:r>
        <w:rPr>
          <w:rFonts w:ascii="宋体" w:hAnsi="宋体" w:cs="华文仿宋" w:hint="eastAsia"/>
          <w:kern w:val="0"/>
          <w:sz w:val="24"/>
          <w:szCs w:val="24"/>
        </w:rPr>
        <w:t>七、</w:t>
      </w:r>
      <w:proofErr w:type="gramStart"/>
      <w:r>
        <w:rPr>
          <w:rFonts w:ascii="宋体" w:hAnsi="宋体" w:hint="eastAsia"/>
          <w:sz w:val="24"/>
          <w:szCs w:val="24"/>
        </w:rPr>
        <w:t>本资产</w:t>
      </w:r>
      <w:proofErr w:type="gramEnd"/>
      <w:r>
        <w:rPr>
          <w:rFonts w:ascii="宋体" w:hAnsi="宋体" w:hint="eastAsia"/>
          <w:sz w:val="24"/>
          <w:szCs w:val="24"/>
        </w:rPr>
        <w:t>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A3032C" w:rsidRDefault="00A3032C">
      <w:pPr>
        <w:spacing w:line="360" w:lineRule="auto"/>
        <w:ind w:firstLine="504"/>
        <w:rPr>
          <w:rFonts w:ascii="宋体" w:hAnsi="宋体" w:cs="华文仿宋"/>
          <w:color w:val="FF0000"/>
          <w:kern w:val="0"/>
          <w:sz w:val="24"/>
          <w:szCs w:val="24"/>
        </w:rPr>
        <w:sectPr w:rsidR="00A3032C">
          <w:footerReference w:type="default" r:id="rId12"/>
          <w:pgSz w:w="11906" w:h="16838"/>
          <w:pgMar w:top="1440" w:right="1800" w:bottom="1440" w:left="1800" w:header="851" w:footer="992" w:gutter="0"/>
          <w:pgNumType w:start="1"/>
          <w:cols w:space="425"/>
          <w:docGrid w:type="lines" w:linePitch="381"/>
        </w:sectPr>
      </w:pPr>
    </w:p>
    <w:p w:rsidR="00A3032C" w:rsidRDefault="00C03818">
      <w:pPr>
        <w:spacing w:line="360" w:lineRule="auto"/>
        <w:jc w:val="center"/>
        <w:rPr>
          <w:b/>
          <w:bCs/>
          <w:kern w:val="44"/>
          <w:sz w:val="32"/>
          <w:szCs w:val="32"/>
        </w:rPr>
      </w:pPr>
      <w:bookmarkStart w:id="5" w:name="_Toc334186085"/>
      <w:bookmarkStart w:id="6" w:name="_Toc493752478"/>
      <w:bookmarkStart w:id="7" w:name="二"/>
      <w:r>
        <w:rPr>
          <w:rFonts w:hint="eastAsia"/>
          <w:b/>
          <w:bCs/>
          <w:kern w:val="44"/>
          <w:sz w:val="32"/>
          <w:szCs w:val="32"/>
        </w:rPr>
        <w:lastRenderedPageBreak/>
        <w:t>青岛海事法院受理</w:t>
      </w:r>
      <w:r>
        <w:rPr>
          <w:rFonts w:hint="eastAsia"/>
          <w:b/>
          <w:bCs/>
          <w:kern w:val="44"/>
          <w:sz w:val="32"/>
          <w:szCs w:val="32"/>
        </w:rPr>
        <w:t>(2017)</w:t>
      </w:r>
      <w:r>
        <w:rPr>
          <w:rFonts w:hint="eastAsia"/>
          <w:b/>
          <w:bCs/>
          <w:kern w:val="44"/>
          <w:sz w:val="32"/>
          <w:szCs w:val="32"/>
        </w:rPr>
        <w:t>青</w:t>
      </w:r>
      <w:r>
        <w:rPr>
          <w:rFonts w:hint="eastAsia"/>
          <w:b/>
          <w:bCs/>
          <w:kern w:val="44"/>
          <w:sz w:val="32"/>
          <w:szCs w:val="32"/>
        </w:rPr>
        <w:t>72</w:t>
      </w:r>
      <w:r>
        <w:rPr>
          <w:rFonts w:hint="eastAsia"/>
          <w:b/>
          <w:bCs/>
          <w:kern w:val="44"/>
          <w:sz w:val="32"/>
          <w:szCs w:val="32"/>
        </w:rPr>
        <w:t>执</w:t>
      </w:r>
      <w:proofErr w:type="gramStart"/>
      <w:r>
        <w:rPr>
          <w:rFonts w:hint="eastAsia"/>
          <w:b/>
          <w:bCs/>
          <w:kern w:val="44"/>
          <w:sz w:val="32"/>
          <w:szCs w:val="32"/>
        </w:rPr>
        <w:t>恢</w:t>
      </w:r>
      <w:proofErr w:type="gramEnd"/>
      <w:r>
        <w:rPr>
          <w:rFonts w:hint="eastAsia"/>
          <w:b/>
          <w:bCs/>
          <w:kern w:val="44"/>
          <w:sz w:val="32"/>
          <w:szCs w:val="32"/>
        </w:rPr>
        <w:t>46</w:t>
      </w:r>
      <w:r>
        <w:rPr>
          <w:rFonts w:hint="eastAsia"/>
          <w:b/>
          <w:bCs/>
          <w:kern w:val="44"/>
          <w:sz w:val="32"/>
          <w:szCs w:val="32"/>
        </w:rPr>
        <w:t>号一案涉及的</w:t>
      </w:r>
    </w:p>
    <w:p w:rsidR="00A3032C" w:rsidRDefault="00C03818">
      <w:pPr>
        <w:spacing w:line="360" w:lineRule="auto"/>
        <w:jc w:val="center"/>
        <w:rPr>
          <w:b/>
          <w:bCs/>
          <w:kern w:val="44"/>
          <w:sz w:val="32"/>
          <w:szCs w:val="32"/>
        </w:rPr>
      </w:pPr>
      <w:r>
        <w:rPr>
          <w:rFonts w:hint="eastAsia"/>
          <w:b/>
          <w:bCs/>
          <w:kern w:val="44"/>
          <w:sz w:val="32"/>
          <w:szCs w:val="32"/>
        </w:rPr>
        <w:t>山东省国际海运公司持有的丰慧企业有限公司</w:t>
      </w:r>
    </w:p>
    <w:p w:rsidR="00A3032C" w:rsidRDefault="00C03818">
      <w:pPr>
        <w:spacing w:line="360" w:lineRule="auto"/>
        <w:jc w:val="center"/>
        <w:rPr>
          <w:b/>
          <w:bCs/>
          <w:kern w:val="44"/>
          <w:sz w:val="32"/>
          <w:szCs w:val="32"/>
        </w:rPr>
      </w:pPr>
      <w:r>
        <w:rPr>
          <w:rFonts w:hint="eastAsia"/>
          <w:b/>
          <w:bCs/>
          <w:kern w:val="44"/>
          <w:sz w:val="32"/>
          <w:szCs w:val="32"/>
        </w:rPr>
        <w:t>股权评估项目</w:t>
      </w:r>
    </w:p>
    <w:p w:rsidR="00A3032C" w:rsidRDefault="00C03818">
      <w:pPr>
        <w:pStyle w:val="1"/>
        <w:spacing w:before="0" w:after="0" w:line="360" w:lineRule="auto"/>
        <w:jc w:val="center"/>
        <w:rPr>
          <w:sz w:val="32"/>
          <w:szCs w:val="32"/>
        </w:rPr>
      </w:pPr>
      <w:r>
        <w:rPr>
          <w:rFonts w:hint="eastAsia"/>
          <w:sz w:val="32"/>
          <w:szCs w:val="32"/>
        </w:rPr>
        <w:t>资产</w:t>
      </w:r>
      <w:r>
        <w:rPr>
          <w:sz w:val="32"/>
          <w:szCs w:val="32"/>
        </w:rPr>
        <w:t>评估报告摘要</w:t>
      </w:r>
      <w:bookmarkEnd w:id="5"/>
      <w:bookmarkEnd w:id="6"/>
      <w:bookmarkEnd w:id="7"/>
    </w:p>
    <w:p w:rsidR="00A3032C" w:rsidRDefault="00C03818">
      <w:pPr>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青振</w:t>
      </w:r>
      <w:r>
        <w:rPr>
          <w:rFonts w:asciiTheme="minorEastAsia" w:eastAsiaTheme="minorEastAsia" w:hAnsiTheme="minorEastAsia"/>
          <w:szCs w:val="21"/>
        </w:rPr>
        <w:t>评报</w:t>
      </w:r>
      <w:proofErr w:type="gramEnd"/>
      <w:r>
        <w:rPr>
          <w:rFonts w:asciiTheme="minorEastAsia" w:eastAsiaTheme="minorEastAsia" w:hAnsiTheme="minorEastAsia"/>
          <w:szCs w:val="21"/>
        </w:rPr>
        <w:t>字</w:t>
      </w:r>
      <w:r>
        <w:rPr>
          <w:rFonts w:asciiTheme="minorEastAsia" w:eastAsiaTheme="minorEastAsia" w:hAnsiTheme="minorEastAsia"/>
          <w:szCs w:val="21"/>
        </w:rPr>
        <w:t>[</w:t>
      </w:r>
      <w:r>
        <w:rPr>
          <w:rFonts w:asciiTheme="minorEastAsia" w:eastAsiaTheme="minorEastAsia" w:hAnsiTheme="minorEastAsia" w:hint="eastAsia"/>
          <w:szCs w:val="21"/>
        </w:rPr>
        <w:t>2018</w:t>
      </w:r>
      <w:r>
        <w:rPr>
          <w:rFonts w:asciiTheme="minorEastAsia" w:eastAsiaTheme="minorEastAsia" w:hAnsiTheme="minorEastAsia"/>
          <w:szCs w:val="21"/>
        </w:rPr>
        <w:t>]</w:t>
      </w:r>
      <w:r>
        <w:rPr>
          <w:rFonts w:asciiTheme="minorEastAsia" w:eastAsiaTheme="minorEastAsia" w:hAnsiTheme="minorEastAsia"/>
          <w:szCs w:val="21"/>
        </w:rPr>
        <w:t>第</w:t>
      </w:r>
      <w:r>
        <w:rPr>
          <w:rFonts w:asciiTheme="minorEastAsia" w:eastAsiaTheme="minorEastAsia" w:hAnsiTheme="minorEastAsia" w:hint="eastAsia"/>
          <w:szCs w:val="21"/>
        </w:rPr>
        <w:t>0182</w:t>
      </w:r>
      <w:r>
        <w:rPr>
          <w:rFonts w:asciiTheme="minorEastAsia" w:eastAsiaTheme="minorEastAsia" w:hAnsiTheme="minorEastAsia"/>
          <w:szCs w:val="21"/>
        </w:rPr>
        <w:t>号</w:t>
      </w:r>
    </w:p>
    <w:p w:rsidR="00A3032C" w:rsidRDefault="00C03818">
      <w:pPr>
        <w:spacing w:before="100" w:beforeAutospacing="1"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青岛振</w:t>
      </w:r>
      <w:proofErr w:type="gramStart"/>
      <w:r>
        <w:rPr>
          <w:rFonts w:asciiTheme="minorEastAsia" w:eastAsiaTheme="minorEastAsia" w:hAnsiTheme="minorEastAsia" w:hint="eastAsia"/>
          <w:sz w:val="24"/>
          <w:szCs w:val="24"/>
        </w:rPr>
        <w:t>青资产</w:t>
      </w:r>
      <w:proofErr w:type="gramEnd"/>
      <w:r>
        <w:rPr>
          <w:rFonts w:asciiTheme="minorEastAsia" w:eastAsiaTheme="minorEastAsia" w:hAnsiTheme="minorEastAsia" w:hint="eastAsia"/>
          <w:sz w:val="24"/>
          <w:szCs w:val="24"/>
        </w:rPr>
        <w:t>评估有限责任公司接受</w:t>
      </w:r>
      <w:r>
        <w:rPr>
          <w:rFonts w:asciiTheme="minorEastAsia" w:eastAsiaTheme="minorEastAsia" w:hAnsiTheme="minorEastAsia" w:hint="eastAsia"/>
          <w:sz w:val="24"/>
          <w:szCs w:val="24"/>
        </w:rPr>
        <w:t>青岛海事法院</w:t>
      </w:r>
      <w:r>
        <w:rPr>
          <w:rFonts w:asciiTheme="minorEastAsia" w:eastAsiaTheme="minorEastAsia" w:hAnsiTheme="minorEastAsia" w:hint="eastAsia"/>
          <w:sz w:val="24"/>
          <w:szCs w:val="24"/>
        </w:rPr>
        <w:t>的委托，根据有关法律、行政法规和资产评估准则，坚持独立、客观、公正的原则，按照必要的评估程序，对</w:t>
      </w:r>
      <w:r>
        <w:rPr>
          <w:rFonts w:asciiTheme="minorEastAsia" w:eastAsiaTheme="minorEastAsia" w:hAnsiTheme="minorEastAsia" w:hint="eastAsia"/>
          <w:sz w:val="24"/>
          <w:szCs w:val="24"/>
        </w:rPr>
        <w:t>山</w:t>
      </w:r>
      <w:r>
        <w:rPr>
          <w:rFonts w:asciiTheme="minorEastAsia" w:eastAsiaTheme="minorEastAsia" w:hAnsiTheme="minorEastAsia" w:hint="eastAsia"/>
          <w:sz w:val="24"/>
          <w:szCs w:val="24"/>
        </w:rPr>
        <w:t>东省国际海运公司持有</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丰慧企业有限公司的</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万股股权在</w:t>
      </w:r>
      <w:r>
        <w:rPr>
          <w:rFonts w:asciiTheme="minorEastAsia" w:eastAsiaTheme="minorEastAsia" w:hAnsiTheme="minorEastAsia" w:hint="eastAsia"/>
          <w:sz w:val="24"/>
          <w:szCs w:val="24"/>
        </w:rPr>
        <w:t>评估基准日的</w:t>
      </w:r>
      <w:r>
        <w:rPr>
          <w:rFonts w:asciiTheme="minorEastAsia" w:eastAsiaTheme="minorEastAsia" w:hAnsiTheme="minorEastAsia" w:hint="eastAsia"/>
          <w:sz w:val="24"/>
          <w:szCs w:val="24"/>
        </w:rPr>
        <w:t>市场</w:t>
      </w:r>
      <w:r>
        <w:rPr>
          <w:rFonts w:asciiTheme="minorEastAsia" w:eastAsiaTheme="minorEastAsia" w:hAnsiTheme="minorEastAsia" w:hint="eastAsia"/>
          <w:sz w:val="24"/>
          <w:szCs w:val="24"/>
        </w:rPr>
        <w:t>价值进行了评估。现将评估报告摘要如下：</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评估目的：</w:t>
      </w:r>
      <w:r>
        <w:rPr>
          <w:rFonts w:asciiTheme="minorEastAsia" w:eastAsiaTheme="minorEastAsia" w:hAnsiTheme="minorEastAsia" w:hint="eastAsia"/>
          <w:sz w:val="24"/>
          <w:szCs w:val="24"/>
        </w:rPr>
        <w:t>对</w:t>
      </w:r>
      <w:r>
        <w:rPr>
          <w:rFonts w:asciiTheme="minorEastAsia" w:eastAsiaTheme="minorEastAsia" w:hAnsiTheme="minorEastAsia" w:hint="eastAsia"/>
          <w:sz w:val="24"/>
          <w:szCs w:val="24"/>
        </w:rPr>
        <w:t>山东省国际海运公司</w:t>
      </w:r>
      <w:r>
        <w:rPr>
          <w:rFonts w:asciiTheme="minorEastAsia" w:eastAsiaTheme="minorEastAsia" w:hAnsiTheme="minorEastAsia" w:hint="eastAsia"/>
          <w:sz w:val="24"/>
          <w:szCs w:val="24"/>
        </w:rPr>
        <w:t>持有的</w:t>
      </w:r>
      <w:r>
        <w:rPr>
          <w:rFonts w:asciiTheme="minorEastAsia" w:eastAsiaTheme="minorEastAsia" w:hAnsiTheme="minorEastAsia" w:hint="eastAsia"/>
          <w:sz w:val="24"/>
          <w:szCs w:val="24"/>
        </w:rPr>
        <w:t>丰慧企业有限公司</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w:t>
      </w:r>
      <w:r>
        <w:rPr>
          <w:rFonts w:asciiTheme="minorEastAsia" w:eastAsiaTheme="minorEastAsia" w:hAnsiTheme="minorEastAsia" w:hint="eastAsia"/>
          <w:sz w:val="24"/>
          <w:szCs w:val="24"/>
        </w:rPr>
        <w:t>股股权</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暨股东</w:t>
      </w:r>
      <w:proofErr w:type="gramEnd"/>
      <w:r>
        <w:rPr>
          <w:rFonts w:asciiTheme="minorEastAsia" w:eastAsiaTheme="minorEastAsia" w:hAnsiTheme="minorEastAsia" w:hint="eastAsia"/>
          <w:sz w:val="24"/>
          <w:szCs w:val="24"/>
        </w:rPr>
        <w:t>全部权益价值</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于评估基准日的市场价值进行评估，为</w:t>
      </w:r>
      <w:r>
        <w:rPr>
          <w:rFonts w:asciiTheme="minorEastAsia" w:eastAsiaTheme="minorEastAsia" w:hAnsiTheme="minorEastAsia" w:hint="eastAsia"/>
          <w:sz w:val="24"/>
          <w:szCs w:val="24"/>
        </w:rPr>
        <w:t>青岛海事法院</w:t>
      </w:r>
      <w:proofErr w:type="gramStart"/>
      <w:r>
        <w:rPr>
          <w:rFonts w:asciiTheme="minorEastAsia" w:eastAsiaTheme="minorEastAsia" w:hAnsiTheme="minorEastAsia" w:hint="eastAsia"/>
          <w:sz w:val="24"/>
          <w:szCs w:val="24"/>
        </w:rPr>
        <w:t>拟执</w:t>
      </w:r>
      <w:proofErr w:type="gramEnd"/>
      <w:r>
        <w:rPr>
          <w:rFonts w:asciiTheme="minorEastAsia" w:eastAsiaTheme="minorEastAsia" w:hAnsiTheme="minorEastAsia" w:hint="eastAsia"/>
          <w:sz w:val="24"/>
          <w:szCs w:val="24"/>
        </w:rPr>
        <w:t>行案件提供价值参考意见。</w:t>
      </w:r>
    </w:p>
    <w:p w:rsidR="00A3032C" w:rsidRDefault="00C0381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评估对象</w:t>
      </w:r>
      <w:r>
        <w:rPr>
          <w:rFonts w:asciiTheme="minorEastAsia" w:eastAsiaTheme="minorEastAsia" w:hAnsiTheme="minorEastAsia" w:hint="eastAsia"/>
          <w:sz w:val="24"/>
          <w:szCs w:val="24"/>
        </w:rPr>
        <w:t>和评估范围：评估对象为</w:t>
      </w:r>
      <w:r>
        <w:rPr>
          <w:rFonts w:asciiTheme="minorEastAsia" w:eastAsiaTheme="minorEastAsia" w:hAnsiTheme="minorEastAsia" w:hint="eastAsia"/>
          <w:sz w:val="24"/>
          <w:szCs w:val="24"/>
        </w:rPr>
        <w:t>丰慧企业有限公司</w:t>
      </w:r>
      <w:r>
        <w:rPr>
          <w:rFonts w:asciiTheme="minorEastAsia" w:eastAsiaTheme="minorEastAsia" w:hAnsiTheme="minorEastAsia" w:hint="eastAsia"/>
          <w:sz w:val="24"/>
          <w:szCs w:val="24"/>
        </w:rPr>
        <w:t>的</w:t>
      </w:r>
      <w:r>
        <w:rPr>
          <w:rFonts w:ascii="宋体" w:hAnsi="宋体" w:hint="eastAsia"/>
          <w:sz w:val="24"/>
          <w:szCs w:val="24"/>
        </w:rPr>
        <w:t>股东</w:t>
      </w:r>
      <w:r>
        <w:rPr>
          <w:rFonts w:ascii="宋体" w:hAnsi="宋体" w:hint="eastAsia"/>
          <w:sz w:val="24"/>
          <w:szCs w:val="24"/>
        </w:rPr>
        <w:t>全部</w:t>
      </w:r>
      <w:r>
        <w:rPr>
          <w:rFonts w:ascii="宋体" w:hAnsi="宋体" w:hint="eastAsia"/>
          <w:sz w:val="24"/>
          <w:szCs w:val="24"/>
        </w:rPr>
        <w:t>权益价值</w:t>
      </w:r>
      <w:r>
        <w:rPr>
          <w:rFonts w:asciiTheme="minorEastAsia" w:eastAsiaTheme="minorEastAsia" w:hAnsiTheme="minorEastAsia" w:hint="eastAsia"/>
          <w:sz w:val="24"/>
          <w:szCs w:val="24"/>
        </w:rPr>
        <w:t>。评估范围为被评估单位的全部资产及负债。</w:t>
      </w:r>
    </w:p>
    <w:p w:rsidR="00A3032C" w:rsidRDefault="00C03818">
      <w:pPr>
        <w:pStyle w:val="ab"/>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三、价值类型：市场价值。</w:t>
      </w:r>
    </w:p>
    <w:p w:rsidR="00A3032C" w:rsidRDefault="00C03818">
      <w:pPr>
        <w:pStyle w:val="ab"/>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四、评估基准日：</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日。</w:t>
      </w:r>
    </w:p>
    <w:p w:rsidR="00A3032C" w:rsidRDefault="00C03818">
      <w:pPr>
        <w:pStyle w:val="ab"/>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五、评估方法：</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资产基础法</w:t>
      </w:r>
    </w:p>
    <w:p w:rsidR="00A3032C" w:rsidRDefault="00C03818">
      <w:pPr>
        <w:pStyle w:val="ab"/>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六、评估结论：</w:t>
      </w:r>
      <w:proofErr w:type="gramStart"/>
      <w:r>
        <w:rPr>
          <w:rFonts w:asciiTheme="minorEastAsia" w:eastAsiaTheme="minorEastAsia" w:hAnsiTheme="minorEastAsia" w:hint="eastAsia"/>
          <w:sz w:val="24"/>
          <w:szCs w:val="24"/>
        </w:rPr>
        <w:t>本资产</w:t>
      </w:r>
      <w:proofErr w:type="gramEnd"/>
      <w:r>
        <w:rPr>
          <w:rFonts w:asciiTheme="minorEastAsia" w:eastAsiaTheme="minorEastAsia" w:hAnsiTheme="minorEastAsia" w:hint="eastAsia"/>
          <w:sz w:val="24"/>
          <w:szCs w:val="24"/>
        </w:rPr>
        <w:t>评估报告选用资产基础法评估结果作为评估结论，具体评估结论如下：</w:t>
      </w:r>
    </w:p>
    <w:p w:rsidR="00A3032C" w:rsidRDefault="00C03818">
      <w:pPr>
        <w:pStyle w:val="ab"/>
        <w:adjustRightInd w:val="0"/>
        <w:snapToGrid w:val="0"/>
        <w:spacing w:line="360" w:lineRule="auto"/>
        <w:ind w:firstLineChars="200" w:firstLine="480"/>
        <w:rPr>
          <w:rFonts w:ascii="宋体" w:hAnsi="宋体"/>
          <w:sz w:val="24"/>
          <w:szCs w:val="24"/>
        </w:rPr>
      </w:pPr>
      <w:r>
        <w:rPr>
          <w:rFonts w:asciiTheme="minorEastAsia" w:eastAsiaTheme="minorEastAsia" w:hAnsiTheme="minorEastAsia" w:hint="eastAsia"/>
          <w:sz w:val="24"/>
          <w:szCs w:val="24"/>
        </w:rPr>
        <w:t>丰慧企业有限公司</w:t>
      </w:r>
      <w:r>
        <w:rPr>
          <w:rFonts w:ascii="宋体" w:hAnsi="宋体" w:hint="eastAsia"/>
          <w:sz w:val="24"/>
          <w:szCs w:val="24"/>
        </w:rPr>
        <w:t>评估基准日总资产账面价值为</w:t>
      </w:r>
      <w:r>
        <w:rPr>
          <w:rFonts w:ascii="宋体" w:hAnsi="宋体" w:hint="eastAsia"/>
          <w:sz w:val="24"/>
          <w:szCs w:val="24"/>
        </w:rPr>
        <w:t>1</w:t>
      </w:r>
      <w:r>
        <w:rPr>
          <w:rFonts w:ascii="宋体" w:hAnsi="宋体" w:hint="eastAsia"/>
          <w:sz w:val="24"/>
          <w:szCs w:val="24"/>
        </w:rPr>
        <w:t>,555</w:t>
      </w:r>
      <w:r>
        <w:rPr>
          <w:rFonts w:ascii="宋体" w:hAnsi="宋体" w:hint="eastAsia"/>
          <w:sz w:val="24"/>
          <w:szCs w:val="24"/>
        </w:rPr>
        <w:t>.</w:t>
      </w:r>
      <w:r>
        <w:rPr>
          <w:rFonts w:ascii="宋体" w:hAnsi="宋体" w:hint="eastAsia"/>
          <w:sz w:val="24"/>
          <w:szCs w:val="24"/>
        </w:rPr>
        <w:t>08</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元，评估价值为</w:t>
      </w:r>
      <w:r>
        <w:rPr>
          <w:rFonts w:ascii="宋体" w:hAnsi="宋体" w:hint="eastAsia"/>
          <w:sz w:val="24"/>
          <w:szCs w:val="24"/>
        </w:rPr>
        <w:t>1</w:t>
      </w:r>
      <w:r>
        <w:rPr>
          <w:rFonts w:ascii="宋体" w:hAnsi="宋体" w:hint="eastAsia"/>
          <w:sz w:val="24"/>
          <w:szCs w:val="24"/>
        </w:rPr>
        <w:t>,551</w:t>
      </w:r>
      <w:r>
        <w:rPr>
          <w:rFonts w:ascii="宋体" w:hAnsi="宋体" w:hint="eastAsia"/>
          <w:sz w:val="24"/>
          <w:szCs w:val="24"/>
        </w:rPr>
        <w:t>.</w:t>
      </w:r>
      <w:r>
        <w:rPr>
          <w:rFonts w:ascii="宋体" w:hAnsi="宋体" w:hint="eastAsia"/>
          <w:sz w:val="24"/>
          <w:szCs w:val="24"/>
        </w:rPr>
        <w:t>67</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元，增值额为</w:t>
      </w:r>
      <w:r>
        <w:rPr>
          <w:rFonts w:ascii="宋体" w:hAnsi="宋体" w:hint="eastAsia"/>
          <w:sz w:val="24"/>
          <w:szCs w:val="24"/>
        </w:rPr>
        <w:t>-3.41</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元，增值率为</w:t>
      </w:r>
      <w:r>
        <w:rPr>
          <w:rFonts w:ascii="宋体" w:hAnsi="宋体" w:hint="eastAsia"/>
          <w:sz w:val="24"/>
          <w:szCs w:val="24"/>
        </w:rPr>
        <w:t>-0.22</w:t>
      </w:r>
      <w:r>
        <w:rPr>
          <w:rFonts w:ascii="宋体" w:hAnsi="宋体" w:hint="eastAsia"/>
          <w:sz w:val="24"/>
          <w:szCs w:val="24"/>
        </w:rPr>
        <w:t>%</w:t>
      </w:r>
      <w:r>
        <w:rPr>
          <w:rFonts w:ascii="宋体" w:hAnsi="宋体" w:hint="eastAsia"/>
          <w:sz w:val="24"/>
          <w:szCs w:val="24"/>
        </w:rPr>
        <w:t>；</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总负债账面价值为</w:t>
      </w:r>
      <w:r>
        <w:rPr>
          <w:rFonts w:ascii="宋体" w:hAnsi="宋体" w:hint="eastAsia"/>
          <w:sz w:val="24"/>
          <w:szCs w:val="24"/>
        </w:rPr>
        <w:t>1</w:t>
      </w:r>
      <w:r>
        <w:rPr>
          <w:rFonts w:ascii="宋体" w:hAnsi="宋体" w:hint="eastAsia"/>
          <w:sz w:val="24"/>
          <w:szCs w:val="24"/>
        </w:rPr>
        <w:t>,394</w:t>
      </w:r>
      <w:r>
        <w:rPr>
          <w:rFonts w:ascii="宋体" w:hAnsi="宋体" w:hint="eastAsia"/>
          <w:sz w:val="24"/>
          <w:szCs w:val="24"/>
        </w:rPr>
        <w:t>.</w:t>
      </w:r>
      <w:r>
        <w:rPr>
          <w:rFonts w:ascii="宋体" w:hAnsi="宋体" w:hint="eastAsia"/>
          <w:sz w:val="24"/>
          <w:szCs w:val="24"/>
        </w:rPr>
        <w:t>32</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元，评估价值为</w:t>
      </w:r>
      <w:r>
        <w:rPr>
          <w:rFonts w:ascii="宋体" w:hAnsi="宋体" w:hint="eastAsia"/>
          <w:sz w:val="24"/>
          <w:szCs w:val="24"/>
        </w:rPr>
        <w:t>1</w:t>
      </w:r>
      <w:r>
        <w:rPr>
          <w:rFonts w:ascii="宋体" w:hAnsi="宋体" w:hint="eastAsia"/>
          <w:sz w:val="24"/>
          <w:szCs w:val="24"/>
        </w:rPr>
        <w:t>,394</w:t>
      </w:r>
      <w:r>
        <w:rPr>
          <w:rFonts w:ascii="宋体" w:hAnsi="宋体" w:hint="eastAsia"/>
          <w:sz w:val="24"/>
          <w:szCs w:val="24"/>
        </w:rPr>
        <w:t>.</w:t>
      </w:r>
      <w:r>
        <w:rPr>
          <w:rFonts w:ascii="宋体" w:hAnsi="宋体" w:hint="eastAsia"/>
          <w:sz w:val="24"/>
          <w:szCs w:val="24"/>
        </w:rPr>
        <w:t>32</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无评估增减值。</w:t>
      </w:r>
    </w:p>
    <w:p w:rsidR="00A3032C" w:rsidRDefault="00C03818">
      <w:pPr>
        <w:pStyle w:val="ab"/>
        <w:adjustRightInd w:val="0"/>
        <w:snapToGrid w:val="0"/>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净资产账面价值为</w:t>
      </w:r>
      <w:r>
        <w:rPr>
          <w:rFonts w:ascii="宋体" w:hAnsi="宋体" w:hint="eastAsia"/>
          <w:sz w:val="24"/>
          <w:szCs w:val="24"/>
        </w:rPr>
        <w:t>1</w:t>
      </w:r>
      <w:r>
        <w:rPr>
          <w:rFonts w:ascii="宋体" w:hAnsi="宋体" w:hint="eastAsia"/>
          <w:sz w:val="24"/>
          <w:szCs w:val="24"/>
        </w:rPr>
        <w:t>60</w:t>
      </w:r>
      <w:r>
        <w:rPr>
          <w:rFonts w:ascii="宋体" w:hAnsi="宋体" w:hint="eastAsia"/>
          <w:sz w:val="24"/>
          <w:szCs w:val="24"/>
        </w:rPr>
        <w:t>.</w:t>
      </w:r>
      <w:r>
        <w:rPr>
          <w:rFonts w:ascii="宋体" w:hAnsi="宋体" w:hint="eastAsia"/>
          <w:sz w:val="24"/>
          <w:szCs w:val="24"/>
        </w:rPr>
        <w:t>76</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元，净资产评估价值为</w:t>
      </w:r>
      <w:r>
        <w:rPr>
          <w:rFonts w:ascii="宋体" w:hAnsi="宋体" w:hint="eastAsia"/>
          <w:sz w:val="24"/>
          <w:szCs w:val="24"/>
        </w:rPr>
        <w:t>1</w:t>
      </w:r>
      <w:r>
        <w:rPr>
          <w:rFonts w:ascii="宋体" w:hAnsi="宋体" w:hint="eastAsia"/>
          <w:sz w:val="24"/>
          <w:szCs w:val="24"/>
        </w:rPr>
        <w:t>57</w:t>
      </w:r>
      <w:r>
        <w:rPr>
          <w:rFonts w:ascii="宋体" w:hAnsi="宋体" w:hint="eastAsia"/>
          <w:sz w:val="24"/>
          <w:szCs w:val="24"/>
        </w:rPr>
        <w:t>.</w:t>
      </w:r>
      <w:r>
        <w:rPr>
          <w:rFonts w:ascii="宋体" w:hAnsi="宋体" w:hint="eastAsia"/>
          <w:sz w:val="24"/>
          <w:szCs w:val="24"/>
        </w:rPr>
        <w:t>35</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元，增值额为</w:t>
      </w:r>
      <w:r>
        <w:rPr>
          <w:rFonts w:ascii="宋体" w:hAnsi="宋体" w:hint="eastAsia"/>
          <w:sz w:val="24"/>
          <w:szCs w:val="24"/>
        </w:rPr>
        <w:t>-3.41</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元，增值率为</w:t>
      </w:r>
      <w:r>
        <w:rPr>
          <w:rFonts w:ascii="宋体" w:hAnsi="宋体" w:hint="eastAsia"/>
          <w:sz w:val="24"/>
          <w:szCs w:val="24"/>
        </w:rPr>
        <w:t>-2.12</w:t>
      </w:r>
      <w:r>
        <w:rPr>
          <w:rFonts w:ascii="宋体" w:hAnsi="宋体" w:hint="eastAsia"/>
          <w:sz w:val="24"/>
          <w:szCs w:val="24"/>
        </w:rPr>
        <w:t>%</w:t>
      </w:r>
      <w:r>
        <w:rPr>
          <w:rFonts w:ascii="宋体" w:hAnsi="宋体" w:hint="eastAsia"/>
          <w:sz w:val="24"/>
          <w:szCs w:val="24"/>
        </w:rPr>
        <w:t>。</w:t>
      </w:r>
    </w:p>
    <w:p w:rsidR="00A3032C" w:rsidRDefault="00C03818">
      <w:pPr>
        <w:pStyle w:val="ab"/>
        <w:adjustRightInd w:val="0"/>
        <w:snapToGrid w:val="0"/>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评估基准日人民币兑港币汇率为：</w:t>
      </w:r>
      <w:r>
        <w:rPr>
          <w:rFonts w:asciiTheme="minorEastAsia" w:eastAsiaTheme="minorEastAsia" w:hAnsiTheme="minorEastAsia" w:hint="eastAsia"/>
          <w:b/>
          <w:bCs/>
          <w:sz w:val="24"/>
          <w:szCs w:val="24"/>
        </w:rPr>
        <w:t>1</w:t>
      </w:r>
      <w:r>
        <w:rPr>
          <w:rFonts w:asciiTheme="minorEastAsia" w:eastAsiaTheme="minorEastAsia" w:hAnsiTheme="minorEastAsia" w:hint="eastAsia"/>
          <w:b/>
          <w:bCs/>
          <w:sz w:val="24"/>
          <w:szCs w:val="24"/>
        </w:rPr>
        <w:t>港币</w:t>
      </w:r>
      <w:r>
        <w:rPr>
          <w:rFonts w:asciiTheme="minorEastAsia" w:eastAsiaTheme="minorEastAsia" w:hAnsiTheme="minorEastAsia" w:hint="eastAsia"/>
          <w:b/>
          <w:bCs/>
          <w:sz w:val="24"/>
          <w:szCs w:val="24"/>
        </w:rPr>
        <w:t>=0.818</w:t>
      </w:r>
      <w:r>
        <w:rPr>
          <w:rFonts w:asciiTheme="minorEastAsia" w:eastAsiaTheme="minorEastAsia" w:hAnsiTheme="minorEastAsia" w:hint="eastAsia"/>
          <w:b/>
          <w:bCs/>
          <w:sz w:val="24"/>
          <w:szCs w:val="24"/>
        </w:rPr>
        <w:t>人民币。</w:t>
      </w:r>
    </w:p>
    <w:p w:rsidR="00A3032C" w:rsidRDefault="00C03818">
      <w:pPr>
        <w:pStyle w:val="ab"/>
        <w:adjustRightInd w:val="0"/>
        <w:snapToGrid w:val="0"/>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根据汇率折算按照人民币计量评估结论为：</w:t>
      </w:r>
    </w:p>
    <w:p w:rsidR="00A3032C" w:rsidRDefault="00C03818">
      <w:pPr>
        <w:pStyle w:val="ab"/>
        <w:adjustRightInd w:val="0"/>
        <w:snapToGrid w:val="0"/>
        <w:spacing w:line="360" w:lineRule="auto"/>
        <w:ind w:firstLineChars="200" w:firstLine="480"/>
        <w:rPr>
          <w:rFonts w:ascii="宋体" w:hAnsi="宋体"/>
          <w:sz w:val="24"/>
          <w:szCs w:val="24"/>
        </w:rPr>
      </w:pPr>
      <w:r>
        <w:rPr>
          <w:rFonts w:asciiTheme="minorEastAsia" w:eastAsiaTheme="minorEastAsia" w:hAnsiTheme="minorEastAsia" w:hint="eastAsia"/>
          <w:sz w:val="24"/>
          <w:szCs w:val="24"/>
        </w:rPr>
        <w:lastRenderedPageBreak/>
        <w:t>丰慧企业有限公司</w:t>
      </w:r>
      <w:r>
        <w:rPr>
          <w:rFonts w:ascii="宋体" w:hAnsi="宋体" w:hint="eastAsia"/>
          <w:sz w:val="24"/>
          <w:szCs w:val="24"/>
        </w:rPr>
        <w:t>评估基准日总资产账面价值为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272.06</w:t>
      </w:r>
      <w:r>
        <w:rPr>
          <w:rFonts w:ascii="宋体" w:hAnsi="宋体" w:hint="eastAsia"/>
          <w:sz w:val="24"/>
          <w:szCs w:val="24"/>
        </w:rPr>
        <w:t>万元，评估价值为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26</w:t>
      </w:r>
      <w:r>
        <w:rPr>
          <w:rFonts w:ascii="宋体" w:hAnsi="宋体" w:hint="eastAsia"/>
          <w:sz w:val="24"/>
          <w:szCs w:val="24"/>
        </w:rPr>
        <w:t>9</w:t>
      </w:r>
      <w:r>
        <w:rPr>
          <w:rFonts w:ascii="宋体" w:hAnsi="宋体" w:hint="eastAsia"/>
          <w:sz w:val="24"/>
          <w:szCs w:val="24"/>
        </w:rPr>
        <w:t>.</w:t>
      </w:r>
      <w:r>
        <w:rPr>
          <w:rFonts w:ascii="宋体" w:hAnsi="宋体" w:hint="eastAsia"/>
          <w:sz w:val="24"/>
          <w:szCs w:val="24"/>
        </w:rPr>
        <w:t>27</w:t>
      </w:r>
      <w:r>
        <w:rPr>
          <w:rFonts w:ascii="宋体" w:hAnsi="宋体" w:hint="eastAsia"/>
          <w:sz w:val="24"/>
          <w:szCs w:val="24"/>
        </w:rPr>
        <w:t>万元，增值额为</w:t>
      </w:r>
      <w:r>
        <w:rPr>
          <w:rFonts w:ascii="宋体" w:hAnsi="宋体" w:hint="eastAsia"/>
          <w:sz w:val="24"/>
          <w:szCs w:val="24"/>
        </w:rPr>
        <w:t>-2.79</w:t>
      </w:r>
      <w:r>
        <w:rPr>
          <w:rFonts w:ascii="宋体" w:hAnsi="宋体" w:hint="eastAsia"/>
          <w:sz w:val="24"/>
          <w:szCs w:val="24"/>
        </w:rPr>
        <w:t>万元，增值率为</w:t>
      </w:r>
      <w:r>
        <w:rPr>
          <w:rFonts w:ascii="宋体" w:hAnsi="宋体" w:hint="eastAsia"/>
          <w:sz w:val="24"/>
          <w:szCs w:val="24"/>
        </w:rPr>
        <w:t>-0.22</w:t>
      </w:r>
      <w:r>
        <w:rPr>
          <w:rFonts w:ascii="宋体" w:hAnsi="宋体" w:hint="eastAsia"/>
          <w:sz w:val="24"/>
          <w:szCs w:val="24"/>
        </w:rPr>
        <w:t>%</w:t>
      </w:r>
      <w:r>
        <w:rPr>
          <w:rFonts w:ascii="宋体" w:hAnsi="宋体" w:hint="eastAsia"/>
          <w:sz w:val="24"/>
          <w:szCs w:val="24"/>
        </w:rPr>
        <w:t>；</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总负债账面价值为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140.55</w:t>
      </w:r>
      <w:r>
        <w:rPr>
          <w:rFonts w:ascii="宋体" w:hAnsi="宋体" w:hint="eastAsia"/>
          <w:sz w:val="24"/>
          <w:szCs w:val="24"/>
        </w:rPr>
        <w:t>万元，评估价值为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140.55</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无评估增减值。</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净资产账面价值为</w:t>
      </w:r>
      <w:r>
        <w:rPr>
          <w:rFonts w:ascii="宋体" w:hAnsi="宋体" w:hint="eastAsia"/>
          <w:sz w:val="24"/>
          <w:szCs w:val="24"/>
        </w:rPr>
        <w:t>1</w:t>
      </w:r>
      <w:r>
        <w:rPr>
          <w:rFonts w:ascii="宋体" w:hAnsi="宋体" w:hint="eastAsia"/>
          <w:sz w:val="24"/>
          <w:szCs w:val="24"/>
        </w:rPr>
        <w:t>31</w:t>
      </w:r>
      <w:r>
        <w:rPr>
          <w:rFonts w:ascii="宋体" w:hAnsi="宋体" w:hint="eastAsia"/>
          <w:sz w:val="24"/>
          <w:szCs w:val="24"/>
        </w:rPr>
        <w:t>.</w:t>
      </w:r>
      <w:r>
        <w:rPr>
          <w:rFonts w:ascii="宋体" w:hAnsi="宋体" w:hint="eastAsia"/>
          <w:sz w:val="24"/>
          <w:szCs w:val="24"/>
        </w:rPr>
        <w:t>50</w:t>
      </w:r>
      <w:r>
        <w:rPr>
          <w:rFonts w:ascii="宋体" w:hAnsi="宋体" w:hint="eastAsia"/>
          <w:sz w:val="24"/>
          <w:szCs w:val="24"/>
        </w:rPr>
        <w:t>万元，净资产评估价值为</w:t>
      </w:r>
      <w:r>
        <w:rPr>
          <w:rFonts w:ascii="宋体" w:hAnsi="宋体" w:hint="eastAsia"/>
          <w:sz w:val="24"/>
          <w:szCs w:val="24"/>
        </w:rPr>
        <w:t>1</w:t>
      </w:r>
      <w:r>
        <w:rPr>
          <w:rFonts w:ascii="宋体" w:hAnsi="宋体" w:hint="eastAsia"/>
          <w:sz w:val="24"/>
          <w:szCs w:val="24"/>
        </w:rPr>
        <w:t>28</w:t>
      </w:r>
      <w:r>
        <w:rPr>
          <w:rFonts w:ascii="宋体" w:hAnsi="宋体" w:hint="eastAsia"/>
          <w:sz w:val="24"/>
          <w:szCs w:val="24"/>
        </w:rPr>
        <w:t>.</w:t>
      </w:r>
      <w:r>
        <w:rPr>
          <w:rFonts w:ascii="宋体" w:hAnsi="宋体" w:hint="eastAsia"/>
          <w:sz w:val="24"/>
          <w:szCs w:val="24"/>
        </w:rPr>
        <w:t>71</w:t>
      </w:r>
      <w:r>
        <w:rPr>
          <w:rFonts w:ascii="宋体" w:hAnsi="宋体" w:hint="eastAsia"/>
          <w:sz w:val="24"/>
          <w:szCs w:val="24"/>
        </w:rPr>
        <w:t>万元，增值额为</w:t>
      </w:r>
      <w:r>
        <w:rPr>
          <w:rFonts w:ascii="宋体" w:hAnsi="宋体" w:hint="eastAsia"/>
          <w:sz w:val="24"/>
          <w:szCs w:val="24"/>
        </w:rPr>
        <w:t>-2.79</w:t>
      </w:r>
      <w:r>
        <w:rPr>
          <w:rFonts w:ascii="宋体" w:hAnsi="宋体" w:hint="eastAsia"/>
          <w:sz w:val="24"/>
          <w:szCs w:val="24"/>
        </w:rPr>
        <w:t>万元，增值率为</w:t>
      </w:r>
      <w:r>
        <w:rPr>
          <w:rFonts w:ascii="宋体" w:hAnsi="宋体" w:hint="eastAsia"/>
          <w:sz w:val="24"/>
          <w:szCs w:val="24"/>
        </w:rPr>
        <w:t>-2.12</w:t>
      </w:r>
      <w:r>
        <w:rPr>
          <w:rFonts w:ascii="宋体" w:hAnsi="宋体" w:hint="eastAsia"/>
          <w:sz w:val="24"/>
          <w:szCs w:val="24"/>
        </w:rPr>
        <w:t>%</w:t>
      </w:r>
      <w:r>
        <w:rPr>
          <w:rFonts w:ascii="宋体" w:hAnsi="宋体" w:hint="eastAsia"/>
          <w:sz w:val="24"/>
          <w:szCs w:val="24"/>
        </w:rPr>
        <w:t>。</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暨山东省国际海运公司持有</w:t>
      </w:r>
      <w:r>
        <w:rPr>
          <w:rFonts w:ascii="宋体" w:hAnsi="宋体" w:hint="eastAsia"/>
          <w:sz w:val="24"/>
          <w:szCs w:val="24"/>
        </w:rPr>
        <w:t>的</w:t>
      </w:r>
      <w:r>
        <w:rPr>
          <w:rFonts w:ascii="宋体" w:hAnsi="宋体" w:hint="eastAsia"/>
          <w:sz w:val="24"/>
          <w:szCs w:val="24"/>
        </w:rPr>
        <w:t>丰慧企业有限公司的</w:t>
      </w:r>
      <w:r>
        <w:rPr>
          <w:rFonts w:ascii="宋体" w:hAnsi="宋体" w:hint="eastAsia"/>
          <w:sz w:val="24"/>
          <w:szCs w:val="24"/>
        </w:rPr>
        <w:t>100</w:t>
      </w:r>
      <w:r>
        <w:rPr>
          <w:rFonts w:ascii="宋体" w:hAnsi="宋体" w:hint="eastAsia"/>
          <w:sz w:val="24"/>
          <w:szCs w:val="24"/>
        </w:rPr>
        <w:t>万股股权在</w:t>
      </w:r>
      <w:r>
        <w:rPr>
          <w:rFonts w:ascii="宋体" w:hAnsi="宋体" w:hint="eastAsia"/>
          <w:sz w:val="24"/>
          <w:szCs w:val="24"/>
        </w:rPr>
        <w:t>评估基准日的</w:t>
      </w:r>
      <w:r>
        <w:rPr>
          <w:rFonts w:ascii="宋体" w:hAnsi="宋体" w:hint="eastAsia"/>
          <w:sz w:val="24"/>
          <w:szCs w:val="24"/>
        </w:rPr>
        <w:t>评估价值为</w:t>
      </w:r>
      <w:r>
        <w:rPr>
          <w:rFonts w:ascii="宋体" w:hAnsi="宋体" w:hint="eastAsia"/>
          <w:sz w:val="24"/>
          <w:szCs w:val="24"/>
        </w:rPr>
        <w:t>128.71</w:t>
      </w:r>
      <w:r>
        <w:rPr>
          <w:rFonts w:ascii="宋体" w:hAnsi="宋体" w:hint="eastAsia"/>
          <w:sz w:val="24"/>
          <w:szCs w:val="24"/>
        </w:rPr>
        <w:t>万元。</w:t>
      </w:r>
    </w:p>
    <w:p w:rsidR="00A3032C" w:rsidRDefault="00C0381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w:t>
      </w:r>
      <w:r>
        <w:rPr>
          <w:rFonts w:asciiTheme="minorEastAsia" w:eastAsiaTheme="minorEastAsia" w:hAnsiTheme="minorEastAsia"/>
          <w:sz w:val="24"/>
          <w:szCs w:val="24"/>
        </w:rPr>
        <w:t>、评估结论使用有效期：</w:t>
      </w:r>
      <w:proofErr w:type="gramStart"/>
      <w:r>
        <w:rPr>
          <w:rFonts w:asciiTheme="minorEastAsia" w:eastAsiaTheme="minorEastAsia" w:hAnsiTheme="minorEastAsia" w:hint="eastAsia"/>
          <w:sz w:val="24"/>
          <w:szCs w:val="24"/>
        </w:rPr>
        <w:t>本资产</w:t>
      </w:r>
      <w:proofErr w:type="gramEnd"/>
      <w:r>
        <w:rPr>
          <w:rFonts w:asciiTheme="minorEastAsia" w:eastAsiaTheme="minorEastAsia" w:hAnsiTheme="minorEastAsia" w:hint="eastAsia"/>
          <w:sz w:val="24"/>
          <w:szCs w:val="24"/>
        </w:rPr>
        <w:t>评估报告仅为资产评估报告中描述的行为提供价值参考，评估结论的使用有效期限自评估基</w:t>
      </w:r>
      <w:r>
        <w:rPr>
          <w:rFonts w:asciiTheme="minorEastAsia" w:eastAsiaTheme="minorEastAsia" w:hAnsiTheme="minorEastAsia" w:hint="eastAsia"/>
          <w:sz w:val="24"/>
          <w:szCs w:val="24"/>
        </w:rPr>
        <w:t>准日起一年有效。</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w:t>
      </w:r>
      <w:r>
        <w:rPr>
          <w:rFonts w:asciiTheme="minorEastAsia" w:eastAsiaTheme="minorEastAsia" w:hAnsiTheme="minorEastAsia"/>
          <w:sz w:val="24"/>
          <w:szCs w:val="24"/>
        </w:rPr>
        <w:t>、对评估结论产生影响的特</w:t>
      </w:r>
      <w:r>
        <w:rPr>
          <w:rFonts w:asciiTheme="minorEastAsia" w:eastAsiaTheme="minorEastAsia" w:hAnsiTheme="minorEastAsia"/>
          <w:sz w:val="24"/>
          <w:szCs w:val="24"/>
        </w:rPr>
        <w:t>别事项：</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由于本次评估中</w:t>
      </w:r>
      <w:r>
        <w:rPr>
          <w:rFonts w:ascii="宋体" w:hAnsi="宋体" w:hint="eastAsia"/>
          <w:sz w:val="24"/>
          <w:szCs w:val="28"/>
        </w:rPr>
        <w:t>被评估单位位于香港，受条件限制，未安排评估人员进行现场勘查</w:t>
      </w:r>
      <w:r>
        <w:rPr>
          <w:rFonts w:asciiTheme="minorEastAsia" w:eastAsiaTheme="minorEastAsia" w:hAnsiTheme="minorEastAsia" w:hint="eastAsia"/>
          <w:sz w:val="24"/>
          <w:szCs w:val="24"/>
        </w:rPr>
        <w:t>，本次评估以被评估单位提供的相关资料为依据，对评估对象进行估价。</w:t>
      </w:r>
    </w:p>
    <w:p w:rsidR="00A3032C" w:rsidRDefault="00C03818">
      <w:pPr>
        <w:tabs>
          <w:tab w:val="left" w:pos="315"/>
        </w:tabs>
        <w:spacing w:line="360" w:lineRule="auto"/>
        <w:ind w:firstLineChars="200" w:firstLine="480"/>
        <w:rPr>
          <w:rFonts w:asciiTheme="minorEastAsia" w:eastAsiaTheme="minorEastAsia" w:hAnsiTheme="minorEastAsia"/>
          <w:sz w:val="24"/>
          <w:szCs w:val="24"/>
        </w:rPr>
      </w:pPr>
      <w:r>
        <w:rPr>
          <w:rFonts w:ascii="宋体" w:hAnsi="宋体" w:cs="华文仿宋" w:hint="eastAsia"/>
          <w:sz w:val="24"/>
          <w:szCs w:val="24"/>
        </w:rPr>
        <w:t>资产评估报告使用人应当充分考虑资产评估报告中载明的假设、限定条件、特别事项说明及其对评估结论的影响。</w:t>
      </w:r>
    </w:p>
    <w:p w:rsidR="00A3032C" w:rsidRDefault="00C03818">
      <w:pPr>
        <w:tabs>
          <w:tab w:val="left" w:pos="0"/>
        </w:tabs>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以上内容摘自</w:t>
      </w:r>
      <w:r>
        <w:rPr>
          <w:rFonts w:asciiTheme="minorEastAsia" w:eastAsiaTheme="minorEastAsia" w:hAnsiTheme="minorEastAsia" w:hint="eastAsia"/>
          <w:b/>
          <w:sz w:val="24"/>
          <w:szCs w:val="24"/>
        </w:rPr>
        <w:t>资产</w:t>
      </w:r>
      <w:r>
        <w:rPr>
          <w:rFonts w:asciiTheme="minorEastAsia" w:eastAsiaTheme="minorEastAsia" w:hAnsiTheme="minorEastAsia"/>
          <w:b/>
          <w:sz w:val="24"/>
          <w:szCs w:val="24"/>
        </w:rPr>
        <w:t>评估报告正文，欲了解本评估</w:t>
      </w:r>
      <w:r>
        <w:rPr>
          <w:rFonts w:asciiTheme="minorEastAsia" w:eastAsiaTheme="minorEastAsia" w:hAnsiTheme="minorEastAsia" w:hint="eastAsia"/>
          <w:b/>
          <w:sz w:val="24"/>
          <w:szCs w:val="24"/>
        </w:rPr>
        <w:t>业务</w:t>
      </w:r>
      <w:r>
        <w:rPr>
          <w:rFonts w:asciiTheme="minorEastAsia" w:eastAsiaTheme="minorEastAsia" w:hAnsiTheme="minorEastAsia"/>
          <w:b/>
          <w:sz w:val="24"/>
          <w:szCs w:val="24"/>
        </w:rPr>
        <w:t>的详细情况和</w:t>
      </w:r>
      <w:r>
        <w:rPr>
          <w:rFonts w:asciiTheme="minorEastAsia" w:eastAsiaTheme="minorEastAsia" w:hAnsiTheme="minorEastAsia" w:hint="eastAsia"/>
          <w:b/>
          <w:sz w:val="24"/>
          <w:szCs w:val="24"/>
        </w:rPr>
        <w:t>正确</w:t>
      </w:r>
      <w:r>
        <w:rPr>
          <w:rFonts w:asciiTheme="minorEastAsia" w:eastAsiaTheme="minorEastAsia" w:hAnsiTheme="minorEastAsia"/>
          <w:b/>
          <w:sz w:val="24"/>
          <w:szCs w:val="24"/>
        </w:rPr>
        <w:t>理解评估结论，应当阅读</w:t>
      </w:r>
      <w:r>
        <w:rPr>
          <w:rFonts w:asciiTheme="minorEastAsia" w:eastAsiaTheme="minorEastAsia" w:hAnsiTheme="minorEastAsia" w:hint="eastAsia"/>
          <w:b/>
          <w:sz w:val="24"/>
          <w:szCs w:val="24"/>
        </w:rPr>
        <w:t>资产</w:t>
      </w:r>
      <w:r>
        <w:rPr>
          <w:rFonts w:asciiTheme="minorEastAsia" w:eastAsiaTheme="minorEastAsia" w:hAnsiTheme="minorEastAsia"/>
          <w:b/>
          <w:sz w:val="24"/>
          <w:szCs w:val="24"/>
        </w:rPr>
        <w:t>评估报告正文。</w:t>
      </w:r>
    </w:p>
    <w:p w:rsidR="00A3032C" w:rsidRDefault="00A3032C">
      <w:pPr>
        <w:tabs>
          <w:tab w:val="left" w:pos="0"/>
        </w:tabs>
        <w:spacing w:line="360" w:lineRule="auto"/>
        <w:ind w:firstLineChars="200" w:firstLine="482"/>
        <w:rPr>
          <w:rFonts w:asciiTheme="minorEastAsia" w:eastAsiaTheme="minorEastAsia" w:hAnsiTheme="minorEastAsia"/>
          <w:b/>
          <w:sz w:val="24"/>
          <w:szCs w:val="24"/>
        </w:rPr>
      </w:pPr>
    </w:p>
    <w:p w:rsidR="00A3032C" w:rsidRDefault="00A3032C">
      <w:pPr>
        <w:tabs>
          <w:tab w:val="left" w:pos="0"/>
        </w:tabs>
        <w:spacing w:line="360" w:lineRule="auto"/>
        <w:ind w:firstLineChars="200" w:firstLine="480"/>
        <w:rPr>
          <w:rFonts w:asciiTheme="minorEastAsia" w:eastAsiaTheme="minorEastAsia" w:hAnsiTheme="minorEastAsia"/>
          <w:sz w:val="24"/>
          <w:szCs w:val="24"/>
        </w:rPr>
      </w:pPr>
    </w:p>
    <w:p w:rsidR="00A3032C" w:rsidRDefault="00A3032C">
      <w:pPr>
        <w:tabs>
          <w:tab w:val="left" w:pos="0"/>
        </w:tabs>
        <w:spacing w:line="360" w:lineRule="auto"/>
        <w:ind w:firstLineChars="200" w:firstLine="480"/>
        <w:rPr>
          <w:rFonts w:asciiTheme="minorEastAsia" w:eastAsiaTheme="minorEastAsia" w:hAnsiTheme="minorEastAsia"/>
          <w:sz w:val="24"/>
          <w:szCs w:val="24"/>
        </w:rPr>
        <w:sectPr w:rsidR="00A3032C">
          <w:footerReference w:type="default" r:id="rId13"/>
          <w:pgSz w:w="11906" w:h="16838"/>
          <w:pgMar w:top="1440" w:right="1800" w:bottom="1440" w:left="1800" w:header="851" w:footer="850" w:gutter="0"/>
          <w:cols w:space="425"/>
          <w:docGrid w:type="lines" w:linePitch="312"/>
        </w:sectPr>
      </w:pPr>
    </w:p>
    <w:p w:rsidR="00A3032C" w:rsidRDefault="00C03818">
      <w:pPr>
        <w:spacing w:line="360" w:lineRule="auto"/>
        <w:jc w:val="center"/>
        <w:rPr>
          <w:b/>
          <w:bCs/>
          <w:kern w:val="44"/>
          <w:sz w:val="32"/>
          <w:szCs w:val="32"/>
        </w:rPr>
      </w:pPr>
      <w:bookmarkStart w:id="8" w:name="_Toc493752479"/>
      <w:r>
        <w:rPr>
          <w:rFonts w:hint="eastAsia"/>
          <w:b/>
          <w:bCs/>
          <w:kern w:val="44"/>
          <w:sz w:val="32"/>
          <w:szCs w:val="32"/>
        </w:rPr>
        <w:lastRenderedPageBreak/>
        <w:t>青岛海事法院受理</w:t>
      </w:r>
      <w:r>
        <w:rPr>
          <w:rFonts w:hint="eastAsia"/>
          <w:b/>
          <w:bCs/>
          <w:kern w:val="44"/>
          <w:sz w:val="32"/>
          <w:szCs w:val="32"/>
        </w:rPr>
        <w:t>(2017)</w:t>
      </w:r>
      <w:r>
        <w:rPr>
          <w:rFonts w:hint="eastAsia"/>
          <w:b/>
          <w:bCs/>
          <w:kern w:val="44"/>
          <w:sz w:val="32"/>
          <w:szCs w:val="32"/>
        </w:rPr>
        <w:t>青</w:t>
      </w:r>
      <w:r>
        <w:rPr>
          <w:rFonts w:hint="eastAsia"/>
          <w:b/>
          <w:bCs/>
          <w:kern w:val="44"/>
          <w:sz w:val="32"/>
          <w:szCs w:val="32"/>
        </w:rPr>
        <w:t>72</w:t>
      </w:r>
      <w:r>
        <w:rPr>
          <w:rFonts w:hint="eastAsia"/>
          <w:b/>
          <w:bCs/>
          <w:kern w:val="44"/>
          <w:sz w:val="32"/>
          <w:szCs w:val="32"/>
        </w:rPr>
        <w:t>执</w:t>
      </w:r>
      <w:proofErr w:type="gramStart"/>
      <w:r>
        <w:rPr>
          <w:rFonts w:hint="eastAsia"/>
          <w:b/>
          <w:bCs/>
          <w:kern w:val="44"/>
          <w:sz w:val="32"/>
          <w:szCs w:val="32"/>
        </w:rPr>
        <w:t>恢</w:t>
      </w:r>
      <w:proofErr w:type="gramEnd"/>
      <w:r>
        <w:rPr>
          <w:rFonts w:hint="eastAsia"/>
          <w:b/>
          <w:bCs/>
          <w:kern w:val="44"/>
          <w:sz w:val="32"/>
          <w:szCs w:val="32"/>
        </w:rPr>
        <w:t>46</w:t>
      </w:r>
      <w:r>
        <w:rPr>
          <w:rFonts w:hint="eastAsia"/>
          <w:b/>
          <w:bCs/>
          <w:kern w:val="44"/>
          <w:sz w:val="32"/>
          <w:szCs w:val="32"/>
        </w:rPr>
        <w:t>号一案涉及的</w:t>
      </w:r>
    </w:p>
    <w:p w:rsidR="00A3032C" w:rsidRDefault="00C03818">
      <w:pPr>
        <w:spacing w:line="360" w:lineRule="auto"/>
        <w:jc w:val="center"/>
        <w:rPr>
          <w:b/>
          <w:bCs/>
          <w:kern w:val="44"/>
          <w:sz w:val="32"/>
          <w:szCs w:val="32"/>
        </w:rPr>
      </w:pPr>
      <w:r>
        <w:rPr>
          <w:rFonts w:hint="eastAsia"/>
          <w:b/>
          <w:bCs/>
          <w:kern w:val="44"/>
          <w:sz w:val="32"/>
          <w:szCs w:val="32"/>
        </w:rPr>
        <w:t>山东省国际海运公司持有的丰慧企业有限公司</w:t>
      </w:r>
    </w:p>
    <w:p w:rsidR="00A3032C" w:rsidRDefault="00C03818">
      <w:pPr>
        <w:spacing w:line="360" w:lineRule="auto"/>
        <w:jc w:val="center"/>
        <w:rPr>
          <w:b/>
          <w:bCs/>
          <w:kern w:val="44"/>
          <w:sz w:val="32"/>
          <w:szCs w:val="32"/>
        </w:rPr>
      </w:pPr>
      <w:r>
        <w:rPr>
          <w:rFonts w:hint="eastAsia"/>
          <w:b/>
          <w:bCs/>
          <w:kern w:val="44"/>
          <w:sz w:val="32"/>
          <w:szCs w:val="32"/>
        </w:rPr>
        <w:t>股权评估项目</w:t>
      </w:r>
    </w:p>
    <w:p w:rsidR="00A3032C" w:rsidRDefault="00C03818">
      <w:pPr>
        <w:pStyle w:val="1"/>
        <w:spacing w:before="0" w:after="0" w:line="360" w:lineRule="auto"/>
        <w:jc w:val="center"/>
        <w:rPr>
          <w:sz w:val="32"/>
          <w:szCs w:val="32"/>
        </w:rPr>
      </w:pPr>
      <w:r>
        <w:rPr>
          <w:rFonts w:hint="eastAsia"/>
          <w:sz w:val="32"/>
          <w:szCs w:val="32"/>
        </w:rPr>
        <w:t>资产</w:t>
      </w:r>
      <w:r>
        <w:rPr>
          <w:sz w:val="32"/>
          <w:szCs w:val="32"/>
        </w:rPr>
        <w:t>评估报告</w:t>
      </w:r>
      <w:r>
        <w:rPr>
          <w:rFonts w:hint="eastAsia"/>
          <w:sz w:val="32"/>
          <w:szCs w:val="32"/>
        </w:rPr>
        <w:t>正文</w:t>
      </w:r>
      <w:bookmarkEnd w:id="8"/>
    </w:p>
    <w:p w:rsidR="00A3032C" w:rsidRDefault="00C03818">
      <w:pPr>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青振</w:t>
      </w:r>
      <w:r>
        <w:rPr>
          <w:rFonts w:asciiTheme="minorEastAsia" w:eastAsiaTheme="minorEastAsia" w:hAnsiTheme="minorEastAsia"/>
          <w:szCs w:val="21"/>
        </w:rPr>
        <w:t>评报</w:t>
      </w:r>
      <w:proofErr w:type="gramEnd"/>
      <w:r>
        <w:rPr>
          <w:rFonts w:asciiTheme="minorEastAsia" w:eastAsiaTheme="minorEastAsia" w:hAnsiTheme="minorEastAsia"/>
          <w:szCs w:val="21"/>
        </w:rPr>
        <w:t>字</w:t>
      </w:r>
      <w:r>
        <w:rPr>
          <w:rFonts w:asciiTheme="minorEastAsia" w:eastAsiaTheme="minorEastAsia" w:hAnsiTheme="minorEastAsia"/>
          <w:szCs w:val="21"/>
        </w:rPr>
        <w:t>[201</w:t>
      </w: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szCs w:val="21"/>
        </w:rPr>
        <w:t>第</w:t>
      </w:r>
      <w:r>
        <w:rPr>
          <w:rFonts w:asciiTheme="minorEastAsia" w:eastAsiaTheme="minorEastAsia" w:hAnsiTheme="minorEastAsia" w:hint="eastAsia"/>
          <w:szCs w:val="21"/>
        </w:rPr>
        <w:t>0182</w:t>
      </w:r>
      <w:r>
        <w:rPr>
          <w:rFonts w:asciiTheme="minorEastAsia" w:eastAsiaTheme="minorEastAsia" w:hAnsiTheme="minorEastAsia"/>
          <w:szCs w:val="21"/>
        </w:rPr>
        <w:t>号</w:t>
      </w:r>
    </w:p>
    <w:p w:rsidR="00A3032C" w:rsidRDefault="00C03818">
      <w:pPr>
        <w:tabs>
          <w:tab w:val="left" w:pos="0"/>
        </w:tabs>
        <w:spacing w:before="100" w:beforeAutospacing="1"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青岛海事法院</w:t>
      </w:r>
      <w:r>
        <w:rPr>
          <w:rFonts w:asciiTheme="minorEastAsia" w:eastAsiaTheme="minorEastAsia" w:hAnsiTheme="minorEastAsia"/>
          <w:bCs/>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青岛振</w:t>
      </w:r>
      <w:proofErr w:type="gramStart"/>
      <w:r>
        <w:rPr>
          <w:rFonts w:asciiTheme="minorEastAsia" w:eastAsiaTheme="minorEastAsia" w:hAnsiTheme="minorEastAsia" w:hint="eastAsia"/>
          <w:sz w:val="24"/>
          <w:szCs w:val="24"/>
        </w:rPr>
        <w:t>青</w:t>
      </w:r>
      <w:r>
        <w:rPr>
          <w:rFonts w:asciiTheme="minorEastAsia" w:eastAsiaTheme="minorEastAsia" w:hAnsiTheme="minorEastAsia"/>
          <w:sz w:val="24"/>
          <w:szCs w:val="24"/>
        </w:rPr>
        <w:t>资产</w:t>
      </w:r>
      <w:proofErr w:type="gramEnd"/>
      <w:r>
        <w:rPr>
          <w:rFonts w:asciiTheme="minorEastAsia" w:eastAsiaTheme="minorEastAsia" w:hAnsiTheme="minorEastAsia"/>
          <w:sz w:val="24"/>
          <w:szCs w:val="24"/>
        </w:rPr>
        <w:t>评估有限责任公司接受贵</w:t>
      </w:r>
      <w:r>
        <w:rPr>
          <w:rFonts w:asciiTheme="minorEastAsia" w:eastAsiaTheme="minorEastAsia" w:hAnsiTheme="minorEastAsia" w:hint="eastAsia"/>
          <w:sz w:val="24"/>
          <w:szCs w:val="24"/>
        </w:rPr>
        <w:t>单位</w:t>
      </w:r>
      <w:r>
        <w:rPr>
          <w:rFonts w:asciiTheme="minorEastAsia" w:eastAsiaTheme="minorEastAsia" w:hAnsiTheme="minorEastAsia"/>
          <w:sz w:val="24"/>
          <w:szCs w:val="24"/>
        </w:rPr>
        <w:t>的委托，</w:t>
      </w:r>
      <w:r>
        <w:rPr>
          <w:rFonts w:asciiTheme="minorEastAsia" w:eastAsiaTheme="minorEastAsia" w:hAnsiTheme="minorEastAsia" w:hint="eastAsia"/>
          <w:sz w:val="24"/>
          <w:szCs w:val="24"/>
        </w:rPr>
        <w:t>按照法律、行政法规和资产评估准则</w:t>
      </w:r>
      <w:r>
        <w:rPr>
          <w:rFonts w:asciiTheme="minorEastAsia" w:eastAsiaTheme="minorEastAsia" w:hAnsiTheme="minorEastAsia" w:hint="eastAsia"/>
          <w:sz w:val="24"/>
          <w:szCs w:val="24"/>
        </w:rPr>
        <w:t>的规定，坚持独立、客观和公正的原则，采用</w:t>
      </w:r>
      <w:r>
        <w:rPr>
          <w:rFonts w:asciiTheme="minorEastAsia" w:eastAsiaTheme="minorEastAsia" w:hAnsiTheme="minorEastAsia" w:hint="eastAsia"/>
          <w:sz w:val="24"/>
          <w:szCs w:val="24"/>
        </w:rPr>
        <w:t>资产基础法</w:t>
      </w:r>
      <w:r>
        <w:rPr>
          <w:rFonts w:asciiTheme="minorEastAsia" w:eastAsiaTheme="minorEastAsia" w:hAnsiTheme="minorEastAsia" w:hint="eastAsia"/>
          <w:sz w:val="24"/>
          <w:szCs w:val="24"/>
        </w:rPr>
        <w:t>，按照必要的评估程序，对</w:t>
      </w:r>
      <w:r>
        <w:rPr>
          <w:rFonts w:asciiTheme="minorEastAsia" w:eastAsiaTheme="minorEastAsia" w:hAnsiTheme="minorEastAsia" w:hint="eastAsia"/>
          <w:sz w:val="24"/>
          <w:szCs w:val="24"/>
        </w:rPr>
        <w:t>山东省国际海运公司持有</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丰慧企业有限公司的</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万股股权在</w:t>
      </w:r>
      <w:r>
        <w:rPr>
          <w:rFonts w:asciiTheme="minorEastAsia" w:eastAsiaTheme="minorEastAsia" w:hAnsiTheme="minorEastAsia" w:hint="eastAsia"/>
          <w:sz w:val="24"/>
          <w:szCs w:val="24"/>
        </w:rPr>
        <w:t>评估基准日的</w:t>
      </w:r>
      <w:r>
        <w:rPr>
          <w:rFonts w:asciiTheme="minorEastAsia" w:eastAsiaTheme="minorEastAsia" w:hAnsiTheme="minorEastAsia" w:hint="eastAsia"/>
          <w:sz w:val="24"/>
          <w:szCs w:val="24"/>
        </w:rPr>
        <w:t>市场</w:t>
      </w:r>
      <w:r>
        <w:rPr>
          <w:rFonts w:asciiTheme="minorEastAsia" w:eastAsiaTheme="minorEastAsia" w:hAnsiTheme="minorEastAsia" w:hint="eastAsia"/>
          <w:sz w:val="24"/>
          <w:szCs w:val="24"/>
        </w:rPr>
        <w:t>价值进行了评估。现将资产评估情况报告如下：</w:t>
      </w:r>
    </w:p>
    <w:p w:rsidR="00A3032C" w:rsidRDefault="00C03818">
      <w:pPr>
        <w:pStyle w:val="2"/>
        <w:ind w:firstLine="482"/>
      </w:pPr>
      <w:bookmarkStart w:id="9" w:name="_Toc334186087"/>
      <w:bookmarkStart w:id="10" w:name="_Toc493752480"/>
      <w:r>
        <w:t>一、</w:t>
      </w:r>
      <w:bookmarkStart w:id="11" w:name="三03"/>
      <w:r>
        <w:t>委托</w:t>
      </w:r>
      <w:bookmarkEnd w:id="11"/>
      <w:r>
        <w:rPr>
          <w:rFonts w:hint="eastAsia"/>
        </w:rPr>
        <w:t>人</w:t>
      </w:r>
      <w:r>
        <w:t>、被评估单位及</w:t>
      </w:r>
      <w:bookmarkEnd w:id="9"/>
      <w:r>
        <w:rPr>
          <w:rFonts w:hint="eastAsia"/>
        </w:rPr>
        <w:t>资产评估委托合同约定的其他资产评估报告使用人的概况</w:t>
      </w:r>
      <w:bookmarkEnd w:id="10"/>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委托人为</w:t>
      </w:r>
      <w:r>
        <w:rPr>
          <w:rFonts w:asciiTheme="minorEastAsia" w:eastAsiaTheme="minorEastAsia" w:hAnsiTheme="minorEastAsia" w:hint="eastAsia"/>
          <w:sz w:val="24"/>
          <w:szCs w:val="24"/>
        </w:rPr>
        <w:t>青岛海事法院</w:t>
      </w:r>
      <w:r>
        <w:rPr>
          <w:rFonts w:asciiTheme="minorEastAsia" w:eastAsiaTheme="minorEastAsia" w:hAnsiTheme="minorEastAsia" w:hint="eastAsia"/>
          <w:sz w:val="24"/>
          <w:szCs w:val="24"/>
        </w:rPr>
        <w:t>，被评估单位为</w:t>
      </w:r>
      <w:r>
        <w:rPr>
          <w:rFonts w:asciiTheme="minorEastAsia" w:eastAsiaTheme="minorEastAsia" w:hAnsiTheme="minorEastAsia" w:hint="eastAsia"/>
          <w:sz w:val="24"/>
          <w:szCs w:val="24"/>
        </w:rPr>
        <w:t>丰慧企业</w:t>
      </w:r>
      <w:r>
        <w:rPr>
          <w:rFonts w:asciiTheme="minorEastAsia" w:eastAsiaTheme="minorEastAsia" w:hAnsiTheme="minorEastAsia" w:hint="eastAsia"/>
          <w:sz w:val="24"/>
          <w:szCs w:val="24"/>
        </w:rPr>
        <w:t>有限公司。</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（一）委托人</w:t>
      </w:r>
      <w:r>
        <w:rPr>
          <w:rFonts w:asciiTheme="minorEastAsia" w:eastAsiaTheme="minorEastAsia" w:hAnsiTheme="minorEastAsia" w:hint="eastAsia"/>
          <w:sz w:val="24"/>
          <w:szCs w:val="24"/>
        </w:rPr>
        <w:t>概况</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名称：</w:t>
      </w:r>
      <w:r>
        <w:rPr>
          <w:rFonts w:asciiTheme="minorEastAsia" w:eastAsiaTheme="minorEastAsia" w:hAnsiTheme="minorEastAsia" w:hint="eastAsia"/>
          <w:sz w:val="24"/>
          <w:szCs w:val="24"/>
        </w:rPr>
        <w:t>青岛海事法院</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（二）被评估单位概况</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注册登记情况</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名称：</w:t>
      </w:r>
      <w:r>
        <w:rPr>
          <w:rFonts w:asciiTheme="minorEastAsia" w:eastAsiaTheme="minorEastAsia" w:hAnsiTheme="minorEastAsia" w:hint="eastAsia"/>
          <w:sz w:val="24"/>
          <w:szCs w:val="24"/>
        </w:rPr>
        <w:t>丰慧企业</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FONWAY ENTERPRISES LIMITED</w:t>
      </w:r>
      <w:r>
        <w:rPr>
          <w:rFonts w:asciiTheme="minorEastAsia" w:eastAsiaTheme="minorEastAsia" w:hAnsiTheme="minorEastAsia"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公司编号：</w:t>
      </w:r>
      <w:r>
        <w:rPr>
          <w:rFonts w:asciiTheme="minorEastAsia" w:eastAsiaTheme="minorEastAsia" w:hAnsiTheme="minorEastAsia" w:hint="eastAsia"/>
          <w:sz w:val="24"/>
          <w:szCs w:val="24"/>
        </w:rPr>
        <w:t>0461352</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住所：</w:t>
      </w:r>
      <w:r>
        <w:rPr>
          <w:rFonts w:asciiTheme="minorEastAsia" w:eastAsiaTheme="minorEastAsia" w:hAnsiTheme="minorEastAsia" w:hint="eastAsia"/>
          <w:sz w:val="24"/>
          <w:szCs w:val="24"/>
        </w:rPr>
        <w:t xml:space="preserve">RM 1509-10A 15/F </w:t>
      </w:r>
      <w:r>
        <w:rPr>
          <w:rFonts w:asciiTheme="minorEastAsia" w:eastAsiaTheme="minorEastAsia" w:hAnsiTheme="minorEastAsia" w:hint="eastAsia"/>
          <w:sz w:val="24"/>
          <w:szCs w:val="24"/>
        </w:rPr>
        <w:t>WING TUCK COMM CTR 177-183 WING LOK ST HK</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企业类</w:t>
      </w:r>
      <w:r>
        <w:rPr>
          <w:rFonts w:asciiTheme="minorEastAsia" w:eastAsiaTheme="minorEastAsia" w:hAnsiTheme="minorEastAsia" w:hint="eastAsia"/>
          <w:sz w:val="24"/>
          <w:szCs w:val="24"/>
        </w:rPr>
        <w:t>型：私人股份有限公司</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注册资本：</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万港元</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成立日期：</w:t>
      </w:r>
      <w:r>
        <w:rPr>
          <w:rFonts w:asciiTheme="minorEastAsia" w:eastAsiaTheme="minorEastAsia" w:hAnsiTheme="minorEastAsia" w:hint="eastAsia"/>
          <w:sz w:val="24"/>
          <w:szCs w:val="24"/>
        </w:rPr>
        <w:t>1994</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日</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经营范围：</w:t>
      </w:r>
      <w:r>
        <w:rPr>
          <w:rFonts w:asciiTheme="minorEastAsia" w:eastAsiaTheme="minorEastAsia" w:hAnsiTheme="minorEastAsia" w:hint="eastAsia"/>
          <w:sz w:val="24"/>
          <w:szCs w:val="24"/>
        </w:rPr>
        <w:t>SHIPPING TDG INV</w:t>
      </w:r>
      <w:r>
        <w:rPr>
          <w:rFonts w:asciiTheme="minorEastAsia" w:eastAsiaTheme="minorEastAsia" w:hAnsiTheme="minorEastAsia"/>
          <w:sz w:val="24"/>
          <w:szCs w:val="24"/>
        </w:rPr>
        <w:t>’</w:t>
      </w:r>
      <w:r>
        <w:rPr>
          <w:rFonts w:asciiTheme="minorEastAsia" w:eastAsiaTheme="minorEastAsia" w:hAnsiTheme="minorEastAsia" w:hint="eastAsia"/>
          <w:sz w:val="24"/>
          <w:szCs w:val="24"/>
        </w:rPr>
        <w:t>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公司股东及持股比例、股权变更情况</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丰慧企业</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于</w:t>
      </w:r>
      <w:r>
        <w:rPr>
          <w:rFonts w:asciiTheme="minorEastAsia" w:eastAsiaTheme="minorEastAsia" w:hAnsiTheme="minorEastAsia" w:hint="eastAsia"/>
          <w:sz w:val="24"/>
          <w:szCs w:val="24"/>
        </w:rPr>
        <w:t>1994</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日在香港注册成立，注册资本</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万港</w:t>
      </w:r>
      <w:r>
        <w:rPr>
          <w:rFonts w:asciiTheme="minorEastAsia" w:eastAsiaTheme="minorEastAsia" w:hAnsiTheme="minorEastAsia" w:hint="eastAsia"/>
          <w:sz w:val="24"/>
          <w:szCs w:val="24"/>
        </w:rPr>
        <w:lastRenderedPageBreak/>
        <w:t>元，由山东省国际海运公司联合中国外运山东公司与香港华润集团属下华夏企业有限公司共同组建；</w:t>
      </w:r>
      <w:r>
        <w:rPr>
          <w:rFonts w:asciiTheme="minorEastAsia" w:eastAsiaTheme="minorEastAsia" w:hAnsiTheme="minorEastAsia" w:hint="eastAsia"/>
          <w:sz w:val="24"/>
          <w:szCs w:val="24"/>
        </w:rPr>
        <w:t>1997</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月公司收购其余两家股份。股东为山东省国际海运公司，持股</w:t>
      </w:r>
      <w:r>
        <w:rPr>
          <w:rFonts w:asciiTheme="minorEastAsia" w:eastAsiaTheme="minorEastAsia" w:hAnsiTheme="minorEastAsia" w:hint="eastAsia"/>
          <w:sz w:val="24"/>
          <w:szCs w:val="24"/>
        </w:rPr>
        <w:t>999999</w:t>
      </w:r>
      <w:r>
        <w:rPr>
          <w:rFonts w:asciiTheme="minorEastAsia" w:eastAsiaTheme="minorEastAsia" w:hAnsiTheme="minorEastAsia" w:hint="eastAsia"/>
          <w:sz w:val="24"/>
          <w:szCs w:val="24"/>
        </w:rPr>
        <w:t>股；高成柱，持股</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股。经核实</w:t>
      </w:r>
      <w:proofErr w:type="gramStart"/>
      <w:r>
        <w:rPr>
          <w:rFonts w:asciiTheme="minorEastAsia" w:eastAsiaTheme="minorEastAsia" w:hAnsiTheme="minorEastAsia" w:hint="eastAsia"/>
          <w:sz w:val="24"/>
          <w:szCs w:val="24"/>
        </w:rPr>
        <w:t>确认高</w:t>
      </w:r>
      <w:proofErr w:type="gramEnd"/>
      <w:r>
        <w:rPr>
          <w:rFonts w:asciiTheme="minorEastAsia" w:eastAsiaTheme="minorEastAsia" w:hAnsiTheme="minorEastAsia" w:hint="eastAsia"/>
          <w:sz w:val="24"/>
          <w:szCs w:val="24"/>
        </w:rPr>
        <w:t>成柱为代持股，故山东省国际海运公司持有其全部股份。</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近三年来</w:t>
      </w:r>
      <w:r>
        <w:rPr>
          <w:rFonts w:asciiTheme="minorEastAsia" w:eastAsiaTheme="minorEastAsia" w:hAnsiTheme="minorEastAsia" w:hint="eastAsia"/>
          <w:sz w:val="24"/>
          <w:szCs w:val="24"/>
        </w:rPr>
        <w:t>的资产、财务、</w:t>
      </w:r>
      <w:r>
        <w:rPr>
          <w:rFonts w:asciiTheme="minorEastAsia" w:eastAsiaTheme="minorEastAsia" w:hAnsiTheme="minorEastAsia"/>
          <w:sz w:val="24"/>
          <w:szCs w:val="24"/>
        </w:rPr>
        <w:t>经营业绩</w:t>
      </w:r>
    </w:p>
    <w:tbl>
      <w:tblPr>
        <w:tblW w:w="8533" w:type="dxa"/>
        <w:jc w:val="center"/>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1706"/>
        <w:gridCol w:w="1706"/>
        <w:gridCol w:w="1707"/>
        <w:gridCol w:w="1707"/>
        <w:gridCol w:w="1707"/>
      </w:tblGrid>
      <w:tr w:rsidR="00A3032C">
        <w:trPr>
          <w:trHeight w:val="318"/>
          <w:tblHeader/>
          <w:jc w:val="center"/>
        </w:trPr>
        <w:tc>
          <w:tcPr>
            <w:tcW w:w="1706" w:type="dxa"/>
            <w:vAlign w:val="center"/>
          </w:tcPr>
          <w:p w:rsidR="00A3032C" w:rsidRDefault="00C03818">
            <w:pPr>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财务指标</w:t>
            </w:r>
          </w:p>
        </w:tc>
        <w:tc>
          <w:tcPr>
            <w:tcW w:w="1706" w:type="dxa"/>
            <w:vAlign w:val="center"/>
          </w:tcPr>
          <w:p w:rsidR="00A3032C" w:rsidRDefault="00C03818">
            <w:pPr>
              <w:spacing w:line="320" w:lineRule="exact"/>
              <w:ind w:firstLineChars="50" w:firstLine="7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2015</w:t>
            </w:r>
            <w:r>
              <w:rPr>
                <w:rFonts w:asciiTheme="minorEastAsia" w:eastAsiaTheme="minorEastAsia" w:hAnsiTheme="minorEastAsia" w:cs="宋体"/>
                <w:kern w:val="0"/>
                <w:sz w:val="15"/>
                <w:szCs w:val="15"/>
              </w:rPr>
              <w:t>年</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kern w:val="0"/>
                <w:sz w:val="15"/>
                <w:szCs w:val="15"/>
              </w:rPr>
              <w:t>月</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kern w:val="0"/>
                <w:sz w:val="15"/>
                <w:szCs w:val="15"/>
              </w:rPr>
              <w:t>日</w:t>
            </w:r>
          </w:p>
        </w:tc>
        <w:tc>
          <w:tcPr>
            <w:tcW w:w="1707" w:type="dxa"/>
          </w:tcPr>
          <w:p w:rsidR="00A3032C" w:rsidRDefault="00C03818">
            <w:pPr>
              <w:spacing w:line="320" w:lineRule="exact"/>
              <w:ind w:firstLineChars="50" w:firstLine="7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2016</w:t>
            </w:r>
            <w:r>
              <w:rPr>
                <w:rFonts w:asciiTheme="minorEastAsia" w:eastAsiaTheme="minorEastAsia" w:hAnsiTheme="minorEastAsia" w:cs="宋体"/>
                <w:kern w:val="0"/>
                <w:sz w:val="15"/>
                <w:szCs w:val="15"/>
              </w:rPr>
              <w:t>年</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kern w:val="0"/>
                <w:sz w:val="15"/>
                <w:szCs w:val="15"/>
              </w:rPr>
              <w:t>月</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kern w:val="0"/>
                <w:sz w:val="15"/>
                <w:szCs w:val="15"/>
              </w:rPr>
              <w:t>日</w:t>
            </w:r>
          </w:p>
        </w:tc>
        <w:tc>
          <w:tcPr>
            <w:tcW w:w="1707" w:type="dxa"/>
          </w:tcPr>
          <w:p w:rsidR="00A3032C" w:rsidRDefault="00C03818">
            <w:pPr>
              <w:spacing w:line="320" w:lineRule="exact"/>
              <w:ind w:firstLineChars="50" w:firstLine="7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2017</w:t>
            </w:r>
            <w:r>
              <w:rPr>
                <w:rFonts w:asciiTheme="minorEastAsia" w:eastAsiaTheme="minorEastAsia" w:hAnsiTheme="minorEastAsia" w:cs="宋体"/>
                <w:kern w:val="0"/>
                <w:sz w:val="15"/>
                <w:szCs w:val="15"/>
              </w:rPr>
              <w:t>年</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kern w:val="0"/>
                <w:sz w:val="15"/>
                <w:szCs w:val="15"/>
              </w:rPr>
              <w:t>月</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kern w:val="0"/>
                <w:sz w:val="15"/>
                <w:szCs w:val="15"/>
              </w:rPr>
              <w:t>日</w:t>
            </w:r>
          </w:p>
        </w:tc>
        <w:tc>
          <w:tcPr>
            <w:tcW w:w="1707" w:type="dxa"/>
          </w:tcPr>
          <w:p w:rsidR="00A3032C" w:rsidRDefault="00C03818">
            <w:pPr>
              <w:spacing w:line="320" w:lineRule="exact"/>
              <w:ind w:firstLineChars="50" w:firstLine="7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2018</w:t>
            </w:r>
            <w:r>
              <w:rPr>
                <w:rFonts w:asciiTheme="minorEastAsia" w:eastAsiaTheme="minorEastAsia" w:hAnsiTheme="minorEastAsia" w:cs="宋体" w:hint="eastAsia"/>
                <w:kern w:val="0"/>
                <w:sz w:val="15"/>
                <w:szCs w:val="15"/>
              </w:rPr>
              <w:t>年</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月</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日</w:t>
            </w:r>
          </w:p>
        </w:tc>
      </w:tr>
      <w:tr w:rsidR="00A3032C">
        <w:trPr>
          <w:trHeight w:val="355"/>
          <w:jc w:val="center"/>
        </w:trPr>
        <w:tc>
          <w:tcPr>
            <w:tcW w:w="1706" w:type="dxa"/>
            <w:vAlign w:val="center"/>
          </w:tcPr>
          <w:p w:rsidR="00A3032C" w:rsidRDefault="00C03818">
            <w:pPr>
              <w:spacing w:line="32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总资产（</w:t>
            </w:r>
            <w:r>
              <w:rPr>
                <w:rFonts w:asciiTheme="minorEastAsia" w:eastAsiaTheme="minorEastAsia" w:hAnsiTheme="minorEastAsia" w:cs="宋体" w:hint="eastAsia"/>
                <w:kern w:val="0"/>
                <w:sz w:val="18"/>
                <w:szCs w:val="18"/>
              </w:rPr>
              <w:t>港</w:t>
            </w:r>
            <w:r>
              <w:rPr>
                <w:rFonts w:asciiTheme="minorEastAsia" w:eastAsiaTheme="minorEastAsia" w:hAnsiTheme="minorEastAsia" w:cs="宋体"/>
                <w:kern w:val="0"/>
                <w:sz w:val="18"/>
                <w:szCs w:val="18"/>
              </w:rPr>
              <w:t>元）</w:t>
            </w:r>
          </w:p>
        </w:tc>
        <w:tc>
          <w:tcPr>
            <w:tcW w:w="1706"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29,687,357.33</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25,109,146.51</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16,177,280.47</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 xml:space="preserve"> 15,550,782.60 </w:t>
            </w:r>
          </w:p>
        </w:tc>
      </w:tr>
      <w:tr w:rsidR="00A3032C">
        <w:trPr>
          <w:trHeight w:val="318"/>
          <w:jc w:val="center"/>
        </w:trPr>
        <w:tc>
          <w:tcPr>
            <w:tcW w:w="1706" w:type="dxa"/>
            <w:vAlign w:val="center"/>
          </w:tcPr>
          <w:p w:rsidR="00A3032C" w:rsidRDefault="00C03818">
            <w:pPr>
              <w:spacing w:line="32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总负债（</w:t>
            </w:r>
            <w:r>
              <w:rPr>
                <w:rFonts w:asciiTheme="minorEastAsia" w:eastAsiaTheme="minorEastAsia" w:hAnsiTheme="minorEastAsia" w:cs="宋体" w:hint="eastAsia"/>
                <w:kern w:val="0"/>
                <w:sz w:val="18"/>
                <w:szCs w:val="18"/>
              </w:rPr>
              <w:t>港</w:t>
            </w:r>
            <w:r>
              <w:rPr>
                <w:rFonts w:asciiTheme="minorEastAsia" w:eastAsiaTheme="minorEastAsia" w:hAnsiTheme="minorEastAsia" w:cs="宋体"/>
                <w:kern w:val="0"/>
                <w:sz w:val="18"/>
                <w:szCs w:val="18"/>
              </w:rPr>
              <w:t>元）</w:t>
            </w:r>
          </w:p>
        </w:tc>
        <w:tc>
          <w:tcPr>
            <w:tcW w:w="1706"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27,823,932.12</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23,226,897.06</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14,636,083.05</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 xml:space="preserve"> 13,943,198.36 </w:t>
            </w:r>
          </w:p>
        </w:tc>
      </w:tr>
      <w:tr w:rsidR="00A3032C">
        <w:trPr>
          <w:trHeight w:val="318"/>
          <w:jc w:val="center"/>
        </w:trPr>
        <w:tc>
          <w:tcPr>
            <w:tcW w:w="1706" w:type="dxa"/>
            <w:vAlign w:val="center"/>
          </w:tcPr>
          <w:p w:rsidR="00A3032C" w:rsidRDefault="00C03818">
            <w:pPr>
              <w:spacing w:line="32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股东权益（</w:t>
            </w:r>
            <w:r>
              <w:rPr>
                <w:rFonts w:asciiTheme="minorEastAsia" w:eastAsiaTheme="minorEastAsia" w:hAnsiTheme="minorEastAsia" w:cs="宋体" w:hint="eastAsia"/>
                <w:kern w:val="0"/>
                <w:sz w:val="18"/>
                <w:szCs w:val="18"/>
              </w:rPr>
              <w:t>港</w:t>
            </w:r>
            <w:r>
              <w:rPr>
                <w:rFonts w:asciiTheme="minorEastAsia" w:eastAsiaTheme="minorEastAsia" w:hAnsiTheme="minorEastAsia" w:cs="宋体"/>
                <w:kern w:val="0"/>
                <w:sz w:val="18"/>
                <w:szCs w:val="18"/>
              </w:rPr>
              <w:t>元）</w:t>
            </w:r>
          </w:p>
        </w:tc>
        <w:tc>
          <w:tcPr>
            <w:tcW w:w="1706"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1,863,425.21</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1,882,813.45</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1,541,197.42</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1,607,584.24</w:t>
            </w:r>
          </w:p>
        </w:tc>
      </w:tr>
      <w:tr w:rsidR="00A3032C">
        <w:trPr>
          <w:trHeight w:val="318"/>
          <w:jc w:val="center"/>
        </w:trPr>
        <w:tc>
          <w:tcPr>
            <w:tcW w:w="1706" w:type="dxa"/>
            <w:vAlign w:val="center"/>
          </w:tcPr>
          <w:p w:rsidR="00A3032C" w:rsidRDefault="00C03818">
            <w:pPr>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经营业绩</w:t>
            </w:r>
          </w:p>
        </w:tc>
        <w:tc>
          <w:tcPr>
            <w:tcW w:w="1706" w:type="dxa"/>
            <w:vAlign w:val="center"/>
          </w:tcPr>
          <w:p w:rsidR="00A3032C" w:rsidRDefault="00C03818">
            <w:pPr>
              <w:spacing w:line="3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2015</w:t>
            </w:r>
            <w:r>
              <w:rPr>
                <w:rFonts w:asciiTheme="minorEastAsia" w:eastAsiaTheme="minorEastAsia" w:hAnsiTheme="minorEastAsia" w:cs="宋体"/>
                <w:kern w:val="0"/>
                <w:sz w:val="15"/>
                <w:szCs w:val="15"/>
              </w:rPr>
              <w:t>年</w:t>
            </w:r>
          </w:p>
        </w:tc>
        <w:tc>
          <w:tcPr>
            <w:tcW w:w="1707" w:type="dxa"/>
          </w:tcPr>
          <w:p w:rsidR="00A3032C" w:rsidRDefault="00C03818">
            <w:pPr>
              <w:spacing w:line="3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2016</w:t>
            </w:r>
            <w:r>
              <w:rPr>
                <w:rFonts w:asciiTheme="minorEastAsia" w:eastAsiaTheme="minorEastAsia" w:hAnsiTheme="minorEastAsia" w:cs="宋体"/>
                <w:kern w:val="0"/>
                <w:sz w:val="15"/>
                <w:szCs w:val="15"/>
              </w:rPr>
              <w:t>年</w:t>
            </w:r>
          </w:p>
        </w:tc>
        <w:tc>
          <w:tcPr>
            <w:tcW w:w="1707" w:type="dxa"/>
          </w:tcPr>
          <w:p w:rsidR="00A3032C" w:rsidRDefault="00C03818">
            <w:pPr>
              <w:spacing w:line="3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2017</w:t>
            </w:r>
            <w:r>
              <w:rPr>
                <w:rFonts w:asciiTheme="minorEastAsia" w:eastAsiaTheme="minorEastAsia" w:hAnsiTheme="minorEastAsia" w:cs="宋体"/>
                <w:kern w:val="0"/>
                <w:sz w:val="15"/>
                <w:szCs w:val="15"/>
              </w:rPr>
              <w:t>年</w:t>
            </w:r>
          </w:p>
        </w:tc>
        <w:tc>
          <w:tcPr>
            <w:tcW w:w="1707" w:type="dxa"/>
          </w:tcPr>
          <w:p w:rsidR="00A3032C" w:rsidRDefault="00C03818">
            <w:pPr>
              <w:spacing w:line="3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2018</w:t>
            </w:r>
            <w:r>
              <w:rPr>
                <w:rFonts w:asciiTheme="minorEastAsia" w:eastAsiaTheme="minorEastAsia" w:hAnsiTheme="minorEastAsia" w:cs="宋体" w:hint="eastAsia"/>
                <w:kern w:val="0"/>
                <w:sz w:val="15"/>
                <w:szCs w:val="15"/>
              </w:rPr>
              <w:t>年</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月</w:t>
            </w:r>
          </w:p>
        </w:tc>
      </w:tr>
      <w:tr w:rsidR="00A3032C">
        <w:trPr>
          <w:trHeight w:val="318"/>
          <w:jc w:val="center"/>
        </w:trPr>
        <w:tc>
          <w:tcPr>
            <w:tcW w:w="1706" w:type="dxa"/>
            <w:vAlign w:val="center"/>
          </w:tcPr>
          <w:p w:rsidR="00A3032C" w:rsidRDefault="00C03818">
            <w:pPr>
              <w:spacing w:line="32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营业收入（</w:t>
            </w:r>
            <w:r>
              <w:rPr>
                <w:rFonts w:asciiTheme="minorEastAsia" w:eastAsiaTheme="minorEastAsia" w:hAnsiTheme="minorEastAsia" w:cs="宋体" w:hint="eastAsia"/>
                <w:kern w:val="0"/>
                <w:sz w:val="18"/>
                <w:szCs w:val="18"/>
              </w:rPr>
              <w:t>港</w:t>
            </w:r>
            <w:r>
              <w:rPr>
                <w:rFonts w:asciiTheme="minorEastAsia" w:eastAsiaTheme="minorEastAsia" w:hAnsiTheme="minorEastAsia" w:cs="宋体"/>
                <w:kern w:val="0"/>
                <w:sz w:val="18"/>
                <w:szCs w:val="18"/>
              </w:rPr>
              <w:t>元）</w:t>
            </w:r>
          </w:p>
        </w:tc>
        <w:tc>
          <w:tcPr>
            <w:tcW w:w="1706"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1,041,641.58</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1,472,753.13</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987,980.00</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86,218.60</w:t>
            </w:r>
          </w:p>
        </w:tc>
      </w:tr>
      <w:tr w:rsidR="00A3032C">
        <w:trPr>
          <w:trHeight w:val="318"/>
          <w:jc w:val="center"/>
        </w:trPr>
        <w:tc>
          <w:tcPr>
            <w:tcW w:w="1706" w:type="dxa"/>
            <w:vAlign w:val="center"/>
          </w:tcPr>
          <w:p w:rsidR="00A3032C" w:rsidRDefault="00C03818">
            <w:pPr>
              <w:spacing w:line="32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利润总额（</w:t>
            </w:r>
            <w:r>
              <w:rPr>
                <w:rFonts w:asciiTheme="minorEastAsia" w:eastAsiaTheme="minorEastAsia" w:hAnsiTheme="minorEastAsia" w:cs="宋体" w:hint="eastAsia"/>
                <w:kern w:val="0"/>
                <w:sz w:val="18"/>
                <w:szCs w:val="18"/>
              </w:rPr>
              <w:t>港</w:t>
            </w:r>
            <w:r>
              <w:rPr>
                <w:rFonts w:asciiTheme="minorEastAsia" w:eastAsiaTheme="minorEastAsia" w:hAnsiTheme="minorEastAsia" w:cs="宋体"/>
                <w:kern w:val="0"/>
                <w:sz w:val="18"/>
                <w:szCs w:val="18"/>
              </w:rPr>
              <w:t>元）</w:t>
            </w:r>
          </w:p>
        </w:tc>
        <w:tc>
          <w:tcPr>
            <w:tcW w:w="1706"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-235,464.71</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19,388.25</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-14,275.72</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-261,435.12</w:t>
            </w:r>
          </w:p>
        </w:tc>
      </w:tr>
      <w:tr w:rsidR="00A3032C">
        <w:trPr>
          <w:trHeight w:val="319"/>
          <w:jc w:val="center"/>
        </w:trPr>
        <w:tc>
          <w:tcPr>
            <w:tcW w:w="1706" w:type="dxa"/>
            <w:vAlign w:val="center"/>
          </w:tcPr>
          <w:p w:rsidR="00A3032C" w:rsidRDefault="00C03818">
            <w:pPr>
              <w:spacing w:line="32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净利润（</w:t>
            </w:r>
            <w:r>
              <w:rPr>
                <w:rFonts w:asciiTheme="minorEastAsia" w:eastAsiaTheme="minorEastAsia" w:hAnsiTheme="minorEastAsia" w:cs="宋体" w:hint="eastAsia"/>
                <w:kern w:val="0"/>
                <w:sz w:val="18"/>
                <w:szCs w:val="18"/>
              </w:rPr>
              <w:t>港</w:t>
            </w:r>
            <w:r>
              <w:rPr>
                <w:rFonts w:asciiTheme="minorEastAsia" w:eastAsiaTheme="minorEastAsia" w:hAnsiTheme="minorEastAsia" w:cs="宋体"/>
                <w:kern w:val="0"/>
                <w:sz w:val="18"/>
                <w:szCs w:val="18"/>
              </w:rPr>
              <w:t>元）</w:t>
            </w:r>
          </w:p>
        </w:tc>
        <w:tc>
          <w:tcPr>
            <w:tcW w:w="1706"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-235,464.71</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19,388.25</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-14,275.72</w:t>
            </w:r>
          </w:p>
        </w:tc>
        <w:tc>
          <w:tcPr>
            <w:tcW w:w="1707" w:type="dxa"/>
            <w:vAlign w:val="center"/>
          </w:tcPr>
          <w:p w:rsidR="00A3032C" w:rsidRDefault="00C03818">
            <w:pPr>
              <w:spacing w:line="320" w:lineRule="exact"/>
              <w:jc w:val="righ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-261,435.12</w:t>
            </w:r>
          </w:p>
        </w:tc>
      </w:tr>
    </w:tbl>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被评估单位</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年度、</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年度的会计报表均经</w:t>
      </w:r>
      <w:r>
        <w:rPr>
          <w:rFonts w:asciiTheme="minorEastAsia" w:eastAsiaTheme="minorEastAsia" w:hAnsiTheme="minorEastAsia" w:hint="eastAsia"/>
          <w:sz w:val="24"/>
          <w:szCs w:val="24"/>
        </w:rPr>
        <w:t>冯培</w:t>
      </w:r>
      <w:proofErr w:type="gramStart"/>
      <w:r>
        <w:rPr>
          <w:rFonts w:asciiTheme="minorEastAsia" w:eastAsiaTheme="minorEastAsia" w:hAnsiTheme="minorEastAsia" w:hint="eastAsia"/>
          <w:sz w:val="24"/>
          <w:szCs w:val="24"/>
        </w:rPr>
        <w:t>漳</w:t>
      </w:r>
      <w:proofErr w:type="gramEnd"/>
      <w:r>
        <w:rPr>
          <w:rFonts w:asciiTheme="minorEastAsia" w:eastAsiaTheme="minorEastAsia" w:hAnsiTheme="minorEastAsia" w:hint="eastAsia"/>
          <w:sz w:val="24"/>
          <w:szCs w:val="24"/>
        </w:rPr>
        <w:t>会计师事务所</w:t>
      </w:r>
      <w:r>
        <w:rPr>
          <w:rFonts w:asciiTheme="minorEastAsia" w:eastAsiaTheme="minorEastAsia" w:hAnsiTheme="minorEastAsia" w:hint="eastAsia"/>
          <w:sz w:val="24"/>
          <w:szCs w:val="24"/>
        </w:rPr>
        <w:t>审计，并</w:t>
      </w:r>
      <w:r>
        <w:rPr>
          <w:rFonts w:asciiTheme="minorEastAsia" w:eastAsiaTheme="minorEastAsia" w:hAnsiTheme="minorEastAsia" w:hint="eastAsia"/>
          <w:sz w:val="24"/>
          <w:szCs w:val="24"/>
        </w:rPr>
        <w:t>出具审计报告，</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年度及评估基准日会计报表未经审计</w:t>
      </w:r>
      <w:r>
        <w:rPr>
          <w:rFonts w:asciiTheme="minorEastAsia" w:eastAsiaTheme="minorEastAsia" w:hAnsiTheme="minorEastAsia"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委托人与被评估单位之间的关系</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委托方</w:t>
      </w:r>
      <w:r>
        <w:rPr>
          <w:rFonts w:asciiTheme="minorEastAsia" w:eastAsiaTheme="minorEastAsia" w:hAnsiTheme="minorEastAsia" w:hint="eastAsia"/>
          <w:sz w:val="24"/>
          <w:szCs w:val="24"/>
        </w:rPr>
        <w:t>青岛海事法院</w:t>
      </w:r>
      <w:proofErr w:type="gramStart"/>
      <w:r>
        <w:rPr>
          <w:rFonts w:asciiTheme="minorEastAsia" w:eastAsiaTheme="minorEastAsia" w:hAnsiTheme="minorEastAsia" w:hint="eastAsia"/>
          <w:sz w:val="24"/>
          <w:szCs w:val="24"/>
        </w:rPr>
        <w:t>拟执行</w:t>
      </w:r>
      <w:proofErr w:type="gramEnd"/>
      <w:r>
        <w:rPr>
          <w:rFonts w:asciiTheme="minorEastAsia" w:eastAsiaTheme="minorEastAsia" w:hAnsiTheme="minorEastAsia" w:hint="eastAsia"/>
          <w:sz w:val="24"/>
          <w:szCs w:val="24"/>
        </w:rPr>
        <w:t>山东省国际海运公司</w:t>
      </w:r>
      <w:r>
        <w:rPr>
          <w:rFonts w:asciiTheme="minorEastAsia" w:eastAsiaTheme="minorEastAsia" w:hAnsiTheme="minorEastAsia" w:hint="eastAsia"/>
          <w:sz w:val="24"/>
          <w:szCs w:val="24"/>
        </w:rPr>
        <w:t>持有的被评估单位</w:t>
      </w:r>
      <w:r>
        <w:rPr>
          <w:rFonts w:asciiTheme="minorEastAsia" w:eastAsiaTheme="minorEastAsia" w:hAnsiTheme="minorEastAsia" w:hint="eastAsia"/>
          <w:sz w:val="24"/>
          <w:szCs w:val="24"/>
        </w:rPr>
        <w:t>丰慧企业有限公司</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w:t>
      </w:r>
      <w:r>
        <w:rPr>
          <w:rFonts w:asciiTheme="minorEastAsia" w:eastAsiaTheme="minorEastAsia" w:hAnsiTheme="minorEastAsia" w:hint="eastAsia"/>
          <w:sz w:val="24"/>
          <w:szCs w:val="24"/>
        </w:rPr>
        <w:t>股股权。</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（三）</w:t>
      </w:r>
      <w:r>
        <w:rPr>
          <w:rFonts w:asciiTheme="minorEastAsia" w:eastAsiaTheme="minorEastAsia" w:hAnsiTheme="minorEastAsia" w:hint="eastAsia"/>
          <w:sz w:val="24"/>
          <w:szCs w:val="24"/>
        </w:rPr>
        <w:t>资产评估委托合同约定的其他资产评估报告使用人概况</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bookmarkStart w:id="12" w:name="_Toc334186088"/>
      <w:bookmarkStart w:id="13" w:name="_Toc493752481"/>
      <w:r>
        <w:rPr>
          <w:rFonts w:asciiTheme="minorEastAsia" w:eastAsiaTheme="minorEastAsia" w:hAnsiTheme="minorEastAsia" w:hint="eastAsia"/>
          <w:sz w:val="24"/>
          <w:szCs w:val="24"/>
        </w:rPr>
        <w:t>本评估报告的使用者为委托方</w:t>
      </w:r>
      <w:r>
        <w:rPr>
          <w:rFonts w:asciiTheme="minorEastAsia" w:eastAsiaTheme="minorEastAsia" w:hAnsiTheme="minorEastAsia" w:hint="eastAsia"/>
          <w:sz w:val="24"/>
          <w:szCs w:val="24"/>
        </w:rPr>
        <w:t>青岛海事法院</w:t>
      </w:r>
      <w:r>
        <w:rPr>
          <w:rFonts w:asciiTheme="minorEastAsia" w:eastAsiaTheme="minorEastAsia" w:hAnsiTheme="minorEastAsia"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除国家法律法规另有规定外，任何未经评估机构和委托方确认的机构或个人不能由于得到评估报告而成为评估报告使用者</w:t>
      </w:r>
    </w:p>
    <w:p w:rsidR="00A3032C" w:rsidRDefault="00C03818">
      <w:pPr>
        <w:pStyle w:val="2"/>
        <w:ind w:firstLine="482"/>
      </w:pPr>
      <w:r>
        <w:t>二、</w:t>
      </w:r>
      <w:bookmarkStart w:id="14" w:name="三04"/>
      <w:r>
        <w:t>评估目的</w:t>
      </w:r>
      <w:bookmarkEnd w:id="12"/>
      <w:bookmarkEnd w:id="13"/>
      <w:bookmarkEnd w:id="14"/>
    </w:p>
    <w:p w:rsidR="00A3032C" w:rsidRDefault="00C03818">
      <w:pPr>
        <w:tabs>
          <w:tab w:val="left" w:pos="0"/>
        </w:tabs>
        <w:spacing w:line="360" w:lineRule="auto"/>
        <w:ind w:firstLineChars="200" w:firstLine="480"/>
        <w:rPr>
          <w:rFonts w:asciiTheme="minorEastAsia" w:eastAsiaTheme="minorEastAsia" w:hAnsiTheme="minorEastAsia"/>
          <w:sz w:val="24"/>
          <w:szCs w:val="24"/>
        </w:rPr>
      </w:pPr>
      <w:bookmarkStart w:id="15" w:name="_Toc334186089"/>
      <w:bookmarkStart w:id="16" w:name="_Toc493752482"/>
      <w:r>
        <w:rPr>
          <w:rFonts w:asciiTheme="minorEastAsia" w:eastAsiaTheme="minorEastAsia" w:hAnsiTheme="minorEastAsia" w:hint="eastAsia"/>
          <w:sz w:val="24"/>
          <w:szCs w:val="24"/>
        </w:rPr>
        <w:t>根据</w:t>
      </w:r>
      <w:r>
        <w:rPr>
          <w:rFonts w:asciiTheme="minorEastAsia" w:eastAsiaTheme="minorEastAsia" w:hAnsiTheme="minorEastAsia" w:hint="eastAsia"/>
          <w:sz w:val="24"/>
          <w:szCs w:val="24"/>
        </w:rPr>
        <w:t>青岛海事法院鉴定</w:t>
      </w:r>
      <w:r>
        <w:rPr>
          <w:rFonts w:asciiTheme="minorEastAsia" w:eastAsiaTheme="minorEastAsia" w:hAnsiTheme="minorEastAsia" w:hint="eastAsia"/>
          <w:sz w:val="24"/>
          <w:szCs w:val="24"/>
        </w:rPr>
        <w:t>委托</w:t>
      </w:r>
      <w:r>
        <w:rPr>
          <w:rFonts w:asciiTheme="minorEastAsia" w:eastAsiaTheme="minorEastAsia" w:hAnsiTheme="minorEastAsia" w:hint="eastAsia"/>
          <w:sz w:val="24"/>
          <w:szCs w:val="24"/>
        </w:rPr>
        <w:t>函</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青海</w:t>
      </w:r>
      <w:r>
        <w:rPr>
          <w:rFonts w:asciiTheme="minorEastAsia" w:eastAsiaTheme="minorEastAsia" w:hAnsiTheme="minorEastAsia" w:hint="eastAsia"/>
          <w:sz w:val="24"/>
          <w:szCs w:val="24"/>
        </w:rPr>
        <w:t>法技</w:t>
      </w:r>
      <w:r>
        <w:rPr>
          <w:rFonts w:asciiTheme="minorEastAsia" w:eastAsiaTheme="minorEastAsia" w:hAnsiTheme="minorEastAsia" w:hint="eastAsia"/>
          <w:sz w:val="24"/>
          <w:szCs w:val="24"/>
        </w:rPr>
        <w:t>鉴</w:t>
      </w:r>
      <w:r>
        <w:rPr>
          <w:rFonts w:asciiTheme="minorEastAsia" w:eastAsiaTheme="minorEastAsia" w:hAnsiTheme="minorEastAsia" w:hint="eastAsia"/>
          <w:sz w:val="24"/>
          <w:szCs w:val="24"/>
        </w:rPr>
        <w:t>字第</w:t>
      </w:r>
      <w:r>
        <w:rPr>
          <w:rFonts w:asciiTheme="minorEastAsia" w:eastAsiaTheme="minorEastAsia" w:hAnsiTheme="minorEastAsia" w:hint="eastAsia"/>
          <w:sz w:val="24"/>
          <w:szCs w:val="24"/>
        </w:rPr>
        <w:t>60</w:t>
      </w:r>
      <w:r>
        <w:rPr>
          <w:rFonts w:asciiTheme="minorEastAsia" w:eastAsiaTheme="minorEastAsia" w:hAnsiTheme="minorEastAsia" w:hint="eastAsia"/>
          <w:sz w:val="24"/>
          <w:szCs w:val="24"/>
        </w:rPr>
        <w:t>号》文件，本次评估的目的是对</w:t>
      </w:r>
      <w:r>
        <w:rPr>
          <w:rFonts w:asciiTheme="minorEastAsia" w:eastAsiaTheme="minorEastAsia" w:hAnsiTheme="minorEastAsia" w:hint="eastAsia"/>
          <w:sz w:val="24"/>
          <w:szCs w:val="24"/>
        </w:rPr>
        <w:t>山东省国际海运公司</w:t>
      </w:r>
      <w:r>
        <w:rPr>
          <w:rFonts w:asciiTheme="minorEastAsia" w:eastAsiaTheme="minorEastAsia" w:hAnsiTheme="minorEastAsia" w:hint="eastAsia"/>
          <w:sz w:val="24"/>
          <w:szCs w:val="24"/>
        </w:rPr>
        <w:t>持有的</w:t>
      </w:r>
      <w:r>
        <w:rPr>
          <w:rFonts w:asciiTheme="minorEastAsia" w:eastAsiaTheme="minorEastAsia" w:hAnsiTheme="minorEastAsia" w:hint="eastAsia"/>
          <w:sz w:val="24"/>
          <w:szCs w:val="24"/>
        </w:rPr>
        <w:t>丰慧企业有限公司</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w:t>
      </w:r>
      <w:r>
        <w:rPr>
          <w:rFonts w:asciiTheme="minorEastAsia" w:eastAsiaTheme="minorEastAsia" w:hAnsiTheme="minorEastAsia" w:hint="eastAsia"/>
          <w:sz w:val="24"/>
          <w:szCs w:val="24"/>
        </w:rPr>
        <w:t>股股权于评估基准日的市场价值进行评估，为</w:t>
      </w:r>
      <w:r>
        <w:rPr>
          <w:rFonts w:asciiTheme="minorEastAsia" w:eastAsiaTheme="minorEastAsia" w:hAnsiTheme="minorEastAsia" w:hint="eastAsia"/>
          <w:sz w:val="24"/>
          <w:szCs w:val="24"/>
        </w:rPr>
        <w:t>青岛海事法院</w:t>
      </w:r>
      <w:proofErr w:type="gramStart"/>
      <w:r>
        <w:rPr>
          <w:rFonts w:asciiTheme="minorEastAsia" w:eastAsiaTheme="minorEastAsia" w:hAnsiTheme="minorEastAsia" w:hint="eastAsia"/>
          <w:sz w:val="24"/>
          <w:szCs w:val="24"/>
        </w:rPr>
        <w:t>拟执行</w:t>
      </w:r>
      <w:proofErr w:type="gramEnd"/>
      <w:r>
        <w:rPr>
          <w:rFonts w:asciiTheme="minorEastAsia" w:eastAsiaTheme="minorEastAsia" w:hAnsiTheme="minorEastAsia" w:hint="eastAsia"/>
          <w:sz w:val="24"/>
          <w:szCs w:val="24"/>
        </w:rPr>
        <w:t>案件提供价值参考意见。</w:t>
      </w:r>
    </w:p>
    <w:p w:rsidR="00A3032C" w:rsidRDefault="00C03818">
      <w:pPr>
        <w:pStyle w:val="2"/>
        <w:ind w:firstLine="482"/>
        <w:rPr>
          <w:rFonts w:ascii="宋体" w:hAnsi="宋体"/>
          <w:b w:val="0"/>
          <w:bCs w:val="0"/>
          <w:szCs w:val="24"/>
        </w:rPr>
      </w:pPr>
      <w:r>
        <w:t>三、</w:t>
      </w:r>
      <w:bookmarkStart w:id="17" w:name="三05"/>
      <w:r>
        <w:t>评估对象和评估范围</w:t>
      </w:r>
      <w:bookmarkEnd w:id="15"/>
      <w:bookmarkEnd w:id="16"/>
      <w:bookmarkEnd w:id="17"/>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（一）评估对象</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评估对象为</w:t>
      </w:r>
      <w:r>
        <w:rPr>
          <w:rFonts w:ascii="宋体" w:hAnsi="宋体" w:hint="eastAsia"/>
          <w:sz w:val="24"/>
          <w:szCs w:val="24"/>
        </w:rPr>
        <w:t>丰慧企</w:t>
      </w:r>
      <w:r>
        <w:rPr>
          <w:rFonts w:asciiTheme="minorEastAsia" w:eastAsiaTheme="minorEastAsia" w:hAnsiTheme="minorEastAsia" w:hint="eastAsia"/>
          <w:sz w:val="24"/>
          <w:szCs w:val="24"/>
        </w:rPr>
        <w:t>业有限公司</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万股股权（</w:t>
      </w:r>
      <w:proofErr w:type="gramStart"/>
      <w:r>
        <w:rPr>
          <w:rFonts w:asciiTheme="minorEastAsia" w:eastAsiaTheme="minorEastAsia" w:hAnsiTheme="minorEastAsia" w:hint="eastAsia"/>
          <w:sz w:val="24"/>
          <w:szCs w:val="24"/>
        </w:rPr>
        <w:t>暨</w:t>
      </w:r>
      <w:r>
        <w:rPr>
          <w:rFonts w:asciiTheme="minorEastAsia" w:eastAsiaTheme="minorEastAsia" w:hAnsiTheme="minorEastAsia" w:hint="eastAsia"/>
          <w:sz w:val="24"/>
          <w:szCs w:val="24"/>
        </w:rPr>
        <w:t>股东</w:t>
      </w:r>
      <w:proofErr w:type="gramEnd"/>
      <w:r>
        <w:rPr>
          <w:rFonts w:asciiTheme="minorEastAsia" w:eastAsiaTheme="minorEastAsia" w:hAnsiTheme="minorEastAsia" w:hint="eastAsia"/>
          <w:sz w:val="24"/>
          <w:szCs w:val="24"/>
        </w:rPr>
        <w:t>全部权益价值</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w:t>
      </w:r>
      <w:r>
        <w:rPr>
          <w:rFonts w:asciiTheme="minorEastAsia" w:eastAsiaTheme="minorEastAsia" w:hAnsiTheme="minorEastAsia"/>
          <w:sz w:val="24"/>
          <w:szCs w:val="24"/>
        </w:rPr>
        <w:t>评估范围</w:t>
      </w:r>
    </w:p>
    <w:p w:rsidR="00A3032C" w:rsidRDefault="00C03818">
      <w:pPr>
        <w:tabs>
          <w:tab w:val="left" w:pos="0"/>
        </w:tabs>
        <w:spacing w:line="360" w:lineRule="auto"/>
        <w:ind w:firstLineChars="200" w:firstLine="480"/>
        <w:rPr>
          <w:rFonts w:ascii="宋体" w:hAnsi="宋体"/>
          <w:sz w:val="24"/>
          <w:szCs w:val="24"/>
        </w:rPr>
      </w:pPr>
      <w:r>
        <w:rPr>
          <w:rFonts w:ascii="宋体" w:hAnsi="宋体" w:hint="eastAsia"/>
          <w:sz w:val="24"/>
          <w:szCs w:val="24"/>
        </w:rPr>
        <w:t>评估范围为截止</w:t>
      </w:r>
      <w:r>
        <w:rPr>
          <w:rFonts w:ascii="宋体" w:hAnsi="宋体" w:hint="eastAsia"/>
          <w:sz w:val="24"/>
          <w:szCs w:val="24"/>
        </w:rPr>
        <w:t>20</w:t>
      </w:r>
      <w:r>
        <w:rPr>
          <w:rFonts w:ascii="宋体" w:hAnsi="宋体" w:hint="eastAsia"/>
          <w:sz w:val="24"/>
          <w:szCs w:val="24"/>
        </w:rPr>
        <w:t>18</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日的全部资产及负债。资产总额为</w:t>
      </w:r>
      <w:r>
        <w:rPr>
          <w:rFonts w:ascii="宋体" w:hAnsi="宋体"/>
          <w:sz w:val="24"/>
          <w:szCs w:val="24"/>
        </w:rPr>
        <w:t>15,550,782.60</w:t>
      </w:r>
      <w:r>
        <w:rPr>
          <w:rFonts w:ascii="宋体" w:hAnsi="宋体" w:hint="eastAsia"/>
          <w:sz w:val="24"/>
          <w:szCs w:val="24"/>
        </w:rPr>
        <w:t>港元，</w:t>
      </w:r>
      <w:r>
        <w:rPr>
          <w:rFonts w:ascii="宋体" w:hAnsi="宋体" w:hint="eastAsia"/>
          <w:sz w:val="24"/>
          <w:szCs w:val="24"/>
        </w:rPr>
        <w:t>其中：流动</w:t>
      </w:r>
      <w:r>
        <w:rPr>
          <w:rFonts w:ascii="宋体" w:hAnsi="宋体" w:hint="eastAsia"/>
          <w:sz w:val="24"/>
          <w:szCs w:val="24"/>
        </w:rPr>
        <w:t>资产为</w:t>
      </w:r>
      <w:r>
        <w:rPr>
          <w:rFonts w:ascii="宋体" w:hAnsi="宋体"/>
          <w:sz w:val="24"/>
          <w:szCs w:val="24"/>
        </w:rPr>
        <w:t>15,543,415.60</w:t>
      </w:r>
      <w:r>
        <w:rPr>
          <w:rFonts w:ascii="宋体" w:hAnsi="宋体" w:hint="eastAsia"/>
          <w:sz w:val="24"/>
          <w:szCs w:val="24"/>
        </w:rPr>
        <w:t>港元，非流动资产为</w:t>
      </w:r>
      <w:r>
        <w:rPr>
          <w:rFonts w:ascii="宋体" w:hAnsi="宋体"/>
          <w:sz w:val="24"/>
          <w:szCs w:val="24"/>
        </w:rPr>
        <w:t>7,367.00</w:t>
      </w:r>
      <w:r>
        <w:rPr>
          <w:rFonts w:ascii="宋体" w:hAnsi="宋体" w:hint="eastAsia"/>
          <w:sz w:val="24"/>
          <w:szCs w:val="24"/>
        </w:rPr>
        <w:t>港元；负债总额为</w:t>
      </w:r>
      <w:r>
        <w:rPr>
          <w:rFonts w:ascii="宋体" w:hAnsi="宋体"/>
          <w:sz w:val="24"/>
          <w:szCs w:val="24"/>
        </w:rPr>
        <w:t>13,943,198.36</w:t>
      </w:r>
      <w:r>
        <w:rPr>
          <w:rFonts w:ascii="宋体" w:hAnsi="宋体" w:hint="eastAsia"/>
          <w:sz w:val="24"/>
          <w:szCs w:val="24"/>
        </w:rPr>
        <w:t>港元，其中：流动负债为</w:t>
      </w:r>
      <w:r>
        <w:rPr>
          <w:rFonts w:ascii="宋体" w:hAnsi="宋体"/>
          <w:sz w:val="24"/>
          <w:szCs w:val="24"/>
        </w:rPr>
        <w:t>13,943,198.36</w:t>
      </w:r>
      <w:r>
        <w:rPr>
          <w:rFonts w:ascii="宋体" w:hAnsi="宋体" w:hint="eastAsia"/>
          <w:sz w:val="24"/>
          <w:szCs w:val="24"/>
        </w:rPr>
        <w:t>港元，非流动负债为</w:t>
      </w:r>
      <w:r>
        <w:rPr>
          <w:rFonts w:ascii="宋体" w:hAnsi="宋体" w:hint="eastAsia"/>
          <w:sz w:val="24"/>
          <w:szCs w:val="24"/>
        </w:rPr>
        <w:t>0.00</w:t>
      </w:r>
      <w:r>
        <w:rPr>
          <w:rFonts w:ascii="宋体" w:hAnsi="宋体" w:hint="eastAsia"/>
          <w:sz w:val="24"/>
          <w:szCs w:val="24"/>
        </w:rPr>
        <w:t>港元；所有者权益总额为</w:t>
      </w:r>
      <w:r>
        <w:rPr>
          <w:rFonts w:ascii="宋体" w:hAnsi="宋体" w:hint="eastAsia"/>
          <w:sz w:val="24"/>
          <w:szCs w:val="24"/>
        </w:rPr>
        <w:t>1,607,584.24</w:t>
      </w:r>
      <w:r>
        <w:rPr>
          <w:rFonts w:ascii="宋体" w:hAnsi="宋体" w:hint="eastAsia"/>
          <w:sz w:val="24"/>
          <w:szCs w:val="24"/>
        </w:rPr>
        <w:t>港元。详</w:t>
      </w:r>
      <w:r>
        <w:rPr>
          <w:rFonts w:ascii="宋体" w:hAnsi="宋体" w:hint="eastAsia"/>
          <w:sz w:val="24"/>
          <w:szCs w:val="24"/>
        </w:rPr>
        <w:t>见下表：</w:t>
      </w:r>
    </w:p>
    <w:p w:rsidR="00A3032C" w:rsidRDefault="00C03818">
      <w:pPr>
        <w:tabs>
          <w:tab w:val="left" w:pos="0"/>
        </w:tabs>
        <w:spacing w:line="360" w:lineRule="auto"/>
        <w:ind w:right="480"/>
        <w:jc w:val="center"/>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18</w:t>
      </w:r>
      <w:r>
        <w:rPr>
          <w:rFonts w:asciiTheme="minorEastAsia" w:eastAsiaTheme="minorEastAsia" w:hAnsiTheme="minor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sz w:val="24"/>
          <w:szCs w:val="24"/>
        </w:rPr>
        <w:t>月</w:t>
      </w:r>
      <w:r>
        <w:rPr>
          <w:rFonts w:asciiTheme="minorEastAsia" w:eastAsiaTheme="minorEastAsia" w:hAnsiTheme="minorEastAsia" w:hint="eastAsia"/>
          <w:sz w:val="24"/>
          <w:szCs w:val="24"/>
        </w:rPr>
        <w:t>31</w:t>
      </w:r>
      <w:r>
        <w:rPr>
          <w:rFonts w:asciiTheme="minorEastAsia" w:eastAsiaTheme="minorEastAsia" w:hAnsiTheme="minorEastAsia"/>
          <w:sz w:val="24"/>
          <w:szCs w:val="24"/>
        </w:rPr>
        <w:t>日</w:t>
      </w:r>
      <w:r>
        <w:rPr>
          <w:rFonts w:asciiTheme="minorEastAsia" w:eastAsiaTheme="minorEastAsia" w:hAnsiTheme="minorEastAsia" w:hint="eastAsia"/>
          <w:sz w:val="24"/>
          <w:szCs w:val="24"/>
        </w:rPr>
        <w:t>资产负债表</w:t>
      </w:r>
    </w:p>
    <w:p w:rsidR="00A3032C" w:rsidRDefault="00C03818">
      <w:pPr>
        <w:tabs>
          <w:tab w:val="left" w:pos="0"/>
        </w:tabs>
        <w:spacing w:line="360" w:lineRule="auto"/>
        <w:ind w:firstLineChars="1300" w:firstLine="273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金额单位：</w:t>
      </w:r>
      <w:r>
        <w:rPr>
          <w:rFonts w:asciiTheme="minorEastAsia" w:eastAsiaTheme="minorEastAsia" w:hAnsiTheme="minorEastAsia" w:hint="eastAsia"/>
          <w:szCs w:val="21"/>
        </w:rPr>
        <w:t>港</w:t>
      </w:r>
      <w:r>
        <w:rPr>
          <w:rFonts w:asciiTheme="minorEastAsia" w:eastAsiaTheme="minorEastAsia" w:hAnsiTheme="minorEastAsia"/>
          <w:szCs w:val="21"/>
        </w:rPr>
        <w:t>元</w:t>
      </w:r>
    </w:p>
    <w:tbl>
      <w:tblPr>
        <w:tblW w:w="8227" w:type="dxa"/>
        <w:jc w:val="center"/>
        <w:tblBorders>
          <w:top w:val="double" w:sz="4" w:space="0" w:color="auto"/>
          <w:bottom w:val="double"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572"/>
        <w:gridCol w:w="1703"/>
        <w:gridCol w:w="2491"/>
        <w:gridCol w:w="1461"/>
      </w:tblGrid>
      <w:tr w:rsidR="00A3032C">
        <w:trPr>
          <w:trHeight w:val="20"/>
          <w:tblHeader/>
          <w:jc w:val="center"/>
        </w:trPr>
        <w:tc>
          <w:tcPr>
            <w:tcW w:w="2572"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科目名称</w:t>
            </w:r>
          </w:p>
        </w:tc>
        <w:tc>
          <w:tcPr>
            <w:tcW w:w="1703"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账面价值</w:t>
            </w: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科目名称</w:t>
            </w:r>
          </w:p>
        </w:tc>
        <w:tc>
          <w:tcPr>
            <w:tcW w:w="146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账面价值</w:t>
            </w:r>
          </w:p>
        </w:tc>
      </w:tr>
      <w:tr w:rsidR="00A3032C">
        <w:trPr>
          <w:trHeight w:val="20"/>
          <w:jc w:val="center"/>
        </w:trPr>
        <w:tc>
          <w:tcPr>
            <w:tcW w:w="2572"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一、流动资产</w:t>
            </w:r>
          </w:p>
        </w:tc>
        <w:tc>
          <w:tcPr>
            <w:tcW w:w="1703"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四、流动负债</w:t>
            </w:r>
          </w:p>
        </w:tc>
        <w:tc>
          <w:tcPr>
            <w:tcW w:w="1461"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r>
      <w:tr w:rsidR="00A3032C">
        <w:trPr>
          <w:trHeight w:val="20"/>
          <w:jc w:val="center"/>
        </w:trPr>
        <w:tc>
          <w:tcPr>
            <w:tcW w:w="2572" w:type="dxa"/>
            <w:tcMar>
              <w:top w:w="20" w:type="dxa"/>
              <w:left w:w="20" w:type="dxa"/>
              <w:bottom w:w="0" w:type="dxa"/>
              <w:right w:w="20" w:type="dxa"/>
            </w:tcMar>
            <w:vAlign w:val="center"/>
          </w:tcPr>
          <w:p w:rsidR="00A3032C" w:rsidRDefault="00C03818">
            <w:pPr>
              <w:tabs>
                <w:tab w:val="left" w:pos="0"/>
              </w:tabs>
              <w:spacing w:line="240" w:lineRule="atLeast"/>
              <w:ind w:firstLineChars="174" w:firstLine="365"/>
              <w:jc w:val="center"/>
              <w:rPr>
                <w:rFonts w:asciiTheme="minorEastAsia" w:eastAsiaTheme="minorEastAsia" w:hAnsiTheme="minorEastAsia"/>
                <w:szCs w:val="21"/>
              </w:rPr>
            </w:pPr>
            <w:r>
              <w:rPr>
                <w:rFonts w:asciiTheme="minorEastAsia" w:eastAsiaTheme="minorEastAsia" w:hAnsiTheme="minorEastAsia"/>
                <w:szCs w:val="21"/>
              </w:rPr>
              <w:t>货币资金</w:t>
            </w:r>
          </w:p>
        </w:tc>
        <w:tc>
          <w:tcPr>
            <w:tcW w:w="1703"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6,755,436.95</w:t>
            </w:r>
          </w:p>
        </w:tc>
        <w:tc>
          <w:tcPr>
            <w:tcW w:w="2491" w:type="dxa"/>
            <w:tcMar>
              <w:top w:w="20" w:type="dxa"/>
              <w:left w:w="20" w:type="dxa"/>
              <w:bottom w:w="0" w:type="dxa"/>
              <w:right w:w="20" w:type="dxa"/>
            </w:tcMar>
          </w:tcPr>
          <w:p w:rsidR="00A3032C" w:rsidRDefault="00C03818">
            <w:pPr>
              <w:tabs>
                <w:tab w:val="left" w:pos="0"/>
              </w:tabs>
              <w:spacing w:line="240" w:lineRule="atLeast"/>
              <w:ind w:firstLineChars="163" w:firstLine="342"/>
              <w:jc w:val="center"/>
              <w:rPr>
                <w:rFonts w:asciiTheme="minorEastAsia" w:eastAsiaTheme="minorEastAsia" w:hAnsiTheme="minorEastAsia"/>
                <w:szCs w:val="21"/>
              </w:rPr>
            </w:pPr>
            <w:r>
              <w:rPr>
                <w:rFonts w:asciiTheme="minorEastAsia" w:eastAsiaTheme="minorEastAsia" w:hAnsiTheme="minorEastAsia"/>
                <w:szCs w:val="21"/>
              </w:rPr>
              <w:t>应付账款</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13,943,198.36</w:t>
            </w:r>
          </w:p>
        </w:tc>
      </w:tr>
      <w:tr w:rsidR="00A3032C">
        <w:trPr>
          <w:trHeight w:val="20"/>
          <w:jc w:val="center"/>
        </w:trPr>
        <w:tc>
          <w:tcPr>
            <w:tcW w:w="2572" w:type="dxa"/>
            <w:tcMar>
              <w:top w:w="20" w:type="dxa"/>
              <w:left w:w="20" w:type="dxa"/>
              <w:bottom w:w="0" w:type="dxa"/>
              <w:right w:w="20" w:type="dxa"/>
            </w:tcMar>
            <w:vAlign w:val="center"/>
          </w:tcPr>
          <w:p w:rsidR="00A3032C" w:rsidRDefault="00C03818">
            <w:pPr>
              <w:tabs>
                <w:tab w:val="left" w:pos="0"/>
              </w:tabs>
              <w:spacing w:line="240" w:lineRule="atLeast"/>
              <w:ind w:firstLineChars="174" w:firstLine="365"/>
              <w:jc w:val="center"/>
              <w:rPr>
                <w:rFonts w:asciiTheme="minorEastAsia" w:eastAsiaTheme="minorEastAsia" w:hAnsiTheme="minorEastAsia"/>
                <w:szCs w:val="21"/>
              </w:rPr>
            </w:pPr>
            <w:r>
              <w:rPr>
                <w:rFonts w:asciiTheme="minorEastAsia" w:eastAsiaTheme="minorEastAsia" w:hAnsiTheme="minorEastAsia"/>
                <w:szCs w:val="21"/>
              </w:rPr>
              <w:t>应收账款</w:t>
            </w:r>
          </w:p>
        </w:tc>
        <w:tc>
          <w:tcPr>
            <w:tcW w:w="1703"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8,741,938.65</w:t>
            </w: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hint="eastAsia"/>
                <w:b/>
                <w:szCs w:val="21"/>
              </w:rPr>
              <w:t>流动负债合计</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13,943,198.36</w:t>
            </w:r>
          </w:p>
        </w:tc>
      </w:tr>
      <w:tr w:rsidR="00A3032C">
        <w:trPr>
          <w:trHeight w:val="20"/>
          <w:jc w:val="center"/>
        </w:trPr>
        <w:tc>
          <w:tcPr>
            <w:tcW w:w="2572" w:type="dxa"/>
            <w:tcMar>
              <w:top w:w="20" w:type="dxa"/>
              <w:left w:w="20" w:type="dxa"/>
              <w:bottom w:w="0" w:type="dxa"/>
              <w:right w:w="20" w:type="dxa"/>
            </w:tcMar>
            <w:vAlign w:val="center"/>
          </w:tcPr>
          <w:p w:rsidR="00A3032C" w:rsidRDefault="00C03818">
            <w:pPr>
              <w:tabs>
                <w:tab w:val="left" w:pos="0"/>
              </w:tabs>
              <w:spacing w:line="240" w:lineRule="atLeast"/>
              <w:ind w:firstLineChars="174" w:firstLine="365"/>
              <w:jc w:val="center"/>
              <w:rPr>
                <w:rFonts w:asciiTheme="minorEastAsia" w:eastAsiaTheme="minorEastAsia" w:hAnsiTheme="minorEastAsia"/>
                <w:szCs w:val="21"/>
              </w:rPr>
            </w:pPr>
            <w:r>
              <w:rPr>
                <w:rFonts w:asciiTheme="minorEastAsia" w:eastAsiaTheme="minorEastAsia" w:hAnsiTheme="minorEastAsia" w:hint="eastAsia"/>
                <w:szCs w:val="21"/>
              </w:rPr>
              <w:t>其他应收款</w:t>
            </w:r>
          </w:p>
        </w:tc>
        <w:tc>
          <w:tcPr>
            <w:tcW w:w="1703"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46,040.00</w:t>
            </w: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五、非流动负债</w:t>
            </w:r>
          </w:p>
        </w:tc>
        <w:tc>
          <w:tcPr>
            <w:tcW w:w="1461"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r>
      <w:tr w:rsidR="00A3032C">
        <w:trPr>
          <w:trHeight w:val="20"/>
          <w:jc w:val="center"/>
        </w:trPr>
        <w:tc>
          <w:tcPr>
            <w:tcW w:w="2572"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b/>
                <w:szCs w:val="21"/>
              </w:rPr>
            </w:pPr>
            <w:r>
              <w:rPr>
                <w:rFonts w:asciiTheme="minorEastAsia" w:eastAsiaTheme="minorEastAsia" w:hAnsiTheme="minorEastAsia"/>
                <w:b/>
                <w:szCs w:val="21"/>
              </w:rPr>
              <w:t>流动资产合计</w:t>
            </w:r>
          </w:p>
        </w:tc>
        <w:tc>
          <w:tcPr>
            <w:tcW w:w="1703"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15,543,415.60</w:t>
            </w: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b/>
                <w:szCs w:val="21"/>
              </w:rPr>
              <w:t>非流动负债合计</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hint="eastAsia"/>
                <w:szCs w:val="21"/>
              </w:rPr>
              <w:t>0.00</w:t>
            </w:r>
          </w:p>
        </w:tc>
      </w:tr>
      <w:tr w:rsidR="00A3032C">
        <w:trPr>
          <w:trHeight w:val="20"/>
          <w:jc w:val="center"/>
        </w:trPr>
        <w:tc>
          <w:tcPr>
            <w:tcW w:w="2572"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二、非流动资产</w:t>
            </w:r>
          </w:p>
        </w:tc>
        <w:tc>
          <w:tcPr>
            <w:tcW w:w="1703"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b/>
                <w:szCs w:val="21"/>
              </w:rPr>
              <w:t>负债合计</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13,943,198.36</w:t>
            </w:r>
          </w:p>
        </w:tc>
      </w:tr>
      <w:tr w:rsidR="00A3032C">
        <w:trPr>
          <w:trHeight w:val="20"/>
          <w:jc w:val="center"/>
        </w:trPr>
        <w:tc>
          <w:tcPr>
            <w:tcW w:w="2572" w:type="dxa"/>
            <w:tcMar>
              <w:top w:w="20" w:type="dxa"/>
              <w:left w:w="20" w:type="dxa"/>
              <w:bottom w:w="0" w:type="dxa"/>
              <w:right w:w="20" w:type="dxa"/>
            </w:tcMar>
          </w:tcPr>
          <w:p w:rsidR="00A3032C" w:rsidRDefault="00C03818">
            <w:pPr>
              <w:tabs>
                <w:tab w:val="left" w:pos="0"/>
              </w:tabs>
              <w:spacing w:line="240" w:lineRule="atLeast"/>
              <w:ind w:firstLineChars="174" w:firstLine="365"/>
              <w:jc w:val="center"/>
              <w:rPr>
                <w:rFonts w:asciiTheme="minorEastAsia" w:eastAsiaTheme="minorEastAsia" w:hAnsiTheme="minorEastAsia"/>
                <w:szCs w:val="21"/>
              </w:rPr>
            </w:pPr>
            <w:r>
              <w:rPr>
                <w:rFonts w:asciiTheme="minorEastAsia" w:eastAsiaTheme="minorEastAsia" w:hAnsiTheme="minorEastAsia"/>
                <w:szCs w:val="21"/>
              </w:rPr>
              <w:t>固定资产</w:t>
            </w:r>
          </w:p>
        </w:tc>
        <w:tc>
          <w:tcPr>
            <w:tcW w:w="1703"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7,367.00</w:t>
            </w: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六、所有者（股东）权益</w:t>
            </w:r>
          </w:p>
        </w:tc>
        <w:tc>
          <w:tcPr>
            <w:tcW w:w="1461"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r>
      <w:tr w:rsidR="00A3032C">
        <w:trPr>
          <w:trHeight w:val="20"/>
          <w:jc w:val="center"/>
        </w:trPr>
        <w:tc>
          <w:tcPr>
            <w:tcW w:w="2572" w:type="dxa"/>
            <w:tcMar>
              <w:top w:w="20" w:type="dxa"/>
              <w:left w:w="20" w:type="dxa"/>
              <w:bottom w:w="0" w:type="dxa"/>
              <w:right w:w="20" w:type="dxa"/>
            </w:tcMar>
          </w:tcPr>
          <w:p w:rsidR="00A3032C" w:rsidRDefault="00A3032C">
            <w:pPr>
              <w:tabs>
                <w:tab w:val="left" w:pos="0"/>
              </w:tabs>
              <w:spacing w:line="240" w:lineRule="atLeast"/>
              <w:jc w:val="center"/>
              <w:rPr>
                <w:rFonts w:asciiTheme="minorEastAsia" w:eastAsiaTheme="minorEastAsia" w:hAnsiTheme="minorEastAsia"/>
                <w:szCs w:val="21"/>
              </w:rPr>
            </w:pPr>
          </w:p>
        </w:tc>
        <w:tc>
          <w:tcPr>
            <w:tcW w:w="1703"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c>
          <w:tcPr>
            <w:tcW w:w="2491" w:type="dxa"/>
            <w:tcMar>
              <w:top w:w="20" w:type="dxa"/>
              <w:left w:w="20" w:type="dxa"/>
              <w:bottom w:w="0" w:type="dxa"/>
              <w:right w:w="20" w:type="dxa"/>
            </w:tcMar>
          </w:tcPr>
          <w:p w:rsidR="00A3032C" w:rsidRDefault="00C03818">
            <w:pPr>
              <w:tabs>
                <w:tab w:val="left" w:pos="0"/>
                <w:tab w:val="left" w:pos="241"/>
              </w:tabs>
              <w:spacing w:line="240" w:lineRule="atLeast"/>
              <w:ind w:firstLineChars="163" w:firstLine="342"/>
              <w:jc w:val="center"/>
              <w:rPr>
                <w:rFonts w:asciiTheme="minorEastAsia" w:eastAsiaTheme="minorEastAsia" w:hAnsiTheme="minorEastAsia"/>
                <w:szCs w:val="21"/>
              </w:rPr>
            </w:pPr>
            <w:r>
              <w:rPr>
                <w:rFonts w:asciiTheme="minorEastAsia" w:eastAsiaTheme="minorEastAsia" w:hAnsiTheme="minorEastAsia"/>
                <w:szCs w:val="21"/>
              </w:rPr>
              <w:t>实收资本</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hint="eastAsia"/>
                <w:szCs w:val="21"/>
              </w:rPr>
              <w:t>1,000,000.00</w:t>
            </w:r>
          </w:p>
        </w:tc>
      </w:tr>
      <w:tr w:rsidR="00A3032C">
        <w:trPr>
          <w:trHeight w:val="20"/>
          <w:jc w:val="center"/>
        </w:trPr>
        <w:tc>
          <w:tcPr>
            <w:tcW w:w="2572" w:type="dxa"/>
            <w:tcMar>
              <w:top w:w="20" w:type="dxa"/>
              <w:left w:w="20" w:type="dxa"/>
              <w:bottom w:w="0" w:type="dxa"/>
              <w:right w:w="20" w:type="dxa"/>
            </w:tcMar>
          </w:tcPr>
          <w:p w:rsidR="00A3032C" w:rsidRDefault="00A3032C">
            <w:pPr>
              <w:tabs>
                <w:tab w:val="left" w:pos="0"/>
              </w:tabs>
              <w:spacing w:line="240" w:lineRule="atLeast"/>
              <w:jc w:val="center"/>
              <w:rPr>
                <w:rFonts w:asciiTheme="minorEastAsia" w:eastAsiaTheme="minorEastAsia" w:hAnsiTheme="minorEastAsia"/>
                <w:szCs w:val="21"/>
              </w:rPr>
            </w:pPr>
          </w:p>
        </w:tc>
        <w:tc>
          <w:tcPr>
            <w:tcW w:w="1703"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c>
          <w:tcPr>
            <w:tcW w:w="2491" w:type="dxa"/>
            <w:tcMar>
              <w:top w:w="20" w:type="dxa"/>
              <w:left w:w="20" w:type="dxa"/>
              <w:bottom w:w="0" w:type="dxa"/>
              <w:right w:w="20" w:type="dxa"/>
            </w:tcMar>
          </w:tcPr>
          <w:p w:rsidR="00A3032C" w:rsidRDefault="00C03818">
            <w:pPr>
              <w:tabs>
                <w:tab w:val="left" w:pos="0"/>
                <w:tab w:val="left" w:pos="241"/>
              </w:tabs>
              <w:spacing w:line="240" w:lineRule="atLeast"/>
              <w:ind w:firstLineChars="163" w:firstLine="342"/>
              <w:jc w:val="center"/>
              <w:rPr>
                <w:rFonts w:asciiTheme="minorEastAsia" w:eastAsiaTheme="minorEastAsia" w:hAnsiTheme="minorEastAsia"/>
                <w:b/>
                <w:szCs w:val="21"/>
              </w:rPr>
            </w:pPr>
            <w:r>
              <w:rPr>
                <w:rFonts w:asciiTheme="minorEastAsia" w:eastAsiaTheme="minorEastAsia" w:hAnsiTheme="minorEastAsia"/>
                <w:szCs w:val="21"/>
              </w:rPr>
              <w:t>未分配利润</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hint="eastAsia"/>
                <w:szCs w:val="21"/>
              </w:rPr>
              <w:t>869,019.36</w:t>
            </w:r>
          </w:p>
        </w:tc>
      </w:tr>
      <w:tr w:rsidR="00A3032C">
        <w:trPr>
          <w:trHeight w:val="20"/>
          <w:jc w:val="center"/>
        </w:trPr>
        <w:tc>
          <w:tcPr>
            <w:tcW w:w="2572" w:type="dxa"/>
            <w:tcMar>
              <w:top w:w="20" w:type="dxa"/>
              <w:left w:w="20" w:type="dxa"/>
              <w:bottom w:w="0" w:type="dxa"/>
              <w:right w:w="20" w:type="dxa"/>
            </w:tcMar>
          </w:tcPr>
          <w:p w:rsidR="00A3032C" w:rsidRDefault="00A3032C">
            <w:pPr>
              <w:tabs>
                <w:tab w:val="left" w:pos="0"/>
              </w:tabs>
              <w:spacing w:line="240" w:lineRule="atLeast"/>
              <w:jc w:val="center"/>
              <w:rPr>
                <w:rFonts w:asciiTheme="minorEastAsia" w:eastAsiaTheme="minorEastAsia" w:hAnsiTheme="minorEastAsia"/>
                <w:szCs w:val="21"/>
              </w:rPr>
            </w:pPr>
          </w:p>
        </w:tc>
        <w:tc>
          <w:tcPr>
            <w:tcW w:w="1703" w:type="dxa"/>
            <w:tcMar>
              <w:top w:w="20" w:type="dxa"/>
              <w:left w:w="20" w:type="dxa"/>
              <w:bottom w:w="0" w:type="dxa"/>
              <w:right w:w="20" w:type="dxa"/>
            </w:tcMar>
            <w:vAlign w:val="center"/>
          </w:tcPr>
          <w:p w:rsidR="00A3032C" w:rsidRDefault="00A3032C">
            <w:pPr>
              <w:tabs>
                <w:tab w:val="left" w:pos="0"/>
              </w:tabs>
              <w:spacing w:line="240" w:lineRule="atLeast"/>
              <w:jc w:val="right"/>
              <w:rPr>
                <w:rFonts w:asciiTheme="minorEastAsia" w:eastAsiaTheme="minorEastAsia" w:hAnsiTheme="minorEastAsia"/>
                <w:szCs w:val="21"/>
              </w:rPr>
            </w:pPr>
          </w:p>
        </w:tc>
        <w:tc>
          <w:tcPr>
            <w:tcW w:w="2491" w:type="dxa"/>
            <w:tcMar>
              <w:top w:w="20" w:type="dxa"/>
              <w:left w:w="20" w:type="dxa"/>
              <w:bottom w:w="0" w:type="dxa"/>
              <w:right w:w="20" w:type="dxa"/>
            </w:tcMar>
          </w:tcPr>
          <w:p w:rsidR="00A3032C" w:rsidRDefault="00C03818">
            <w:pPr>
              <w:tabs>
                <w:tab w:val="left" w:pos="0"/>
                <w:tab w:val="left" w:pos="241"/>
              </w:tabs>
              <w:spacing w:line="240" w:lineRule="atLeast"/>
              <w:ind w:firstLineChars="163" w:firstLine="342"/>
              <w:jc w:val="center"/>
              <w:rPr>
                <w:rFonts w:asciiTheme="minorEastAsia" w:eastAsiaTheme="minorEastAsia" w:hAnsiTheme="minorEastAsia"/>
                <w:b/>
                <w:szCs w:val="21"/>
              </w:rPr>
            </w:pPr>
            <w:r>
              <w:rPr>
                <w:rFonts w:asciiTheme="minorEastAsia" w:eastAsiaTheme="minorEastAsia" w:hAnsiTheme="minorEastAsia" w:hint="eastAsia"/>
                <w:szCs w:val="21"/>
              </w:rPr>
              <w:t>净收益</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hint="eastAsia"/>
                <w:szCs w:val="21"/>
              </w:rPr>
              <w:t>-261,435.12</w:t>
            </w:r>
          </w:p>
        </w:tc>
      </w:tr>
      <w:tr w:rsidR="00A3032C">
        <w:trPr>
          <w:trHeight w:val="20"/>
          <w:jc w:val="center"/>
        </w:trPr>
        <w:tc>
          <w:tcPr>
            <w:tcW w:w="2572"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b/>
                <w:szCs w:val="21"/>
              </w:rPr>
              <w:t>非流动资产合计</w:t>
            </w:r>
          </w:p>
        </w:tc>
        <w:tc>
          <w:tcPr>
            <w:tcW w:w="1703"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7,367.00</w:t>
            </w: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b/>
                <w:szCs w:val="21"/>
              </w:rPr>
              <w:t>所有者权益合计</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hint="eastAsia"/>
                <w:szCs w:val="21"/>
              </w:rPr>
              <w:t>1,607,584.24</w:t>
            </w:r>
          </w:p>
        </w:tc>
      </w:tr>
      <w:tr w:rsidR="00A3032C">
        <w:trPr>
          <w:trHeight w:val="20"/>
          <w:jc w:val="center"/>
        </w:trPr>
        <w:tc>
          <w:tcPr>
            <w:tcW w:w="2572"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szCs w:val="21"/>
              </w:rPr>
              <w:t>三、资产总计</w:t>
            </w:r>
          </w:p>
        </w:tc>
        <w:tc>
          <w:tcPr>
            <w:tcW w:w="1703"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15,550,782.60</w:t>
            </w:r>
          </w:p>
        </w:tc>
        <w:tc>
          <w:tcPr>
            <w:tcW w:w="2491" w:type="dxa"/>
            <w:tcMar>
              <w:top w:w="20" w:type="dxa"/>
              <w:left w:w="20" w:type="dxa"/>
              <w:bottom w:w="0" w:type="dxa"/>
              <w:right w:w="20" w:type="dxa"/>
            </w:tcMar>
          </w:tcPr>
          <w:p w:rsidR="00A3032C" w:rsidRDefault="00C03818">
            <w:pPr>
              <w:tabs>
                <w:tab w:val="left" w:pos="0"/>
              </w:tabs>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总负债</w:t>
            </w:r>
            <w:proofErr w:type="gramStart"/>
            <w:r>
              <w:rPr>
                <w:rFonts w:asciiTheme="minorEastAsia" w:eastAsiaTheme="minorEastAsia" w:hAnsiTheme="minorEastAsia" w:hint="eastAsia"/>
                <w:szCs w:val="21"/>
              </w:rPr>
              <w:t>加资本</w:t>
            </w:r>
            <w:proofErr w:type="gramEnd"/>
            <w:r>
              <w:rPr>
                <w:rFonts w:asciiTheme="minorEastAsia" w:eastAsiaTheme="minorEastAsia" w:hAnsiTheme="minorEastAsia"/>
                <w:szCs w:val="21"/>
              </w:rPr>
              <w:t>总计</w:t>
            </w:r>
          </w:p>
        </w:tc>
        <w:tc>
          <w:tcPr>
            <w:tcW w:w="1461" w:type="dxa"/>
            <w:tcMar>
              <w:top w:w="20" w:type="dxa"/>
              <w:left w:w="20" w:type="dxa"/>
              <w:bottom w:w="0" w:type="dxa"/>
              <w:right w:w="20" w:type="dxa"/>
            </w:tcMar>
            <w:vAlign w:val="center"/>
          </w:tcPr>
          <w:p w:rsidR="00A3032C" w:rsidRDefault="00C03818">
            <w:pPr>
              <w:tabs>
                <w:tab w:val="left" w:pos="0"/>
              </w:tabs>
              <w:spacing w:line="240" w:lineRule="atLeast"/>
              <w:jc w:val="right"/>
              <w:rPr>
                <w:rFonts w:asciiTheme="minorEastAsia" w:eastAsiaTheme="minorEastAsia" w:hAnsiTheme="minorEastAsia"/>
                <w:szCs w:val="21"/>
              </w:rPr>
            </w:pPr>
            <w:r>
              <w:rPr>
                <w:rFonts w:asciiTheme="minorEastAsia" w:eastAsiaTheme="minorEastAsia" w:hAnsiTheme="minorEastAsia"/>
                <w:szCs w:val="21"/>
              </w:rPr>
              <w:t>15,550,782.60</w:t>
            </w:r>
          </w:p>
        </w:tc>
      </w:tr>
    </w:tbl>
    <w:p w:rsidR="00A3032C" w:rsidRDefault="00C03818">
      <w:pPr>
        <w:tabs>
          <w:tab w:val="left" w:pos="0"/>
        </w:tabs>
        <w:spacing w:line="360" w:lineRule="auto"/>
        <w:ind w:firstLineChars="200" w:firstLine="480"/>
        <w:rPr>
          <w:rFonts w:ascii="宋体" w:hAnsi="宋体"/>
          <w:sz w:val="24"/>
          <w:szCs w:val="24"/>
        </w:rPr>
      </w:pPr>
      <w:r>
        <w:rPr>
          <w:rFonts w:ascii="宋体" w:hAnsi="宋体" w:hint="eastAsia"/>
          <w:sz w:val="24"/>
          <w:szCs w:val="24"/>
        </w:rPr>
        <w:t>委托评估对象和评估范围与经济行为涉及的评估对象和评估范围一致。评估基准日，评估范围内的资产、负债账面价值</w:t>
      </w:r>
      <w:r>
        <w:rPr>
          <w:rFonts w:ascii="宋体" w:hAnsi="宋体" w:hint="eastAsia"/>
          <w:sz w:val="24"/>
          <w:szCs w:val="24"/>
        </w:rPr>
        <w:t>未经</w:t>
      </w:r>
      <w:r>
        <w:rPr>
          <w:rFonts w:ascii="宋体" w:hAnsi="宋体" w:hint="eastAsia"/>
          <w:sz w:val="24"/>
          <w:szCs w:val="24"/>
        </w:rPr>
        <w:t>审计</w:t>
      </w:r>
      <w:r>
        <w:rPr>
          <w:rFonts w:ascii="宋体" w:hAnsi="宋体"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三</w:t>
      </w:r>
      <w:r>
        <w:rPr>
          <w:rFonts w:asciiTheme="minorEastAsia" w:eastAsiaTheme="minorEastAsia" w:hAnsiTheme="minorEastAsia"/>
          <w:sz w:val="24"/>
          <w:szCs w:val="24"/>
        </w:rPr>
        <w:t>）主要资产概况</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bookmarkStart w:id="18" w:name="_Toc334186090"/>
      <w:r>
        <w:rPr>
          <w:rFonts w:asciiTheme="minorEastAsia" w:eastAsiaTheme="minorEastAsia" w:hAnsiTheme="minorEastAsia"/>
          <w:sz w:val="24"/>
          <w:szCs w:val="24"/>
        </w:rPr>
        <w:t>纳入评估范围的资产包括：</w:t>
      </w:r>
      <w:r>
        <w:rPr>
          <w:rFonts w:asciiTheme="minorEastAsia" w:eastAsiaTheme="minorEastAsia" w:hAnsiTheme="minorEastAsia" w:hint="eastAsia"/>
          <w:sz w:val="24"/>
          <w:szCs w:val="24"/>
        </w:rPr>
        <w:t>设备类资产等。主要</w:t>
      </w:r>
      <w:r>
        <w:rPr>
          <w:rFonts w:asciiTheme="minorEastAsia" w:eastAsiaTheme="minorEastAsia" w:hAnsiTheme="minorEastAsia"/>
          <w:sz w:val="24"/>
          <w:szCs w:val="24"/>
        </w:rPr>
        <w:t>资产</w:t>
      </w:r>
      <w:r>
        <w:rPr>
          <w:rFonts w:asciiTheme="minorEastAsia" w:eastAsiaTheme="minorEastAsia" w:hAnsiTheme="minorEastAsia" w:hint="eastAsia"/>
          <w:sz w:val="24"/>
          <w:szCs w:val="24"/>
        </w:rPr>
        <w:t>的类型</w:t>
      </w:r>
      <w:r>
        <w:rPr>
          <w:rFonts w:asciiTheme="minorEastAsia" w:eastAsiaTheme="minorEastAsia" w:hAnsiTheme="minorEastAsia"/>
          <w:sz w:val="24"/>
          <w:szCs w:val="24"/>
        </w:rPr>
        <w:t>及特点如下：</w:t>
      </w:r>
    </w:p>
    <w:p w:rsidR="00A3032C" w:rsidRDefault="00C03818">
      <w:pPr>
        <w:pStyle w:val="afe"/>
        <w:tabs>
          <w:tab w:val="left" w:pos="0"/>
          <w:tab w:val="left" w:pos="851"/>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电子设备共计</w:t>
      </w:r>
      <w:r>
        <w:rPr>
          <w:rFonts w:asciiTheme="minorEastAsia" w:eastAsiaTheme="minorEastAsia" w:hAnsiTheme="minorEastAsia" w:hint="eastAsia"/>
          <w:sz w:val="24"/>
          <w:szCs w:val="24"/>
        </w:rPr>
        <w:t>2</w:t>
      </w:r>
      <w:r>
        <w:rPr>
          <w:rFonts w:asciiTheme="minorEastAsia" w:eastAsiaTheme="minorEastAsia" w:hAnsiTheme="minorEastAsia"/>
          <w:sz w:val="24"/>
          <w:szCs w:val="24"/>
        </w:rPr>
        <w:t>项，主要为</w:t>
      </w:r>
      <w:r>
        <w:rPr>
          <w:rFonts w:asciiTheme="minorEastAsia" w:eastAsiaTheme="minorEastAsia" w:hAnsiTheme="minorEastAsia" w:hint="eastAsia"/>
          <w:sz w:val="24"/>
          <w:szCs w:val="24"/>
        </w:rPr>
        <w:t>电脑、打字机</w:t>
      </w:r>
      <w:r>
        <w:rPr>
          <w:rFonts w:asciiTheme="minorEastAsia" w:eastAsiaTheme="minorEastAsia" w:hAnsiTheme="minorEastAsia"/>
          <w:sz w:val="24"/>
          <w:szCs w:val="24"/>
        </w:rPr>
        <w:t>等</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为正常办公使用，</w:t>
      </w:r>
      <w:r>
        <w:rPr>
          <w:rFonts w:asciiTheme="minorEastAsia" w:eastAsiaTheme="minorEastAsia" w:hAnsiTheme="minorEastAsia" w:hint="eastAsia"/>
          <w:sz w:val="24"/>
          <w:szCs w:val="24"/>
        </w:rPr>
        <w:t>资产使用状况良好，维护保养正常。</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（三）企业申报的表外资产的类型、数量</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企业未申报表外资产。</w:t>
      </w:r>
    </w:p>
    <w:p w:rsidR="00A3032C" w:rsidRDefault="00C03818">
      <w:pPr>
        <w:numPr>
          <w:ilvl w:val="0"/>
          <w:numId w:val="1"/>
        </w:num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引用其他机构出具的报告结论所涉及的资产</w:t>
      </w:r>
    </w:p>
    <w:p w:rsidR="00A3032C" w:rsidRDefault="00C03818">
      <w:pPr>
        <w:tabs>
          <w:tab w:val="left" w:pos="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企业未引用其他机构出具的报告。</w:t>
      </w:r>
    </w:p>
    <w:p w:rsidR="00A3032C" w:rsidRDefault="00C03818">
      <w:pPr>
        <w:pStyle w:val="2"/>
        <w:ind w:firstLine="482"/>
      </w:pPr>
      <w:bookmarkStart w:id="19" w:name="_Toc493752483"/>
      <w:r>
        <w:lastRenderedPageBreak/>
        <w:t>四、</w:t>
      </w:r>
      <w:bookmarkStart w:id="20" w:name="三06"/>
      <w:r>
        <w:t>价值类型</w:t>
      </w:r>
      <w:bookmarkEnd w:id="18"/>
      <w:bookmarkEnd w:id="19"/>
      <w:bookmarkEnd w:id="20"/>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根据评估目的实现的要求，结合评估对象自身的功能、使用方式和利用状态等条件的制约，本次评估价值类型选用市场价值。</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A3032C" w:rsidRDefault="00C03818">
      <w:pPr>
        <w:pStyle w:val="2"/>
        <w:ind w:firstLine="482"/>
      </w:pPr>
      <w:bookmarkStart w:id="21" w:name="_Toc334186091"/>
      <w:bookmarkStart w:id="22" w:name="_Toc493752484"/>
      <w:r>
        <w:t>五、</w:t>
      </w:r>
      <w:bookmarkStart w:id="23" w:name="三07"/>
      <w:r>
        <w:t>评估基准日</w:t>
      </w:r>
      <w:bookmarkEnd w:id="21"/>
      <w:bookmarkEnd w:id="22"/>
      <w:bookmarkEnd w:id="23"/>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本项目评估基准日为</w:t>
      </w:r>
      <w:r>
        <w:rPr>
          <w:rFonts w:asciiTheme="minorEastAsia" w:eastAsiaTheme="minorEastAsia" w:hAnsiTheme="minorEastAsia" w:hint="eastAsia"/>
          <w:sz w:val="24"/>
          <w:szCs w:val="24"/>
        </w:rPr>
        <w:t>2018</w:t>
      </w:r>
      <w:r>
        <w:rPr>
          <w:rFonts w:asciiTheme="minorEastAsia" w:eastAsiaTheme="minorEastAsia" w:hAnsiTheme="minor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sz w:val="24"/>
          <w:szCs w:val="24"/>
        </w:rPr>
        <w:t>月</w:t>
      </w:r>
      <w:r>
        <w:rPr>
          <w:rFonts w:asciiTheme="minorEastAsia" w:eastAsiaTheme="minorEastAsia" w:hAnsiTheme="minorEastAsia" w:hint="eastAsia"/>
          <w:sz w:val="24"/>
          <w:szCs w:val="24"/>
        </w:rPr>
        <w:t>31</w:t>
      </w:r>
      <w:r>
        <w:rPr>
          <w:rFonts w:asciiTheme="minorEastAsia" w:eastAsiaTheme="minorEastAsia" w:hAnsiTheme="minorEastAsia"/>
          <w:sz w:val="24"/>
          <w:szCs w:val="24"/>
        </w:rPr>
        <w:t>日</w:t>
      </w:r>
      <w:r>
        <w:rPr>
          <w:rFonts w:asciiTheme="minorEastAsia" w:eastAsiaTheme="minorEastAsia" w:hAnsiTheme="minorEastAsia"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sz w:val="24"/>
          <w:szCs w:val="24"/>
        </w:rPr>
        <w:t>本报告书中一切取价标准均为评估基准日有效的价格标准。</w:t>
      </w:r>
    </w:p>
    <w:p w:rsidR="00A3032C" w:rsidRDefault="00C03818">
      <w:pPr>
        <w:pStyle w:val="2"/>
        <w:ind w:firstLine="482"/>
      </w:pPr>
      <w:bookmarkStart w:id="24" w:name="_Toc493752485"/>
      <w:bookmarkStart w:id="25" w:name="_Toc334186092"/>
      <w:r>
        <w:t>六、</w:t>
      </w:r>
      <w:bookmarkStart w:id="26" w:name="三08"/>
      <w:r>
        <w:t>评估依据</w:t>
      </w:r>
      <w:bookmarkEnd w:id="24"/>
      <w:bookmarkEnd w:id="25"/>
      <w:bookmarkEnd w:id="26"/>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（一）</w:t>
      </w:r>
      <w:r>
        <w:rPr>
          <w:rFonts w:asciiTheme="minorEastAsia" w:eastAsiaTheme="minorEastAsia" w:hAnsiTheme="minorEastAsia" w:hint="eastAsia"/>
          <w:sz w:val="24"/>
          <w:szCs w:val="24"/>
        </w:rPr>
        <w:t>经济</w:t>
      </w:r>
      <w:r>
        <w:rPr>
          <w:rFonts w:asciiTheme="minorEastAsia" w:eastAsiaTheme="minorEastAsia" w:hAnsiTheme="minorEastAsia"/>
          <w:sz w:val="24"/>
          <w:szCs w:val="24"/>
        </w:rPr>
        <w:t>行为依据</w:t>
      </w:r>
    </w:p>
    <w:p w:rsidR="00A3032C" w:rsidRDefault="00C03818">
      <w:pPr>
        <w:pStyle w:val="afe"/>
        <w:tabs>
          <w:tab w:val="left" w:pos="0"/>
        </w:tabs>
        <w:spacing w:line="360" w:lineRule="auto"/>
        <w:ind w:left="48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青岛海事法院《鉴定委托函》（（</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）青海法技鉴字第</w:t>
      </w:r>
      <w:r>
        <w:rPr>
          <w:rFonts w:asciiTheme="minorEastAsia" w:eastAsiaTheme="minorEastAsia" w:hAnsiTheme="minorEastAsia" w:hint="eastAsia"/>
          <w:sz w:val="24"/>
          <w:szCs w:val="24"/>
        </w:rPr>
        <w:t>60</w:t>
      </w:r>
      <w:r>
        <w:rPr>
          <w:rFonts w:asciiTheme="minorEastAsia" w:eastAsiaTheme="minorEastAsia" w:hAnsiTheme="minorEastAsia" w:hint="eastAsia"/>
          <w:sz w:val="24"/>
          <w:szCs w:val="24"/>
        </w:rPr>
        <w:t>号）。</w:t>
      </w:r>
    </w:p>
    <w:p w:rsidR="00A3032C" w:rsidRDefault="00C03818">
      <w:pPr>
        <w:pStyle w:val="afe"/>
        <w:tabs>
          <w:tab w:val="left" w:pos="0"/>
        </w:tabs>
        <w:spacing w:line="360" w:lineRule="auto"/>
        <w:ind w:left="48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（二）法规依据</w:t>
      </w:r>
    </w:p>
    <w:p w:rsidR="00A3032C" w:rsidRDefault="00C03818">
      <w:pPr>
        <w:widowControl/>
        <w:numPr>
          <w:ilvl w:val="0"/>
          <w:numId w:val="2"/>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《中华人民共和国资产评估法》</w:t>
      </w:r>
      <w:r>
        <w:rPr>
          <w:rFonts w:ascii="宋体" w:hAnsi="宋体" w:hint="eastAsia"/>
          <w:sz w:val="24"/>
          <w:szCs w:val="24"/>
        </w:rPr>
        <w:t>(2016</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日第十二届全国人民代表大会常务委员会第二十一次会议通过</w:t>
      </w:r>
      <w:r>
        <w:rPr>
          <w:rFonts w:ascii="宋体" w:hAnsi="宋体" w:hint="eastAsia"/>
          <w:sz w:val="24"/>
          <w:szCs w:val="24"/>
        </w:rPr>
        <w:t>)</w:t>
      </w:r>
      <w:r>
        <w:rPr>
          <w:rFonts w:ascii="宋体" w:hAnsi="宋体" w:hint="eastAsia"/>
          <w:sz w:val="24"/>
          <w:szCs w:val="24"/>
        </w:rPr>
        <w:t>；</w:t>
      </w:r>
    </w:p>
    <w:p w:rsidR="00A3032C" w:rsidRDefault="00C03818">
      <w:pPr>
        <w:widowControl/>
        <w:numPr>
          <w:ilvl w:val="0"/>
          <w:numId w:val="2"/>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《中华人民共和国公司法》</w:t>
      </w:r>
      <w:r>
        <w:rPr>
          <w:rFonts w:ascii="宋体" w:hAnsi="宋体" w:hint="eastAsia"/>
          <w:sz w:val="24"/>
          <w:szCs w:val="24"/>
        </w:rPr>
        <w:t>(2013</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日第十二届全国人民代表大会常务委员会第六次会议通过修正</w:t>
      </w:r>
      <w:r>
        <w:rPr>
          <w:rFonts w:ascii="宋体" w:hAnsi="宋体" w:hint="eastAsia"/>
          <w:sz w:val="24"/>
          <w:szCs w:val="24"/>
        </w:rPr>
        <w:t>)</w:t>
      </w:r>
      <w:r>
        <w:rPr>
          <w:rFonts w:ascii="宋体" w:hAnsi="宋体" w:hint="eastAsia"/>
          <w:sz w:val="24"/>
          <w:szCs w:val="24"/>
        </w:rPr>
        <w:t>；</w:t>
      </w:r>
    </w:p>
    <w:p w:rsidR="00A3032C" w:rsidRDefault="00C03818">
      <w:pPr>
        <w:widowControl/>
        <w:numPr>
          <w:ilvl w:val="0"/>
          <w:numId w:val="2"/>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《资产评估行业财政监督管理办法》</w:t>
      </w:r>
      <w:r>
        <w:rPr>
          <w:rFonts w:ascii="宋体" w:hAnsi="宋体" w:hint="eastAsia"/>
          <w:sz w:val="24"/>
          <w:szCs w:val="24"/>
        </w:rPr>
        <w:t>(</w:t>
      </w:r>
      <w:r>
        <w:rPr>
          <w:rFonts w:ascii="宋体" w:hAnsi="宋体" w:hint="eastAsia"/>
          <w:sz w:val="24"/>
          <w:szCs w:val="24"/>
        </w:rPr>
        <w:t>中华人民共和国财政部令第</w:t>
      </w:r>
      <w:r>
        <w:rPr>
          <w:rFonts w:ascii="宋体" w:hAnsi="宋体" w:hint="eastAsia"/>
          <w:sz w:val="24"/>
          <w:szCs w:val="24"/>
        </w:rPr>
        <w:t>86</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w:t>
      </w:r>
    </w:p>
    <w:p w:rsidR="00A3032C" w:rsidRDefault="00C03818">
      <w:pPr>
        <w:widowControl/>
        <w:numPr>
          <w:ilvl w:val="0"/>
          <w:numId w:val="2"/>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《中华人民共和国企业所得税法》</w:t>
      </w:r>
      <w:r>
        <w:rPr>
          <w:rFonts w:ascii="宋体" w:hAnsi="宋体" w:hint="eastAsia"/>
          <w:sz w:val="24"/>
          <w:szCs w:val="24"/>
        </w:rPr>
        <w:t>(</w:t>
      </w:r>
      <w:r>
        <w:rPr>
          <w:rFonts w:ascii="宋体" w:hAnsi="宋体"/>
          <w:sz w:val="24"/>
          <w:szCs w:val="24"/>
        </w:rPr>
        <w:t>2007</w:t>
      </w:r>
      <w:r>
        <w:rPr>
          <w:rFonts w:ascii="宋体" w:hAnsi="宋体"/>
          <w:sz w:val="24"/>
          <w:szCs w:val="24"/>
        </w:rPr>
        <w:t>年</w:t>
      </w:r>
      <w:r>
        <w:rPr>
          <w:rFonts w:ascii="宋体" w:hAnsi="宋体"/>
          <w:sz w:val="24"/>
          <w:szCs w:val="24"/>
        </w:rPr>
        <w:t>3</w:t>
      </w:r>
      <w:r>
        <w:rPr>
          <w:rFonts w:ascii="宋体" w:hAnsi="宋体"/>
          <w:sz w:val="24"/>
          <w:szCs w:val="24"/>
        </w:rPr>
        <w:t>月</w:t>
      </w:r>
      <w:r>
        <w:rPr>
          <w:rFonts w:ascii="宋体" w:hAnsi="宋体"/>
          <w:sz w:val="24"/>
          <w:szCs w:val="24"/>
        </w:rPr>
        <w:t>16</w:t>
      </w:r>
      <w:r>
        <w:rPr>
          <w:rFonts w:ascii="宋体" w:hAnsi="宋体"/>
          <w:sz w:val="24"/>
          <w:szCs w:val="24"/>
        </w:rPr>
        <w:t>日第十届全国人民代表大会第五次会议通过</w:t>
      </w:r>
      <w:r>
        <w:rPr>
          <w:rFonts w:ascii="宋体" w:hAnsi="宋体" w:hint="eastAsia"/>
          <w:sz w:val="24"/>
          <w:szCs w:val="24"/>
        </w:rPr>
        <w:t>)</w:t>
      </w:r>
      <w:r>
        <w:rPr>
          <w:rFonts w:ascii="宋体" w:hAnsi="宋体"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（三）评估准则依据</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基本准则</w:t>
      </w:r>
      <w:r>
        <w:rPr>
          <w:rFonts w:asciiTheme="minorEastAsia" w:eastAsiaTheme="minorEastAsia" w:hAnsiTheme="minorEastAsia"/>
          <w:sz w:val="24"/>
          <w:szCs w:val="24"/>
        </w:rPr>
        <w:t>》（财</w:t>
      </w:r>
      <w:r>
        <w:rPr>
          <w:rFonts w:asciiTheme="minorEastAsia" w:eastAsiaTheme="minorEastAsia" w:hAnsiTheme="minorEastAsia" w:hint="eastAsia"/>
          <w:sz w:val="24"/>
          <w:szCs w:val="24"/>
        </w:rPr>
        <w:t>资</w:t>
      </w:r>
      <w:r>
        <w:rPr>
          <w:rFonts w:asciiTheme="minorEastAsia" w:eastAsiaTheme="minorEastAsia" w:hAnsiTheme="minorEastAsia"/>
          <w:sz w:val="24"/>
          <w:szCs w:val="24"/>
        </w:rPr>
        <w:t>[20</w:t>
      </w:r>
      <w:r>
        <w:rPr>
          <w:rFonts w:asciiTheme="minorEastAsia" w:eastAsiaTheme="minorEastAsia" w:hAnsiTheme="minorEastAsia" w:hint="eastAsia"/>
          <w:sz w:val="24"/>
          <w:szCs w:val="24"/>
        </w:rPr>
        <w:t>17</w:t>
      </w:r>
      <w:r>
        <w:rPr>
          <w:rFonts w:asciiTheme="minorEastAsia" w:eastAsiaTheme="minorEastAsia" w:hAnsiTheme="minorEastAsia"/>
          <w:sz w:val="24"/>
          <w:szCs w:val="24"/>
        </w:rPr>
        <w:t>]</w:t>
      </w:r>
      <w:r>
        <w:rPr>
          <w:rFonts w:asciiTheme="minorEastAsia" w:eastAsiaTheme="minorEastAsia" w:hAnsiTheme="minorEastAsia" w:hint="eastAsia"/>
          <w:sz w:val="24"/>
          <w:szCs w:val="24"/>
        </w:rPr>
        <w:t>43</w:t>
      </w:r>
      <w:r>
        <w:rPr>
          <w:rFonts w:asciiTheme="minorEastAsia" w:eastAsiaTheme="minorEastAsia" w:hAnsiTheme="minor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资产评估职业道德准则》（</w:t>
      </w:r>
      <w:proofErr w:type="gramStart"/>
      <w:r>
        <w:rPr>
          <w:rFonts w:asciiTheme="minorEastAsia" w:eastAsiaTheme="minorEastAsia" w:hAnsiTheme="minorEastAsia" w:hint="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r>
        <w:rPr>
          <w:rFonts w:asciiTheme="minorEastAsia" w:eastAsiaTheme="minorEastAsia" w:hAnsiTheme="minorEastAsia"/>
          <w:sz w:val="24"/>
          <w:szCs w:val="24"/>
        </w:rPr>
        <w:t>）；</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sz w:val="24"/>
          <w:szCs w:val="24"/>
        </w:rPr>
        <w:t>—</w:t>
      </w:r>
      <w:r>
        <w:rPr>
          <w:rFonts w:asciiTheme="minorEastAsia" w:eastAsiaTheme="minorEastAsia" w:hAnsiTheme="minorEastAsia" w:hint="eastAsia"/>
          <w:sz w:val="24"/>
          <w:szCs w:val="24"/>
        </w:rPr>
        <w:t>资产评估程序</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31</w:t>
      </w:r>
      <w:r>
        <w:rPr>
          <w:rFonts w:asciiTheme="minorEastAsia" w:eastAsiaTheme="minorEastAsia" w:hAnsiTheme="minor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sz w:val="24"/>
          <w:szCs w:val="24"/>
        </w:rPr>
        <w:t>—</w:t>
      </w:r>
      <w:r>
        <w:rPr>
          <w:rFonts w:asciiTheme="minorEastAsia" w:eastAsiaTheme="minorEastAsia" w:hAnsiTheme="minorEastAsia" w:hint="eastAsia"/>
          <w:sz w:val="24"/>
          <w:szCs w:val="24"/>
        </w:rPr>
        <w:t>资产评估报告</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32</w:t>
      </w:r>
      <w:r>
        <w:rPr>
          <w:rFonts w:asciiTheme="minorEastAsia" w:eastAsiaTheme="minorEastAsia" w:hAnsiTheme="minor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sz w:val="24"/>
          <w:szCs w:val="24"/>
        </w:rPr>
        <w:t>—</w:t>
      </w:r>
      <w:r>
        <w:rPr>
          <w:rFonts w:asciiTheme="minorEastAsia" w:eastAsiaTheme="minorEastAsia" w:hAnsiTheme="minorEastAsia" w:hint="eastAsia"/>
          <w:sz w:val="24"/>
          <w:szCs w:val="24"/>
        </w:rPr>
        <w:t>资产评估委托合同</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33</w:t>
      </w:r>
      <w:r>
        <w:rPr>
          <w:rFonts w:asciiTheme="minorEastAsia" w:eastAsiaTheme="minorEastAsia" w:hAnsiTheme="minor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sz w:val="24"/>
          <w:szCs w:val="24"/>
        </w:rPr>
        <w:t>—</w:t>
      </w:r>
      <w:r>
        <w:rPr>
          <w:rFonts w:asciiTheme="minorEastAsia" w:eastAsiaTheme="minorEastAsia" w:hAnsiTheme="minorEastAsia" w:hint="eastAsia"/>
          <w:sz w:val="24"/>
          <w:szCs w:val="24"/>
        </w:rPr>
        <w:t>资产评估档案</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34</w:t>
      </w:r>
      <w:r>
        <w:rPr>
          <w:rFonts w:asciiTheme="minorEastAsia" w:eastAsiaTheme="minorEastAsia" w:hAnsiTheme="minor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企业价值</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36</w:t>
      </w:r>
      <w:r>
        <w:rPr>
          <w:rFonts w:asciiTheme="minorEastAsia" w:eastAsiaTheme="minorEastAsia" w:hAnsiTheme="minor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sz w:val="24"/>
          <w:szCs w:val="24"/>
        </w:rPr>
        <w:t>—</w:t>
      </w:r>
      <w:r>
        <w:rPr>
          <w:rFonts w:asciiTheme="minorEastAsia" w:eastAsiaTheme="minorEastAsia" w:hAnsiTheme="minorEastAsia" w:hint="eastAsia"/>
          <w:sz w:val="24"/>
          <w:szCs w:val="24"/>
        </w:rPr>
        <w:t>机器设备</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39</w:t>
      </w:r>
      <w:r>
        <w:rPr>
          <w:rFonts w:asciiTheme="minorEastAsia" w:eastAsiaTheme="minorEastAsia" w:hAnsiTheme="minor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《资产评估机构业务质量控制指南》（</w:t>
      </w:r>
      <w:proofErr w:type="gramStart"/>
      <w:r>
        <w:rPr>
          <w:rFonts w:asciiTheme="minorEastAsia" w:eastAsiaTheme="minorEastAsia" w:hAnsiTheme="minorEastAsia" w:hint="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46</w:t>
      </w:r>
      <w:r>
        <w:rPr>
          <w:rFonts w:asciiTheme="minorEastAsia" w:eastAsiaTheme="minorEastAsia" w:hAnsiTheme="minorEastAsia" w:hint="eastAsia"/>
          <w:sz w:val="24"/>
          <w:szCs w:val="24"/>
        </w:rPr>
        <w:t>号）；</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《资产评估价值类型指导意见》（</w:t>
      </w:r>
      <w:proofErr w:type="gramStart"/>
      <w:r>
        <w:rPr>
          <w:rFonts w:asciiTheme="minorEastAsia" w:eastAsiaTheme="minorEastAsia" w:hAnsiTheme="minorEastAsia" w:hint="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47</w:t>
      </w:r>
      <w:r>
        <w:rPr>
          <w:rFonts w:asciiTheme="minorEastAsia" w:eastAsiaTheme="minorEastAsia" w:hAnsiTheme="minorEastAsia" w:hint="eastAsia"/>
          <w:sz w:val="24"/>
          <w:szCs w:val="24"/>
        </w:rPr>
        <w:t>号）</w:t>
      </w:r>
      <w:r>
        <w:rPr>
          <w:rFonts w:asciiTheme="minorEastAsia" w:eastAsiaTheme="minorEastAsia" w:hAnsiTheme="minorEastAsia"/>
          <w:sz w:val="24"/>
          <w:szCs w:val="24"/>
        </w:rPr>
        <w:t>；</w:t>
      </w:r>
    </w:p>
    <w:p w:rsidR="00A3032C" w:rsidRDefault="00C03818">
      <w:pPr>
        <w:pStyle w:val="afe"/>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《资产评估对象法律权属指导意见》（</w:t>
      </w:r>
      <w:proofErr w:type="gramStart"/>
      <w:r>
        <w:rPr>
          <w:rFonts w:asciiTheme="minorEastAsia" w:eastAsiaTheme="minorEastAsia" w:hAnsiTheme="minorEastAsia" w:hint="eastAsia"/>
          <w:sz w:val="24"/>
          <w:szCs w:val="24"/>
        </w:rPr>
        <w:t>中评协</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48</w:t>
      </w:r>
      <w:r>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（四）产权依据</w:t>
      </w:r>
    </w:p>
    <w:p w:rsidR="00A3032C" w:rsidRDefault="00C03818">
      <w:pPr>
        <w:pStyle w:val="afe"/>
        <w:numPr>
          <w:ilvl w:val="0"/>
          <w:numId w:val="4"/>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其他有关产权证明。</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（五）取价依据</w:t>
      </w:r>
    </w:p>
    <w:p w:rsidR="00A3032C" w:rsidRDefault="00C03818">
      <w:pPr>
        <w:pStyle w:val="afe"/>
        <w:numPr>
          <w:ilvl w:val="0"/>
          <w:numId w:val="5"/>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评估基准日银行存贷款基准利率及外汇汇率；</w:t>
      </w:r>
    </w:p>
    <w:p w:rsidR="00A3032C" w:rsidRDefault="00C03818">
      <w:pPr>
        <w:pStyle w:val="afe"/>
        <w:numPr>
          <w:ilvl w:val="0"/>
          <w:numId w:val="5"/>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《机电产品报价手册》</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A3032C" w:rsidRDefault="00C03818">
      <w:pPr>
        <w:pStyle w:val="afe"/>
        <w:numPr>
          <w:ilvl w:val="0"/>
          <w:numId w:val="5"/>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企业提供的以前年度的财务报表、审计报告；</w:t>
      </w:r>
    </w:p>
    <w:p w:rsidR="00A3032C" w:rsidRDefault="00C03818">
      <w:pPr>
        <w:pStyle w:val="afe"/>
        <w:numPr>
          <w:ilvl w:val="0"/>
          <w:numId w:val="5"/>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评估人员勘察记录及收集的其他相关估价信息资料；</w:t>
      </w:r>
    </w:p>
    <w:p w:rsidR="00A3032C" w:rsidRDefault="00C03818">
      <w:pPr>
        <w:pStyle w:val="afe"/>
        <w:numPr>
          <w:ilvl w:val="0"/>
          <w:numId w:val="5"/>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与此次资产评估有关的其他资料。</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（六）其他</w:t>
      </w:r>
      <w:r>
        <w:rPr>
          <w:rFonts w:asciiTheme="minorEastAsia" w:eastAsiaTheme="minorEastAsia" w:hAnsiTheme="minorEastAsia" w:hint="eastAsia"/>
          <w:sz w:val="24"/>
          <w:szCs w:val="24"/>
        </w:rPr>
        <w:t>参考</w:t>
      </w:r>
      <w:r>
        <w:rPr>
          <w:rFonts w:asciiTheme="minorEastAsia" w:eastAsiaTheme="minorEastAsia" w:hAnsiTheme="minorEastAsia"/>
          <w:sz w:val="24"/>
          <w:szCs w:val="24"/>
        </w:rPr>
        <w:t>依据</w:t>
      </w:r>
    </w:p>
    <w:p w:rsidR="00A3032C" w:rsidRDefault="00C03818">
      <w:pPr>
        <w:widowControl/>
        <w:numPr>
          <w:ilvl w:val="0"/>
          <w:numId w:val="6"/>
        </w:numPr>
        <w:adjustRightInd w:val="0"/>
        <w:snapToGrid w:val="0"/>
        <w:spacing w:line="360" w:lineRule="auto"/>
        <w:ind w:left="0" w:firstLine="480"/>
        <w:rPr>
          <w:rFonts w:ascii="宋体" w:hAnsi="宋体"/>
          <w:sz w:val="24"/>
          <w:szCs w:val="24"/>
        </w:rPr>
      </w:pPr>
      <w:r>
        <w:rPr>
          <w:rFonts w:ascii="宋体" w:hAnsi="宋体" w:hint="eastAsia"/>
          <w:sz w:val="24"/>
          <w:szCs w:val="24"/>
        </w:rPr>
        <w:t>《企业会计准则——基本准则》</w:t>
      </w:r>
      <w:r>
        <w:rPr>
          <w:rFonts w:ascii="宋体" w:hAnsi="宋体" w:hint="eastAsia"/>
          <w:sz w:val="24"/>
          <w:szCs w:val="24"/>
        </w:rPr>
        <w:t>(</w:t>
      </w:r>
      <w:r>
        <w:rPr>
          <w:rFonts w:ascii="宋体" w:hAnsi="宋体" w:hint="eastAsia"/>
          <w:sz w:val="24"/>
          <w:szCs w:val="24"/>
        </w:rPr>
        <w:t>财政部令第</w:t>
      </w:r>
      <w:r>
        <w:rPr>
          <w:rFonts w:ascii="宋体" w:hAnsi="宋体" w:hint="eastAsia"/>
          <w:sz w:val="24"/>
          <w:szCs w:val="24"/>
        </w:rPr>
        <w:t>33</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、《财政部关于修改</w:t>
      </w:r>
      <w:r>
        <w:rPr>
          <w:rFonts w:ascii="宋体" w:hAnsi="宋体" w:hint="eastAsia"/>
          <w:sz w:val="24"/>
          <w:szCs w:val="24"/>
        </w:rPr>
        <w:t>&lt;</w:t>
      </w:r>
      <w:r>
        <w:rPr>
          <w:rFonts w:ascii="宋体" w:hAnsi="宋体" w:hint="eastAsia"/>
          <w:sz w:val="24"/>
          <w:szCs w:val="24"/>
        </w:rPr>
        <w:t>企业会计准则——基本准则</w:t>
      </w:r>
      <w:r>
        <w:rPr>
          <w:rFonts w:ascii="宋体" w:hAnsi="宋体" w:hint="eastAsia"/>
          <w:sz w:val="24"/>
          <w:szCs w:val="24"/>
        </w:rPr>
        <w:t>&gt;</w:t>
      </w:r>
      <w:r>
        <w:rPr>
          <w:rFonts w:ascii="宋体" w:hAnsi="宋体" w:hint="eastAsia"/>
          <w:sz w:val="24"/>
          <w:szCs w:val="24"/>
        </w:rPr>
        <w:t>的决定》</w:t>
      </w:r>
      <w:r>
        <w:rPr>
          <w:rFonts w:ascii="宋体" w:hAnsi="宋体" w:hint="eastAsia"/>
          <w:sz w:val="24"/>
          <w:szCs w:val="24"/>
        </w:rPr>
        <w:t>(</w:t>
      </w:r>
      <w:r>
        <w:rPr>
          <w:rFonts w:ascii="宋体" w:hAnsi="宋体" w:hint="eastAsia"/>
          <w:sz w:val="24"/>
          <w:szCs w:val="24"/>
        </w:rPr>
        <w:t>财政部令第</w:t>
      </w:r>
      <w:r>
        <w:rPr>
          <w:rFonts w:ascii="宋体" w:hAnsi="宋体" w:hint="eastAsia"/>
          <w:sz w:val="24"/>
          <w:szCs w:val="24"/>
        </w:rPr>
        <w:t>76</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w:t>
      </w:r>
    </w:p>
    <w:p w:rsidR="00A3032C" w:rsidRDefault="00C03818">
      <w:pPr>
        <w:widowControl/>
        <w:numPr>
          <w:ilvl w:val="0"/>
          <w:numId w:val="6"/>
        </w:numPr>
        <w:adjustRightInd w:val="0"/>
        <w:snapToGrid w:val="0"/>
        <w:spacing w:line="360" w:lineRule="auto"/>
        <w:rPr>
          <w:rFonts w:ascii="宋体" w:hAnsi="宋体"/>
          <w:sz w:val="24"/>
          <w:szCs w:val="24"/>
        </w:rPr>
      </w:pPr>
      <w:r>
        <w:rPr>
          <w:rFonts w:ascii="宋体" w:hAnsi="宋体" w:hint="eastAsia"/>
          <w:sz w:val="24"/>
          <w:szCs w:val="24"/>
        </w:rPr>
        <w:t>被评估单位提供的资</w:t>
      </w:r>
      <w:r>
        <w:rPr>
          <w:rFonts w:ascii="宋体" w:hAnsi="宋体" w:hint="eastAsia"/>
          <w:sz w:val="24"/>
          <w:szCs w:val="24"/>
        </w:rPr>
        <w:t>产清单、评估申报表</w:t>
      </w:r>
      <w:r>
        <w:rPr>
          <w:rFonts w:ascii="宋体" w:hAnsi="宋体" w:hint="eastAsia"/>
          <w:sz w:val="24"/>
          <w:szCs w:val="24"/>
        </w:rPr>
        <w:t>。</w:t>
      </w:r>
    </w:p>
    <w:p w:rsidR="00A3032C" w:rsidRDefault="00C03818">
      <w:pPr>
        <w:pStyle w:val="2"/>
        <w:ind w:firstLine="482"/>
      </w:pPr>
      <w:bookmarkStart w:id="27" w:name="_Toc493752486"/>
      <w:bookmarkStart w:id="28" w:name="_Toc334186093"/>
      <w:r>
        <w:t>七、</w:t>
      </w:r>
      <w:bookmarkStart w:id="29" w:name="三09"/>
      <w:r>
        <w:t>评估方法</w:t>
      </w:r>
      <w:bookmarkEnd w:id="27"/>
      <w:bookmarkEnd w:id="28"/>
      <w:bookmarkEnd w:id="29"/>
    </w:p>
    <w:p w:rsidR="00A3032C" w:rsidRDefault="00C03818">
      <w:pPr>
        <w:adjustRightInd w:val="0"/>
        <w:snapToGrid w:val="0"/>
        <w:spacing w:line="360" w:lineRule="auto"/>
        <w:ind w:firstLineChars="200" w:firstLine="480"/>
        <w:rPr>
          <w:rFonts w:ascii="宋体" w:hAnsi="宋体"/>
          <w:sz w:val="24"/>
          <w:szCs w:val="24"/>
        </w:rPr>
      </w:pPr>
      <w:r>
        <w:rPr>
          <w:rFonts w:ascii="宋体" w:hAnsi="宋体"/>
          <w:sz w:val="24"/>
          <w:szCs w:val="24"/>
        </w:rPr>
        <w:t>（一）评估方法的选择</w:t>
      </w:r>
    </w:p>
    <w:p w:rsidR="00A3032C" w:rsidRDefault="00C03818">
      <w:pPr>
        <w:adjustRightInd w:val="0"/>
        <w:snapToGrid w:val="0"/>
        <w:spacing w:line="360" w:lineRule="auto"/>
        <w:ind w:firstLineChars="200" w:firstLine="480"/>
        <w:rPr>
          <w:rFonts w:ascii="宋体" w:hAnsi="宋体"/>
          <w:sz w:val="24"/>
          <w:szCs w:val="24"/>
        </w:rPr>
      </w:pPr>
      <w:bookmarkStart w:id="30" w:name="_Toc334186094"/>
      <w:r>
        <w:rPr>
          <w:rFonts w:ascii="宋体" w:hAnsi="宋体" w:hint="eastAsia"/>
          <w:sz w:val="24"/>
          <w:szCs w:val="24"/>
        </w:rPr>
        <w:t>收益法，是指将评估对象预期收益资本</w:t>
      </w:r>
      <w:proofErr w:type="gramStart"/>
      <w:r>
        <w:rPr>
          <w:rFonts w:ascii="宋体" w:hAnsi="宋体" w:hint="eastAsia"/>
          <w:sz w:val="24"/>
          <w:szCs w:val="24"/>
        </w:rPr>
        <w:t>化或者</w:t>
      </w:r>
      <w:proofErr w:type="gramEnd"/>
      <w:r>
        <w:rPr>
          <w:rFonts w:ascii="宋体" w:hAnsi="宋体" w:hint="eastAsia"/>
          <w:sz w:val="24"/>
          <w:szCs w:val="24"/>
        </w:rPr>
        <w:t>折现，确定其价值的评估方法。</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市场法，是指将评估对象与可比上市公司或者可比交易案例进行比较，确定其价值的评估方法。</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资产基础法，是指以评估对象在评估基准日的资产负债表为基础，评估表内及可识别的表外各项资产、负债价值，确定其价值的评估方法。</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《资产评估执业准则——企业价值》规定，执行企业价值评估业务，应当根据评估目的、评估对象、价值类型、资料收集等情况，分析收益法、市场法和资产基础法三种基本方法的适用性，选择评估方法。</w:t>
      </w:r>
    </w:p>
    <w:p w:rsidR="00A3032C" w:rsidRDefault="00C03818">
      <w:pPr>
        <w:adjustRightInd w:val="0"/>
        <w:snapToGrid w:val="0"/>
        <w:spacing w:line="360" w:lineRule="auto"/>
        <w:ind w:firstLineChars="200" w:firstLine="480"/>
        <w:rPr>
          <w:rFonts w:ascii="宋体" w:hAnsi="宋体"/>
          <w:color w:val="FF0000"/>
          <w:sz w:val="24"/>
          <w:szCs w:val="24"/>
        </w:rPr>
      </w:pPr>
      <w:r>
        <w:rPr>
          <w:rFonts w:ascii="宋体" w:hAnsi="宋体" w:hint="eastAsia"/>
          <w:sz w:val="24"/>
          <w:szCs w:val="24"/>
        </w:rPr>
        <w:t>本次评估选用的评估方</w:t>
      </w:r>
      <w:r>
        <w:rPr>
          <w:rFonts w:ascii="宋体" w:hAnsi="宋体" w:hint="eastAsia"/>
          <w:sz w:val="24"/>
          <w:szCs w:val="24"/>
        </w:rPr>
        <w:t>法为：资产基础法。评估方法选择理由如下：</w:t>
      </w:r>
    </w:p>
    <w:p w:rsidR="00A3032C" w:rsidRDefault="00C03818">
      <w:pPr>
        <w:pStyle w:val="a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本评估项目能</w:t>
      </w:r>
      <w:r>
        <w:rPr>
          <w:rFonts w:asciiTheme="minorEastAsia" w:eastAsiaTheme="minorEastAsia" w:hAnsiTheme="minorEastAsia"/>
          <w:sz w:val="24"/>
          <w:szCs w:val="24"/>
        </w:rPr>
        <w:t>满足资产基础法</w:t>
      </w:r>
      <w:r>
        <w:rPr>
          <w:rFonts w:asciiTheme="minorEastAsia" w:eastAsiaTheme="minorEastAsia" w:hAnsiTheme="minorEastAsia" w:hint="eastAsia"/>
          <w:sz w:val="24"/>
          <w:szCs w:val="24"/>
        </w:rPr>
        <w:t>评估</w:t>
      </w:r>
      <w:r>
        <w:rPr>
          <w:rFonts w:asciiTheme="minorEastAsia" w:eastAsiaTheme="minorEastAsia" w:hAnsiTheme="minorEastAsia"/>
          <w:sz w:val="24"/>
          <w:szCs w:val="24"/>
        </w:rPr>
        <w:t>所需的条件</w:t>
      </w:r>
      <w:r>
        <w:rPr>
          <w:rFonts w:asciiTheme="minorEastAsia" w:eastAsiaTheme="minorEastAsia" w:hAnsiTheme="minorEastAsia" w:hint="eastAsia"/>
          <w:sz w:val="24"/>
          <w:szCs w:val="24"/>
        </w:rPr>
        <w:t>，即</w:t>
      </w:r>
      <w:r>
        <w:rPr>
          <w:rFonts w:asciiTheme="minorEastAsia" w:eastAsiaTheme="minorEastAsia" w:hAnsiTheme="minorEastAsia"/>
          <w:sz w:val="24"/>
          <w:szCs w:val="24"/>
        </w:rPr>
        <w:t>被评估资产处于继续使用</w:t>
      </w:r>
      <w:r>
        <w:rPr>
          <w:rFonts w:asciiTheme="minorEastAsia" w:eastAsiaTheme="minorEastAsia" w:hAnsiTheme="minorEastAsia"/>
          <w:sz w:val="24"/>
          <w:szCs w:val="24"/>
        </w:rPr>
        <w:lastRenderedPageBreak/>
        <w:t>状态或被假定处于继续使用状态</w:t>
      </w:r>
      <w:r>
        <w:rPr>
          <w:rFonts w:asciiTheme="minorEastAsia" w:eastAsiaTheme="minorEastAsia" w:hAnsiTheme="minorEastAsia" w:hint="eastAsia"/>
          <w:sz w:val="24"/>
          <w:szCs w:val="24"/>
        </w:rPr>
        <w:t>，具</w:t>
      </w:r>
      <w:r>
        <w:rPr>
          <w:rFonts w:asciiTheme="minorEastAsia" w:eastAsiaTheme="minorEastAsia" w:hAnsiTheme="minorEastAsia"/>
          <w:sz w:val="24"/>
          <w:szCs w:val="24"/>
        </w:rPr>
        <w:t>备可利用的历史资料。</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对于市场法，由于缺乏可比较的交易案例而难以采用。</w:t>
      </w:r>
    </w:p>
    <w:p w:rsidR="00A3032C" w:rsidRDefault="00C03818">
      <w:pPr>
        <w:pStyle w:val="a0"/>
        <w:adjustRightInd w:val="0"/>
        <w:spacing w:line="360" w:lineRule="auto"/>
        <w:ind w:firstLineChars="200" w:firstLine="480"/>
        <w:rPr>
          <w:rFonts w:ascii="宋体" w:hAnsi="宋体"/>
          <w:color w:val="FF0000"/>
          <w:sz w:val="24"/>
          <w:szCs w:val="24"/>
        </w:rPr>
      </w:pPr>
      <w:r>
        <w:rPr>
          <w:rFonts w:ascii="宋体" w:eastAsia="宋体" w:hAnsi="宋体" w:hint="eastAsia"/>
          <w:sz w:val="24"/>
          <w:szCs w:val="24"/>
        </w:rPr>
        <w:t>收益法虽然没有直接利用现实市场上的参照物来说明评估对象的现行公平市场价值，但它是从决定资产现行公平市场价值的基本依据。本次评估考虑到企业</w:t>
      </w:r>
      <w:r>
        <w:rPr>
          <w:rFonts w:ascii="宋体" w:eastAsia="宋体" w:hAnsi="宋体" w:hint="eastAsia"/>
          <w:sz w:val="24"/>
          <w:szCs w:val="24"/>
        </w:rPr>
        <w:t>近年来收益亏损，对未来期收益难以估计，难以满足使用收益法条件，</w:t>
      </w:r>
      <w:r>
        <w:rPr>
          <w:rFonts w:ascii="宋体" w:eastAsia="宋体" w:hAnsi="宋体" w:hint="eastAsia"/>
          <w:sz w:val="24"/>
          <w:szCs w:val="24"/>
        </w:rPr>
        <w:t>故本次评估不采用收益法。</w:t>
      </w:r>
    </w:p>
    <w:p w:rsidR="00A3032C" w:rsidRDefault="00C03818">
      <w:pPr>
        <w:widowControl/>
        <w:numPr>
          <w:ilvl w:val="0"/>
          <w:numId w:val="7"/>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Pr>
          <w:rFonts w:ascii="宋体" w:hAnsi="宋体" w:hint="eastAsia"/>
          <w:snapToGrid w:val="0"/>
          <w:sz w:val="24"/>
          <w:szCs w:val="24"/>
        </w:rPr>
        <w:t>资产基础法</w:t>
      </w:r>
    </w:p>
    <w:p w:rsidR="00A3032C" w:rsidRDefault="00C03818">
      <w:pPr>
        <w:pStyle w:val="a0"/>
        <w:widowControl/>
        <w:numPr>
          <w:ilvl w:val="0"/>
          <w:numId w:val="8"/>
        </w:numPr>
        <w:spacing w:line="360" w:lineRule="auto"/>
        <w:ind w:left="0" w:firstLineChars="200" w:firstLine="480"/>
        <w:rPr>
          <w:rFonts w:ascii="宋体" w:eastAsia="宋体" w:hAnsi="宋体"/>
          <w:sz w:val="24"/>
          <w:szCs w:val="24"/>
        </w:rPr>
      </w:pPr>
      <w:r>
        <w:rPr>
          <w:rFonts w:ascii="宋体" w:eastAsia="宋体" w:hAnsi="宋体" w:hint="eastAsia"/>
          <w:sz w:val="24"/>
          <w:szCs w:val="24"/>
        </w:rPr>
        <w:t>流动资产</w:t>
      </w:r>
    </w:p>
    <w:p w:rsidR="00A3032C" w:rsidRDefault="00C03818">
      <w:pPr>
        <w:pStyle w:val="afe"/>
        <w:widowControl/>
        <w:numPr>
          <w:ilvl w:val="0"/>
          <w:numId w:val="9"/>
        </w:numPr>
        <w:adjustRightInd w:val="0"/>
        <w:snapToGrid w:val="0"/>
        <w:spacing w:line="360" w:lineRule="auto"/>
        <w:ind w:left="0" w:firstLineChars="177" w:firstLine="425"/>
        <w:rPr>
          <w:rFonts w:ascii="宋体" w:hAnsi="宋体"/>
          <w:sz w:val="24"/>
          <w:szCs w:val="24"/>
        </w:rPr>
      </w:pPr>
      <w:r>
        <w:rPr>
          <w:rFonts w:ascii="宋体" w:hAnsi="宋体" w:hint="eastAsia"/>
          <w:sz w:val="24"/>
          <w:szCs w:val="24"/>
        </w:rPr>
        <w:t>货币资金，包括现金和银行存款，通过现金</w:t>
      </w:r>
      <w:r>
        <w:rPr>
          <w:rFonts w:ascii="宋体" w:hAnsi="宋体" w:hint="eastAsia"/>
          <w:sz w:val="24"/>
          <w:szCs w:val="24"/>
        </w:rPr>
        <w:t>企业自</w:t>
      </w:r>
      <w:r>
        <w:rPr>
          <w:rFonts w:ascii="宋体" w:hAnsi="宋体" w:hint="eastAsia"/>
          <w:sz w:val="24"/>
          <w:szCs w:val="24"/>
        </w:rPr>
        <w:t>盘、核实银行对账单等，以核实后的价值确定评估值。其中外币按评估基准</w:t>
      </w:r>
      <w:proofErr w:type="gramStart"/>
      <w:r>
        <w:rPr>
          <w:rFonts w:ascii="宋体" w:hAnsi="宋体" w:hint="eastAsia"/>
          <w:sz w:val="24"/>
          <w:szCs w:val="24"/>
        </w:rPr>
        <w:t>日人民</w:t>
      </w:r>
      <w:proofErr w:type="gramEnd"/>
      <w:r>
        <w:rPr>
          <w:rFonts w:ascii="宋体" w:hAnsi="宋体" w:hint="eastAsia"/>
          <w:sz w:val="24"/>
          <w:szCs w:val="24"/>
        </w:rPr>
        <w:t>银行公布外币中间价折算确定其价值。</w:t>
      </w:r>
    </w:p>
    <w:p w:rsidR="00A3032C" w:rsidRDefault="00C03818">
      <w:pPr>
        <w:pStyle w:val="afe"/>
        <w:widowControl/>
        <w:numPr>
          <w:ilvl w:val="0"/>
          <w:numId w:val="9"/>
        </w:numPr>
        <w:adjustRightInd w:val="0"/>
        <w:snapToGrid w:val="0"/>
        <w:spacing w:line="360" w:lineRule="auto"/>
        <w:ind w:left="0" w:firstLineChars="177" w:firstLine="425"/>
        <w:rPr>
          <w:rFonts w:ascii="宋体" w:hAnsi="宋体"/>
          <w:sz w:val="24"/>
          <w:szCs w:val="24"/>
        </w:rPr>
      </w:pPr>
      <w:r>
        <w:rPr>
          <w:rFonts w:ascii="宋体" w:hAnsi="宋体" w:hint="eastAsia"/>
          <w:sz w:val="24"/>
          <w:szCs w:val="24"/>
        </w:rPr>
        <w:t>应收账款、其他应收款，评估人员在对应收款项核实无误的基础上，根据每笔款项可能收回的数额确定评估值。对于有充分理由相信全都能收回的，按全部应收款额计算评估值；对于很可能收不回部分款项的，在难以确定收不回账款的数额时，借助于历史资料和现场调查了解的情况，具体分析数额、欠款时间和原因、款项回收情况、欠款人资金、信用、经营管理现状等，按照账龄分析法，估计出这部分可能收不回的款项，作为风险损失扣除后计算评估值</w:t>
      </w:r>
      <w:r>
        <w:rPr>
          <w:rFonts w:ascii="宋体" w:hAnsi="宋体" w:hint="eastAsia"/>
          <w:sz w:val="24"/>
          <w:szCs w:val="24"/>
        </w:rPr>
        <w:t>。</w:t>
      </w:r>
    </w:p>
    <w:p w:rsidR="00A3032C" w:rsidRDefault="00C03818">
      <w:pPr>
        <w:pStyle w:val="a0"/>
        <w:widowControl/>
        <w:numPr>
          <w:ilvl w:val="0"/>
          <w:numId w:val="8"/>
        </w:numPr>
        <w:tabs>
          <w:tab w:val="left" w:pos="993"/>
        </w:tabs>
        <w:adjustRightInd w:val="0"/>
        <w:spacing w:line="360" w:lineRule="auto"/>
        <w:ind w:left="0" w:firstLineChars="200" w:firstLine="480"/>
        <w:rPr>
          <w:rFonts w:ascii="宋体" w:eastAsia="宋体" w:hAnsi="宋体"/>
          <w:sz w:val="24"/>
          <w:szCs w:val="24"/>
        </w:rPr>
      </w:pPr>
      <w:r>
        <w:rPr>
          <w:rFonts w:ascii="宋体" w:eastAsia="宋体" w:hAnsi="宋体" w:hint="eastAsia"/>
          <w:sz w:val="24"/>
          <w:szCs w:val="24"/>
        </w:rPr>
        <w:t>机器设备</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根据企业提供的机器设备明细清单进行核对，做到账表相符，同时通过对有关的</w:t>
      </w:r>
      <w:r>
        <w:rPr>
          <w:rFonts w:ascii="宋体" w:eastAsia="宋体" w:hAnsi="宋体" w:hint="eastAsia"/>
          <w:sz w:val="24"/>
          <w:szCs w:val="24"/>
        </w:rPr>
        <w:t>发票</w:t>
      </w:r>
      <w:r>
        <w:rPr>
          <w:rFonts w:ascii="宋体" w:eastAsia="宋体" w:hAnsi="宋体" w:hint="eastAsia"/>
          <w:sz w:val="24"/>
          <w:szCs w:val="24"/>
        </w:rPr>
        <w:t>、法律权属证明及会计凭证审查核实对其权属予以确认。</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根据评估目的，按照持续使用原则，以市场价格为依据，结合</w:t>
      </w:r>
      <w:proofErr w:type="gramStart"/>
      <w:r>
        <w:rPr>
          <w:rFonts w:ascii="宋体" w:eastAsia="宋体" w:hAnsi="宋体" w:hint="eastAsia"/>
          <w:sz w:val="24"/>
          <w:szCs w:val="24"/>
        </w:rPr>
        <w:t>委估设备</w:t>
      </w:r>
      <w:proofErr w:type="gramEnd"/>
      <w:r>
        <w:rPr>
          <w:rFonts w:ascii="宋体" w:eastAsia="宋体" w:hAnsi="宋体" w:hint="eastAsia"/>
          <w:sz w:val="24"/>
          <w:szCs w:val="24"/>
        </w:rPr>
        <w:t>的特点和收集资料情况，主要采用重置成本法进行评估。</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评估值</w:t>
      </w:r>
      <w:r>
        <w:rPr>
          <w:rFonts w:ascii="宋体" w:eastAsia="宋体" w:hAnsi="宋体" w:hint="eastAsia"/>
          <w:sz w:val="24"/>
          <w:szCs w:val="24"/>
        </w:rPr>
        <w:t>=</w:t>
      </w:r>
      <w:r>
        <w:rPr>
          <w:rFonts w:ascii="宋体" w:eastAsia="宋体" w:hAnsi="宋体" w:hint="eastAsia"/>
          <w:sz w:val="24"/>
          <w:szCs w:val="24"/>
        </w:rPr>
        <w:t>重置全价×综合成新率</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电子设备</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根据当地市场信息及近期网上交易价确定重置全价。</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对于购置时间较早，现市场上无相关型号但能使用的电子设备，参照二手设备市场不含税价格确定其重置全价。</w:t>
      </w:r>
    </w:p>
    <w:p w:rsidR="00A3032C" w:rsidRDefault="00C03818">
      <w:pPr>
        <w:pStyle w:val="a0"/>
        <w:widowControl/>
        <w:numPr>
          <w:ilvl w:val="0"/>
          <w:numId w:val="10"/>
        </w:numPr>
        <w:adjustRightInd w:val="0"/>
        <w:spacing w:line="360" w:lineRule="auto"/>
        <w:ind w:left="0" w:firstLineChars="200" w:firstLine="480"/>
        <w:rPr>
          <w:rFonts w:ascii="宋体" w:eastAsia="宋体" w:hAnsi="宋体"/>
          <w:sz w:val="24"/>
          <w:szCs w:val="24"/>
        </w:rPr>
      </w:pPr>
      <w:r>
        <w:rPr>
          <w:rFonts w:ascii="宋体" w:eastAsia="宋体" w:hAnsi="宋体" w:hint="eastAsia"/>
          <w:sz w:val="24"/>
          <w:szCs w:val="24"/>
        </w:rPr>
        <w:t>综合成新率的确定</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对于电子设备等小型设备，主要依据其经济寿命年限来确定其综合成新率</w:t>
      </w:r>
      <w:r>
        <w:rPr>
          <w:rFonts w:ascii="宋体" w:eastAsia="宋体" w:hAnsi="宋体" w:hint="eastAsia"/>
          <w:sz w:val="24"/>
          <w:szCs w:val="24"/>
        </w:rPr>
        <w:t>。</w:t>
      </w:r>
    </w:p>
    <w:p w:rsidR="00A3032C" w:rsidRDefault="00C03818">
      <w:pPr>
        <w:pStyle w:val="a0"/>
        <w:widowControl/>
        <w:numPr>
          <w:ilvl w:val="0"/>
          <w:numId w:val="10"/>
        </w:numPr>
        <w:adjustRightInd w:val="0"/>
        <w:spacing w:line="360" w:lineRule="auto"/>
        <w:ind w:left="0" w:firstLineChars="200" w:firstLine="480"/>
        <w:rPr>
          <w:rFonts w:ascii="宋体" w:eastAsia="宋体" w:hAnsi="宋体"/>
          <w:sz w:val="24"/>
          <w:szCs w:val="24"/>
        </w:rPr>
      </w:pPr>
      <w:r>
        <w:rPr>
          <w:rFonts w:ascii="宋体" w:eastAsia="宋体" w:hAnsi="宋体" w:hint="eastAsia"/>
          <w:sz w:val="24"/>
          <w:szCs w:val="24"/>
        </w:rPr>
        <w:lastRenderedPageBreak/>
        <w:t>评估值的确定</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设备评估值</w:t>
      </w:r>
      <w:r>
        <w:rPr>
          <w:rFonts w:ascii="宋体" w:hAnsi="宋体" w:hint="eastAsia"/>
          <w:sz w:val="24"/>
          <w:szCs w:val="24"/>
        </w:rPr>
        <w:t>=</w:t>
      </w:r>
      <w:r>
        <w:rPr>
          <w:rFonts w:ascii="宋体" w:hAnsi="宋体" w:hint="eastAsia"/>
          <w:sz w:val="24"/>
          <w:szCs w:val="24"/>
        </w:rPr>
        <w:t>设备重置全价×综合成新率</w:t>
      </w:r>
    </w:p>
    <w:p w:rsidR="00A3032C" w:rsidRDefault="00C03818">
      <w:pPr>
        <w:pStyle w:val="a0"/>
        <w:widowControl/>
        <w:numPr>
          <w:ilvl w:val="0"/>
          <w:numId w:val="8"/>
        </w:numPr>
        <w:tabs>
          <w:tab w:val="left" w:pos="993"/>
        </w:tabs>
        <w:adjustRightInd w:val="0"/>
        <w:spacing w:line="360" w:lineRule="auto"/>
        <w:ind w:left="0" w:firstLineChars="200" w:firstLine="480"/>
        <w:rPr>
          <w:rFonts w:ascii="宋体" w:eastAsia="宋体" w:hAnsi="宋体"/>
          <w:sz w:val="24"/>
          <w:szCs w:val="24"/>
        </w:rPr>
      </w:pPr>
      <w:r>
        <w:rPr>
          <w:rFonts w:ascii="宋体" w:eastAsia="宋体" w:hAnsi="宋体" w:hint="eastAsia"/>
          <w:sz w:val="24"/>
          <w:szCs w:val="24"/>
        </w:rPr>
        <w:t>负债</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hAnsi="宋体"/>
          <w:sz w:val="24"/>
          <w:szCs w:val="24"/>
          <w:lang w:val="zh-CN"/>
        </w:rPr>
        <w:t>对企业负债的评</w:t>
      </w:r>
      <w:r>
        <w:rPr>
          <w:rFonts w:hAnsi="宋体"/>
          <w:sz w:val="24"/>
          <w:szCs w:val="24"/>
          <w:lang w:val="zh-CN"/>
        </w:rPr>
        <w:t>估，主要是进行审查核实，评估人员对相关的文件、合同、账本及相关凭证进行核实，确认其真实性后，以核实后的账面值或根据其实际应承担的负债确定评估值。</w:t>
      </w:r>
    </w:p>
    <w:p w:rsidR="00A3032C" w:rsidRDefault="00C03818">
      <w:pPr>
        <w:pStyle w:val="2"/>
        <w:ind w:firstLine="482"/>
      </w:pPr>
      <w:bookmarkStart w:id="31" w:name="_Toc493752487"/>
      <w:r>
        <w:t>八、</w:t>
      </w:r>
      <w:bookmarkStart w:id="32" w:name="三10"/>
      <w:r>
        <w:t>评估程序实施过程和情况</w:t>
      </w:r>
      <w:bookmarkEnd w:id="30"/>
      <w:bookmarkEnd w:id="31"/>
      <w:bookmarkEnd w:id="32"/>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评估人员对评估对象涉及的资产和负债实施了评估。主要评估程序实施过程和情况如下：</w:t>
      </w:r>
    </w:p>
    <w:p w:rsidR="00A3032C" w:rsidRDefault="00C03818">
      <w:pPr>
        <w:widowControl/>
        <w:numPr>
          <w:ilvl w:val="0"/>
          <w:numId w:val="11"/>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Pr>
          <w:rFonts w:ascii="宋体" w:hAnsi="宋体" w:hint="eastAsia"/>
          <w:snapToGrid w:val="0"/>
          <w:sz w:val="24"/>
          <w:szCs w:val="24"/>
        </w:rPr>
        <w:t>接受委托</w:t>
      </w:r>
    </w:p>
    <w:p w:rsidR="00A3032C" w:rsidRDefault="00C03818">
      <w:pPr>
        <w:pStyle w:val="a0"/>
        <w:spacing w:line="360" w:lineRule="auto"/>
        <w:ind w:firstLine="504"/>
        <w:rPr>
          <w:rFonts w:ascii="宋体" w:eastAsia="宋体" w:hAnsi="宋体"/>
          <w:sz w:val="24"/>
          <w:szCs w:val="24"/>
        </w:rPr>
      </w:pPr>
      <w:r>
        <w:rPr>
          <w:rFonts w:ascii="宋体" w:eastAsia="宋体" w:hAnsi="宋体" w:hint="eastAsia"/>
          <w:sz w:val="24"/>
          <w:szCs w:val="24"/>
        </w:rPr>
        <w:t>我公司与委托人就评估目的、评估对象和评估范围、评估基准日等评估业务基本事项，以及各方的权利、义务等达成一致，并与委托人协商拟定了相应的评估计划，评估报告提交时间及方式等评估业务基本事项。</w:t>
      </w:r>
    </w:p>
    <w:p w:rsidR="00A3032C" w:rsidRDefault="00C03818">
      <w:pPr>
        <w:widowControl/>
        <w:numPr>
          <w:ilvl w:val="0"/>
          <w:numId w:val="11"/>
        </w:numPr>
        <w:tabs>
          <w:tab w:val="clear" w:pos="1394"/>
          <w:tab w:val="left" w:pos="1134"/>
        </w:tabs>
        <w:adjustRightInd w:val="0"/>
        <w:snapToGrid w:val="0"/>
        <w:spacing w:line="360" w:lineRule="auto"/>
        <w:ind w:left="0" w:firstLineChars="200" w:firstLine="480"/>
        <w:outlineLvl w:val="2"/>
        <w:rPr>
          <w:rFonts w:ascii="宋体" w:hAnsi="宋体"/>
          <w:kern w:val="0"/>
          <w:sz w:val="24"/>
          <w:szCs w:val="24"/>
          <w:lang w:val="zh-CN"/>
        </w:rPr>
      </w:pPr>
      <w:bookmarkStart w:id="33" w:name="_Toc284660064"/>
      <w:bookmarkStart w:id="34" w:name="_Toc284660106"/>
      <w:bookmarkStart w:id="35" w:name="_Toc267862693"/>
      <w:bookmarkStart w:id="36" w:name="_Toc267862438"/>
      <w:r>
        <w:rPr>
          <w:rFonts w:ascii="宋体" w:hAnsi="宋体" w:hint="eastAsia"/>
          <w:kern w:val="0"/>
          <w:sz w:val="24"/>
          <w:szCs w:val="24"/>
          <w:lang w:val="zh-CN"/>
        </w:rPr>
        <w:t>前期准备</w:t>
      </w:r>
      <w:bookmarkEnd w:id="33"/>
      <w:bookmarkEnd w:id="34"/>
    </w:p>
    <w:p w:rsidR="00A3032C" w:rsidRDefault="00C03818">
      <w:pPr>
        <w:pStyle w:val="a0"/>
        <w:spacing w:line="360" w:lineRule="auto"/>
        <w:ind w:firstLineChars="150" w:firstLine="360"/>
        <w:rPr>
          <w:rFonts w:ascii="宋体" w:eastAsia="宋体" w:hAnsi="宋体"/>
          <w:sz w:val="24"/>
          <w:szCs w:val="24"/>
        </w:rPr>
      </w:pPr>
      <w:r>
        <w:rPr>
          <w:rFonts w:ascii="宋体" w:eastAsia="宋体" w:hAnsi="宋体" w:hint="eastAsia"/>
          <w:sz w:val="24"/>
          <w:szCs w:val="24"/>
        </w:rPr>
        <w:t>根据评估基本事项拟定评估方案、组建评估团队、实施项目相关人员培训。</w:t>
      </w:r>
    </w:p>
    <w:p w:rsidR="00A3032C" w:rsidRDefault="00C03818">
      <w:pPr>
        <w:widowControl/>
        <w:numPr>
          <w:ilvl w:val="0"/>
          <w:numId w:val="11"/>
        </w:numPr>
        <w:tabs>
          <w:tab w:val="clear" w:pos="1394"/>
          <w:tab w:val="left" w:pos="1134"/>
        </w:tabs>
        <w:adjustRightInd w:val="0"/>
        <w:snapToGrid w:val="0"/>
        <w:spacing w:line="360" w:lineRule="auto"/>
        <w:ind w:left="0" w:firstLineChars="200" w:firstLine="480"/>
        <w:outlineLvl w:val="2"/>
        <w:rPr>
          <w:rFonts w:ascii="宋体" w:hAnsi="宋体"/>
          <w:kern w:val="0"/>
          <w:sz w:val="24"/>
          <w:szCs w:val="24"/>
          <w:lang w:val="zh-CN"/>
        </w:rPr>
      </w:pPr>
      <w:bookmarkStart w:id="37" w:name="_Toc284660107"/>
      <w:bookmarkStart w:id="38" w:name="_Toc284660065"/>
      <w:bookmarkEnd w:id="35"/>
      <w:bookmarkEnd w:id="36"/>
      <w:r>
        <w:rPr>
          <w:rFonts w:ascii="宋体" w:hAnsi="宋体" w:hint="eastAsia"/>
          <w:kern w:val="0"/>
          <w:sz w:val="24"/>
          <w:szCs w:val="24"/>
          <w:lang w:val="zh-CN"/>
        </w:rPr>
        <w:t>现场调查</w:t>
      </w:r>
      <w:bookmarkEnd w:id="37"/>
      <w:bookmarkEnd w:id="38"/>
    </w:p>
    <w:p w:rsidR="00A3032C" w:rsidRDefault="00C03818">
      <w:pPr>
        <w:pStyle w:val="a0"/>
        <w:spacing w:line="360" w:lineRule="auto"/>
        <w:ind w:firstLine="504"/>
        <w:rPr>
          <w:rFonts w:ascii="宋体" w:eastAsia="宋体" w:hAnsi="宋体"/>
          <w:sz w:val="24"/>
          <w:szCs w:val="24"/>
        </w:rPr>
      </w:pPr>
      <w:r>
        <w:rPr>
          <w:rFonts w:ascii="宋体" w:eastAsia="宋体" w:hAnsi="宋体" w:hint="eastAsia"/>
          <w:sz w:val="24"/>
          <w:szCs w:val="24"/>
        </w:rPr>
        <w:t>评估人员对评估对象涉及的资产和负债进行了必要的清查核实，对被评估单位的经营管理状况等进行了必要的尽职调查。</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指导被评估单位填表和准备应向评估机构提供的资料</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评估人员指导被评估单位的财务与资产管理人员在自行资产清查的基础上</w:t>
      </w:r>
      <w:r>
        <w:rPr>
          <w:rFonts w:ascii="宋体" w:hAnsi="宋体" w:hint="eastAsia"/>
          <w:sz w:val="24"/>
          <w:szCs w:val="24"/>
        </w:rPr>
        <w:t>,</w:t>
      </w:r>
      <w:r>
        <w:rPr>
          <w:rFonts w:ascii="宋体" w:hAnsi="宋体" w:hint="eastAsia"/>
          <w:sz w:val="24"/>
          <w:szCs w:val="24"/>
        </w:rPr>
        <w:t>按照评估机构提供的“资产评估明细表”及其填写要求、资料清单等</w:t>
      </w:r>
      <w:r>
        <w:rPr>
          <w:rFonts w:ascii="宋体" w:hAnsi="宋体" w:hint="eastAsia"/>
          <w:sz w:val="24"/>
          <w:szCs w:val="24"/>
        </w:rPr>
        <w:t>,</w:t>
      </w:r>
      <w:r>
        <w:rPr>
          <w:rFonts w:ascii="宋体" w:hAnsi="宋体" w:hint="eastAsia"/>
          <w:sz w:val="24"/>
          <w:szCs w:val="24"/>
        </w:rPr>
        <w:t>对纳入评估范围的资产进行细致准确地填报</w:t>
      </w:r>
      <w:r>
        <w:rPr>
          <w:rFonts w:ascii="宋体" w:hAnsi="宋体" w:hint="eastAsia"/>
          <w:sz w:val="24"/>
          <w:szCs w:val="24"/>
        </w:rPr>
        <w:t>,</w:t>
      </w:r>
      <w:r>
        <w:rPr>
          <w:rFonts w:ascii="宋体" w:hAnsi="宋体" w:hint="eastAsia"/>
          <w:sz w:val="24"/>
          <w:szCs w:val="24"/>
        </w:rPr>
        <w:t>同时收集准备资产的产权证明文件和反映性能、状态、经济技术指标等情况的文件资料等。</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初步审查和完善被评估</w:t>
      </w:r>
      <w:r>
        <w:rPr>
          <w:rFonts w:ascii="宋体" w:hAnsi="宋体" w:hint="eastAsia"/>
          <w:sz w:val="24"/>
          <w:szCs w:val="24"/>
        </w:rPr>
        <w:t>单位填报的资产评估明细表</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评估人员通过查阅有关资料</w:t>
      </w:r>
      <w:r>
        <w:rPr>
          <w:rFonts w:ascii="宋体" w:hAnsi="宋体" w:hint="eastAsia"/>
          <w:sz w:val="24"/>
          <w:szCs w:val="24"/>
        </w:rPr>
        <w:t>,</w:t>
      </w:r>
      <w:r>
        <w:rPr>
          <w:rFonts w:ascii="宋体" w:hAnsi="宋体" w:hint="eastAsia"/>
          <w:sz w:val="24"/>
          <w:szCs w:val="24"/>
        </w:rPr>
        <w:t>了解纳入评估范围的具体资产的详细状况</w:t>
      </w:r>
      <w:r>
        <w:rPr>
          <w:rFonts w:ascii="宋体" w:hAnsi="宋体" w:hint="eastAsia"/>
          <w:sz w:val="24"/>
          <w:szCs w:val="24"/>
        </w:rPr>
        <w:t>,</w:t>
      </w:r>
      <w:r>
        <w:rPr>
          <w:rFonts w:ascii="宋体" w:hAnsi="宋体" w:hint="eastAsia"/>
          <w:sz w:val="24"/>
          <w:szCs w:val="24"/>
        </w:rPr>
        <w:t>然后仔细审查各类“资产评估明细表”</w:t>
      </w:r>
      <w:r>
        <w:rPr>
          <w:rFonts w:ascii="宋体" w:hAnsi="宋体" w:hint="eastAsia"/>
          <w:sz w:val="24"/>
          <w:szCs w:val="24"/>
        </w:rPr>
        <w:t>,</w:t>
      </w:r>
      <w:r>
        <w:rPr>
          <w:rFonts w:ascii="宋体" w:hAnsi="宋体" w:hint="eastAsia"/>
          <w:sz w:val="24"/>
          <w:szCs w:val="24"/>
        </w:rPr>
        <w:t>检查</w:t>
      </w:r>
      <w:proofErr w:type="gramStart"/>
      <w:r>
        <w:rPr>
          <w:rFonts w:ascii="宋体" w:hAnsi="宋体" w:hint="eastAsia"/>
          <w:sz w:val="24"/>
          <w:szCs w:val="24"/>
        </w:rPr>
        <w:t>有无填项不全</w:t>
      </w:r>
      <w:proofErr w:type="gramEnd"/>
      <w:r>
        <w:rPr>
          <w:rFonts w:ascii="宋体" w:hAnsi="宋体" w:hint="eastAsia"/>
          <w:sz w:val="24"/>
          <w:szCs w:val="24"/>
        </w:rPr>
        <w:t>、错填、资产项目不明确等情况</w:t>
      </w:r>
      <w:r>
        <w:rPr>
          <w:rFonts w:ascii="宋体" w:hAnsi="宋体" w:hint="eastAsia"/>
          <w:sz w:val="24"/>
          <w:szCs w:val="24"/>
        </w:rPr>
        <w:t>,</w:t>
      </w:r>
      <w:r>
        <w:rPr>
          <w:rFonts w:ascii="宋体" w:hAnsi="宋体" w:hint="eastAsia"/>
          <w:sz w:val="24"/>
          <w:szCs w:val="24"/>
        </w:rPr>
        <w:t>并根据经验及掌握的有关资料</w:t>
      </w:r>
      <w:r>
        <w:rPr>
          <w:rFonts w:ascii="宋体" w:hAnsi="宋体" w:hint="eastAsia"/>
          <w:sz w:val="24"/>
          <w:szCs w:val="24"/>
        </w:rPr>
        <w:t>,</w:t>
      </w:r>
      <w:r>
        <w:rPr>
          <w:rFonts w:ascii="宋体" w:hAnsi="宋体" w:hint="eastAsia"/>
          <w:sz w:val="24"/>
          <w:szCs w:val="24"/>
        </w:rPr>
        <w:t>检查“资产评估明细表”有无漏项等</w:t>
      </w:r>
      <w:r>
        <w:rPr>
          <w:rFonts w:ascii="宋体" w:hAnsi="宋体" w:hint="eastAsia"/>
          <w:sz w:val="24"/>
          <w:szCs w:val="24"/>
        </w:rPr>
        <w:t>,</w:t>
      </w:r>
      <w:r>
        <w:rPr>
          <w:rFonts w:ascii="宋体" w:hAnsi="宋体" w:hint="eastAsia"/>
          <w:sz w:val="24"/>
          <w:szCs w:val="24"/>
        </w:rPr>
        <w:t>同时反馈给被评估单位对“资产评估明细表”进行完善。</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3</w:t>
      </w:r>
      <w:r>
        <w:rPr>
          <w:rFonts w:ascii="宋体" w:hAnsi="宋体" w:hint="eastAsia"/>
          <w:sz w:val="24"/>
          <w:szCs w:val="24"/>
        </w:rPr>
        <w:t>.</w:t>
      </w:r>
      <w:r>
        <w:rPr>
          <w:rFonts w:ascii="宋体" w:hAnsi="宋体" w:hint="eastAsia"/>
          <w:sz w:val="24"/>
          <w:szCs w:val="24"/>
        </w:rPr>
        <w:t>补充、修改和完善资产评估明细表</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评估人员和被评估单位相关人员充分沟通</w:t>
      </w:r>
      <w:r>
        <w:rPr>
          <w:rFonts w:ascii="宋体" w:hAnsi="宋体" w:hint="eastAsia"/>
          <w:sz w:val="24"/>
          <w:szCs w:val="24"/>
        </w:rPr>
        <w:t>,</w:t>
      </w:r>
      <w:r>
        <w:rPr>
          <w:rFonts w:ascii="宋体" w:hAnsi="宋体" w:hint="eastAsia"/>
          <w:sz w:val="24"/>
          <w:szCs w:val="24"/>
        </w:rPr>
        <w:t>进一步完善“资产评估明细表”</w:t>
      </w:r>
      <w:r>
        <w:rPr>
          <w:rFonts w:ascii="宋体" w:hAnsi="宋体" w:hint="eastAsia"/>
          <w:sz w:val="24"/>
          <w:szCs w:val="24"/>
        </w:rPr>
        <w:t>,</w:t>
      </w:r>
      <w:r>
        <w:rPr>
          <w:rFonts w:ascii="宋体" w:hAnsi="宋体" w:hint="eastAsia"/>
          <w:sz w:val="24"/>
          <w:szCs w:val="24"/>
        </w:rPr>
        <w:t>以做到：账、表、实相符。</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查验产权证明文件资料</w:t>
      </w:r>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评估人员对纳入评估范围的资产的产权证明文件资料进行查验</w:t>
      </w:r>
      <w:r>
        <w:rPr>
          <w:rFonts w:ascii="宋体" w:hAnsi="宋体" w:hint="eastAsia"/>
          <w:sz w:val="24"/>
          <w:szCs w:val="24"/>
        </w:rPr>
        <w:t>,</w:t>
      </w:r>
      <w:r>
        <w:rPr>
          <w:rFonts w:ascii="宋体" w:hAnsi="宋体" w:hint="eastAsia"/>
          <w:sz w:val="24"/>
          <w:szCs w:val="24"/>
        </w:rPr>
        <w:t>对权属资料不完</w:t>
      </w:r>
      <w:r>
        <w:rPr>
          <w:rFonts w:ascii="宋体" w:hAnsi="宋体" w:hint="eastAsia"/>
          <w:sz w:val="24"/>
          <w:szCs w:val="24"/>
        </w:rPr>
        <w:t>善、权属不清晰的情况提请企业核实或出具相关产权说明文件。</w:t>
      </w:r>
    </w:p>
    <w:p w:rsidR="00A3032C" w:rsidRDefault="00C03818">
      <w:pPr>
        <w:widowControl/>
        <w:numPr>
          <w:ilvl w:val="0"/>
          <w:numId w:val="11"/>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bookmarkStart w:id="39" w:name="_Toc267862694"/>
      <w:bookmarkStart w:id="40" w:name="_Toc284660066"/>
      <w:bookmarkStart w:id="41" w:name="_Toc267862439"/>
      <w:bookmarkStart w:id="42" w:name="_Toc284660108"/>
      <w:r>
        <w:rPr>
          <w:rFonts w:ascii="宋体" w:hAnsi="宋体" w:hint="eastAsia"/>
          <w:snapToGrid w:val="0"/>
          <w:sz w:val="24"/>
          <w:szCs w:val="24"/>
        </w:rPr>
        <w:t>资料收集</w:t>
      </w:r>
    </w:p>
    <w:p w:rsidR="00A3032C" w:rsidRDefault="00C03818">
      <w:pPr>
        <w:pStyle w:val="a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归纳和整理，形成评定估算的依据。</w:t>
      </w:r>
    </w:p>
    <w:p w:rsidR="00A3032C" w:rsidRDefault="00C03818">
      <w:pPr>
        <w:widowControl/>
        <w:numPr>
          <w:ilvl w:val="0"/>
          <w:numId w:val="11"/>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Pr>
          <w:rFonts w:ascii="宋体" w:hAnsi="宋体" w:hint="eastAsia"/>
          <w:snapToGrid w:val="0"/>
          <w:sz w:val="24"/>
          <w:szCs w:val="24"/>
        </w:rPr>
        <w:t>评定估算</w:t>
      </w:r>
      <w:bookmarkEnd w:id="39"/>
      <w:bookmarkEnd w:id="40"/>
      <w:bookmarkEnd w:id="41"/>
      <w:bookmarkEnd w:id="42"/>
    </w:p>
    <w:p w:rsidR="00A3032C" w:rsidRDefault="00C03818">
      <w:pPr>
        <w:adjustRightInd w:val="0"/>
        <w:snapToGrid w:val="0"/>
        <w:spacing w:line="360" w:lineRule="auto"/>
        <w:ind w:firstLineChars="200" w:firstLine="480"/>
        <w:rPr>
          <w:rFonts w:ascii="宋体" w:hAnsi="宋体"/>
          <w:snapToGrid w:val="0"/>
          <w:sz w:val="24"/>
          <w:szCs w:val="24"/>
        </w:rPr>
      </w:pPr>
      <w:r>
        <w:rPr>
          <w:rFonts w:ascii="宋体" w:hAnsi="宋体" w:hint="eastAsia"/>
          <w:snapToGrid w:val="0"/>
          <w:sz w:val="24"/>
          <w:szCs w:val="24"/>
        </w:rPr>
        <w:t>评估人员针对各类资产的具体情况，根据选用的评估方法，选取相应的公式和参数进行分析、计算和判断，形成了初步评估结论。项目负责人对各类资产评估初步结论进行汇总，撰写并形成初步资产评估报告。</w:t>
      </w:r>
    </w:p>
    <w:p w:rsidR="00A3032C" w:rsidRDefault="00C03818">
      <w:pPr>
        <w:widowControl/>
        <w:numPr>
          <w:ilvl w:val="0"/>
          <w:numId w:val="11"/>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Pr>
          <w:rFonts w:ascii="宋体" w:hAnsi="宋体" w:hint="eastAsia"/>
          <w:snapToGrid w:val="0"/>
          <w:sz w:val="24"/>
          <w:szCs w:val="24"/>
        </w:rPr>
        <w:t>内部审核</w:t>
      </w:r>
    </w:p>
    <w:p w:rsidR="00A3032C" w:rsidRDefault="00C03818">
      <w:pPr>
        <w:adjustRightInd w:val="0"/>
        <w:snapToGrid w:val="0"/>
        <w:spacing w:line="360" w:lineRule="auto"/>
        <w:ind w:firstLineChars="200" w:firstLine="480"/>
        <w:rPr>
          <w:rFonts w:ascii="宋体" w:hAnsi="宋体"/>
          <w:snapToGrid w:val="0"/>
          <w:sz w:val="24"/>
          <w:szCs w:val="24"/>
        </w:rPr>
      </w:pPr>
      <w:r>
        <w:rPr>
          <w:rFonts w:ascii="宋体" w:hAnsi="宋体" w:hint="eastAsia"/>
          <w:snapToGrid w:val="0"/>
          <w:sz w:val="24"/>
          <w:szCs w:val="24"/>
        </w:rPr>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A3032C" w:rsidRDefault="00C03818">
      <w:pPr>
        <w:widowControl/>
        <w:numPr>
          <w:ilvl w:val="0"/>
          <w:numId w:val="11"/>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Pr>
          <w:rFonts w:ascii="宋体" w:hAnsi="宋体" w:hint="eastAsia"/>
          <w:snapToGrid w:val="0"/>
          <w:sz w:val="24"/>
          <w:szCs w:val="24"/>
        </w:rPr>
        <w:t>评估档案归档</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宋体" w:hAnsi="宋体" w:hint="eastAsia"/>
          <w:snapToGrid w:val="0"/>
          <w:sz w:val="24"/>
          <w:szCs w:val="24"/>
        </w:rPr>
        <w:t>按照资产评估准则的要求对工作底稿、资产评估报告及其他相关资料进行整理，形成资产评估档案。</w:t>
      </w:r>
    </w:p>
    <w:p w:rsidR="00A3032C" w:rsidRDefault="00C03818">
      <w:pPr>
        <w:pStyle w:val="2"/>
        <w:ind w:firstLine="482"/>
      </w:pPr>
      <w:bookmarkStart w:id="43" w:name="_Toc493752488"/>
      <w:bookmarkStart w:id="44" w:name="_Toc334186095"/>
      <w:r>
        <w:t>九、</w:t>
      </w:r>
      <w:bookmarkStart w:id="45" w:name="三11"/>
      <w:r>
        <w:t>评估假设</w:t>
      </w:r>
      <w:bookmarkEnd w:id="43"/>
      <w:bookmarkEnd w:id="44"/>
      <w:bookmarkEnd w:id="45"/>
    </w:p>
    <w:p w:rsidR="00A3032C" w:rsidRDefault="00C03818">
      <w:pPr>
        <w:adjustRightInd w:val="0"/>
        <w:snapToGrid w:val="0"/>
        <w:spacing w:line="360" w:lineRule="auto"/>
        <w:ind w:firstLineChars="200" w:firstLine="480"/>
        <w:rPr>
          <w:rFonts w:ascii="宋体" w:hAnsi="宋体"/>
          <w:sz w:val="24"/>
          <w:szCs w:val="24"/>
        </w:rPr>
      </w:pPr>
      <w:bookmarkStart w:id="46" w:name="_Toc267862442"/>
      <w:bookmarkStart w:id="47" w:name="_Toc267862697"/>
      <w:proofErr w:type="gramStart"/>
      <w:r>
        <w:rPr>
          <w:rFonts w:ascii="宋体" w:hAnsi="宋体"/>
          <w:sz w:val="24"/>
          <w:szCs w:val="24"/>
        </w:rPr>
        <w:t>本</w:t>
      </w:r>
      <w:r>
        <w:rPr>
          <w:rFonts w:ascii="宋体" w:hAnsi="宋体" w:hint="eastAsia"/>
          <w:sz w:val="24"/>
          <w:szCs w:val="24"/>
        </w:rPr>
        <w:t>资产</w:t>
      </w:r>
      <w:proofErr w:type="gramEnd"/>
      <w:r>
        <w:rPr>
          <w:rFonts w:ascii="宋体" w:hAnsi="宋体"/>
          <w:sz w:val="24"/>
          <w:szCs w:val="24"/>
        </w:rPr>
        <w:t>评估报告</w:t>
      </w:r>
      <w:r>
        <w:rPr>
          <w:rFonts w:ascii="宋体" w:hAnsi="宋体" w:hint="eastAsia"/>
          <w:sz w:val="24"/>
          <w:szCs w:val="24"/>
        </w:rPr>
        <w:t>分析估算采用的</w:t>
      </w:r>
      <w:r>
        <w:rPr>
          <w:rFonts w:ascii="宋体" w:hAnsi="宋体"/>
          <w:sz w:val="24"/>
          <w:szCs w:val="24"/>
        </w:rPr>
        <w:t>假设</w:t>
      </w:r>
      <w:r>
        <w:rPr>
          <w:rFonts w:ascii="宋体" w:hAnsi="宋体" w:hint="eastAsia"/>
          <w:sz w:val="24"/>
          <w:szCs w:val="24"/>
        </w:rPr>
        <w:t>条件如下</w:t>
      </w:r>
      <w:r>
        <w:rPr>
          <w:rFonts w:ascii="宋体" w:hAnsi="宋体"/>
          <w:sz w:val="24"/>
          <w:szCs w:val="24"/>
        </w:rPr>
        <w:t>：</w:t>
      </w:r>
    </w:p>
    <w:p w:rsidR="00A3032C" w:rsidRDefault="00C03818">
      <w:pPr>
        <w:widowControl/>
        <w:numPr>
          <w:ilvl w:val="0"/>
          <w:numId w:val="12"/>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Pr>
          <w:rFonts w:ascii="宋体" w:hAnsi="宋体"/>
          <w:sz w:val="24"/>
          <w:szCs w:val="24"/>
        </w:rPr>
        <w:t>基本假设</w:t>
      </w:r>
    </w:p>
    <w:p w:rsidR="00A3032C" w:rsidRDefault="00C03818">
      <w:pPr>
        <w:widowControl/>
        <w:numPr>
          <w:ilvl w:val="0"/>
          <w:numId w:val="13"/>
        </w:numPr>
        <w:adjustRightInd w:val="0"/>
        <w:snapToGrid w:val="0"/>
        <w:spacing w:line="360" w:lineRule="auto"/>
        <w:ind w:left="0" w:firstLineChars="200" w:firstLine="480"/>
        <w:rPr>
          <w:rFonts w:ascii="宋体" w:hAnsi="宋体"/>
          <w:sz w:val="24"/>
          <w:szCs w:val="24"/>
        </w:rPr>
      </w:pPr>
      <w:r>
        <w:rPr>
          <w:rFonts w:ascii="宋体" w:hAnsi="宋体"/>
          <w:sz w:val="24"/>
          <w:szCs w:val="24"/>
        </w:rPr>
        <w:t>公开市场假设，即假定在市场上交易的资产或拟在市场上交易的资产，资产交易双方彼此地位平等，彼此都有获取足够市场信息的机会和时间，以便于对资产的功能、用途及其交易价格等</w:t>
      </w:r>
      <w:proofErr w:type="gramStart"/>
      <w:r>
        <w:rPr>
          <w:rFonts w:ascii="宋体" w:hAnsi="宋体"/>
          <w:sz w:val="24"/>
          <w:szCs w:val="24"/>
        </w:rPr>
        <w:t>作出</w:t>
      </w:r>
      <w:proofErr w:type="gramEnd"/>
      <w:r>
        <w:rPr>
          <w:rFonts w:ascii="宋体" w:hAnsi="宋体"/>
          <w:sz w:val="24"/>
          <w:szCs w:val="24"/>
        </w:rPr>
        <w:t>理智的判断；</w:t>
      </w:r>
      <w:r>
        <w:rPr>
          <w:rFonts w:ascii="宋体" w:hAnsi="宋体"/>
          <w:sz w:val="24"/>
          <w:szCs w:val="24"/>
        </w:rPr>
        <w:t xml:space="preserve"> </w:t>
      </w:r>
    </w:p>
    <w:p w:rsidR="00A3032C" w:rsidRDefault="00C03818">
      <w:pPr>
        <w:widowControl/>
        <w:numPr>
          <w:ilvl w:val="0"/>
          <w:numId w:val="13"/>
        </w:numPr>
        <w:adjustRightInd w:val="0"/>
        <w:snapToGrid w:val="0"/>
        <w:spacing w:line="360" w:lineRule="auto"/>
        <w:ind w:left="0" w:firstLineChars="200" w:firstLine="480"/>
        <w:rPr>
          <w:rFonts w:ascii="宋体" w:hAnsi="宋体"/>
          <w:sz w:val="24"/>
          <w:szCs w:val="24"/>
        </w:rPr>
      </w:pPr>
      <w:r>
        <w:rPr>
          <w:rFonts w:ascii="宋体" w:hAnsi="宋体"/>
          <w:sz w:val="24"/>
          <w:szCs w:val="24"/>
        </w:rPr>
        <w:lastRenderedPageBreak/>
        <w:t>交易假设，即假定所有待评估资产已经处在交易的过程中，评估师根据待评估资产的交易条件等模拟市场进行估价。交易假设是资产评估得以进行的一个最基本的前提假设；</w:t>
      </w:r>
      <w:r>
        <w:rPr>
          <w:rFonts w:ascii="宋体" w:hAnsi="宋体" w:hint="eastAsia"/>
          <w:sz w:val="24"/>
          <w:szCs w:val="24"/>
        </w:rPr>
        <w:t xml:space="preserve">    </w:t>
      </w:r>
    </w:p>
    <w:p w:rsidR="00A3032C" w:rsidRDefault="00C03818">
      <w:pPr>
        <w:widowControl/>
        <w:numPr>
          <w:ilvl w:val="0"/>
          <w:numId w:val="13"/>
        </w:numPr>
        <w:adjustRightInd w:val="0"/>
        <w:snapToGrid w:val="0"/>
        <w:spacing w:line="360" w:lineRule="auto"/>
        <w:ind w:left="0" w:firstLineChars="200" w:firstLine="480"/>
        <w:rPr>
          <w:rFonts w:ascii="宋体" w:hAnsi="宋体"/>
          <w:sz w:val="24"/>
          <w:szCs w:val="24"/>
        </w:rPr>
      </w:pPr>
      <w:r>
        <w:rPr>
          <w:rFonts w:ascii="宋体" w:hAnsi="宋体"/>
          <w:sz w:val="24"/>
          <w:szCs w:val="24"/>
        </w:rPr>
        <w:t>持续经营假设，即假设被评估单位以现有资产、资源条件为基础，在可预见的将来不会因为各种原因而停止营业，而是合法地持续不断地经营下去。</w:t>
      </w:r>
    </w:p>
    <w:p w:rsidR="00A3032C" w:rsidRDefault="00C03818">
      <w:pPr>
        <w:widowControl/>
        <w:numPr>
          <w:ilvl w:val="0"/>
          <w:numId w:val="12"/>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48" w:name="_Toc284660112"/>
      <w:bookmarkStart w:id="49" w:name="_Toc284660070"/>
      <w:r>
        <w:rPr>
          <w:rFonts w:ascii="宋体" w:hAnsi="宋体" w:hint="eastAsia"/>
          <w:sz w:val="24"/>
          <w:szCs w:val="24"/>
        </w:rPr>
        <w:t>一般假设</w:t>
      </w:r>
      <w:bookmarkStart w:id="50" w:name="_Toc284660113"/>
      <w:bookmarkStart w:id="51" w:name="_Toc267862698"/>
      <w:bookmarkStart w:id="52" w:name="_Toc284660071"/>
      <w:bookmarkStart w:id="53" w:name="_Toc267862443"/>
      <w:bookmarkEnd w:id="46"/>
      <w:bookmarkEnd w:id="47"/>
      <w:bookmarkEnd w:id="48"/>
      <w:bookmarkEnd w:id="49"/>
    </w:p>
    <w:p w:rsidR="00A3032C" w:rsidRDefault="00C03818">
      <w:pPr>
        <w:widowControl/>
        <w:numPr>
          <w:ilvl w:val="2"/>
          <w:numId w:val="14"/>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假设国家现行的有关法律法</w:t>
      </w:r>
      <w:r>
        <w:rPr>
          <w:rFonts w:ascii="宋体" w:hAnsi="宋体" w:hint="eastAsia"/>
          <w:sz w:val="24"/>
          <w:szCs w:val="24"/>
        </w:rPr>
        <w:t>规及政策、国家宏观经济形势无重大变化，本次交易各方所处地区的政治</w:t>
      </w:r>
      <w:r>
        <w:rPr>
          <w:rFonts w:ascii="宋体" w:hAnsi="宋体" w:hint="eastAsia"/>
          <w:sz w:val="24"/>
          <w:szCs w:val="24"/>
        </w:rPr>
        <w:t>、经济和社会环境无重大变化；</w:t>
      </w:r>
    </w:p>
    <w:p w:rsidR="00A3032C" w:rsidRDefault="00C03818">
      <w:pPr>
        <w:widowControl/>
        <w:numPr>
          <w:ilvl w:val="2"/>
          <w:numId w:val="14"/>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针对评估基准</w:t>
      </w:r>
      <w:proofErr w:type="gramStart"/>
      <w:r>
        <w:rPr>
          <w:rFonts w:ascii="宋体" w:hAnsi="宋体" w:hint="eastAsia"/>
          <w:sz w:val="24"/>
          <w:szCs w:val="24"/>
        </w:rPr>
        <w:t>日资产</w:t>
      </w:r>
      <w:proofErr w:type="gramEnd"/>
      <w:r>
        <w:rPr>
          <w:rFonts w:ascii="宋体" w:hAnsi="宋体" w:hint="eastAsia"/>
          <w:sz w:val="24"/>
          <w:szCs w:val="24"/>
        </w:rPr>
        <w:t>的实际状况，假设企业持续经营；</w:t>
      </w:r>
    </w:p>
    <w:p w:rsidR="00A3032C" w:rsidRDefault="00C03818">
      <w:pPr>
        <w:widowControl/>
        <w:numPr>
          <w:ilvl w:val="2"/>
          <w:numId w:val="14"/>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假设和被评估单位相关的利率、汇率、赋税基准及税率、政策性征收费用等评估基准日后不发生重大变化；</w:t>
      </w:r>
    </w:p>
    <w:p w:rsidR="00A3032C" w:rsidRDefault="00C03818">
      <w:pPr>
        <w:widowControl/>
        <w:numPr>
          <w:ilvl w:val="0"/>
          <w:numId w:val="13"/>
        </w:numPr>
        <w:adjustRightInd w:val="0"/>
        <w:snapToGrid w:val="0"/>
        <w:spacing w:line="360" w:lineRule="auto"/>
        <w:ind w:left="0" w:firstLineChars="200" w:firstLine="480"/>
        <w:rPr>
          <w:rFonts w:ascii="宋体" w:hAnsi="宋体"/>
          <w:sz w:val="24"/>
          <w:szCs w:val="24"/>
        </w:rPr>
      </w:pPr>
      <w:r>
        <w:rPr>
          <w:rFonts w:ascii="宋体" w:hAnsi="宋体"/>
          <w:sz w:val="24"/>
          <w:szCs w:val="24"/>
        </w:rPr>
        <w:t>假设本次评估测算的各项参数取值是按照现时价格体系确定的，未考虑基准日后通货膨胀因素的影响；</w:t>
      </w:r>
    </w:p>
    <w:p w:rsidR="00A3032C" w:rsidRDefault="00C03818">
      <w:pPr>
        <w:widowControl/>
        <w:numPr>
          <w:ilvl w:val="0"/>
          <w:numId w:val="13"/>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假设评估基准日后无不可抗力及不可预见因素对被评估单位造成重大不利影响。</w:t>
      </w:r>
    </w:p>
    <w:p w:rsidR="00A3032C" w:rsidRDefault="00C03818">
      <w:pPr>
        <w:widowControl/>
        <w:numPr>
          <w:ilvl w:val="0"/>
          <w:numId w:val="12"/>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Pr>
          <w:rFonts w:ascii="宋体" w:hAnsi="宋体" w:hint="eastAsia"/>
          <w:sz w:val="24"/>
          <w:szCs w:val="24"/>
        </w:rPr>
        <w:t>特殊假设</w:t>
      </w:r>
      <w:bookmarkEnd w:id="50"/>
      <w:bookmarkEnd w:id="51"/>
      <w:bookmarkEnd w:id="52"/>
      <w:bookmarkEnd w:id="53"/>
    </w:p>
    <w:p w:rsidR="00A3032C" w:rsidRDefault="00C03818">
      <w:pPr>
        <w:adjustRightInd w:val="0"/>
        <w:snapToGrid w:val="0"/>
        <w:spacing w:line="360" w:lineRule="auto"/>
        <w:ind w:firstLineChars="200" w:firstLine="480"/>
        <w:rPr>
          <w:rFonts w:ascii="宋体" w:hAnsi="宋体"/>
          <w:sz w:val="24"/>
          <w:szCs w:val="24"/>
        </w:rPr>
      </w:pPr>
      <w:r>
        <w:rPr>
          <w:rFonts w:ascii="宋体" w:hAnsi="宋体" w:hint="eastAsia"/>
          <w:kern w:val="0"/>
          <w:sz w:val="24"/>
          <w:szCs w:val="24"/>
        </w:rPr>
        <w:t>1.</w:t>
      </w:r>
      <w:r>
        <w:rPr>
          <w:rFonts w:ascii="宋体" w:hAnsi="宋体"/>
          <w:kern w:val="0"/>
          <w:sz w:val="24"/>
          <w:szCs w:val="24"/>
        </w:rPr>
        <w:t>假设评估基准日后被评估单位采</w:t>
      </w:r>
      <w:r>
        <w:rPr>
          <w:rFonts w:ascii="宋体" w:hAnsi="宋体" w:hint="eastAsia"/>
          <w:kern w:val="0"/>
          <w:sz w:val="24"/>
          <w:szCs w:val="24"/>
        </w:rPr>
        <w:t>用</w:t>
      </w:r>
      <w:r>
        <w:rPr>
          <w:rFonts w:ascii="宋体" w:hAnsi="宋体"/>
          <w:kern w:val="0"/>
          <w:sz w:val="24"/>
          <w:szCs w:val="24"/>
        </w:rPr>
        <w:t>的会计政策和编写</w:t>
      </w:r>
      <w:proofErr w:type="gramStart"/>
      <w:r>
        <w:rPr>
          <w:rFonts w:ascii="宋体" w:hAnsi="宋体"/>
          <w:kern w:val="0"/>
          <w:sz w:val="24"/>
          <w:szCs w:val="24"/>
        </w:rPr>
        <w:t>本</w:t>
      </w:r>
      <w:r>
        <w:rPr>
          <w:rFonts w:ascii="宋体" w:hAnsi="宋体" w:hint="eastAsia"/>
          <w:kern w:val="0"/>
          <w:sz w:val="24"/>
          <w:szCs w:val="24"/>
        </w:rPr>
        <w:t>资产</w:t>
      </w:r>
      <w:proofErr w:type="gramEnd"/>
      <w:r>
        <w:rPr>
          <w:rFonts w:ascii="宋体" w:hAnsi="宋体"/>
          <w:kern w:val="0"/>
          <w:sz w:val="24"/>
          <w:szCs w:val="24"/>
        </w:rPr>
        <w:t>评估报告时所采用的会计政策在重要方</w:t>
      </w:r>
      <w:r>
        <w:rPr>
          <w:rFonts w:ascii="宋体" w:hAnsi="宋体"/>
          <w:sz w:val="24"/>
          <w:szCs w:val="24"/>
        </w:rPr>
        <w:t>面保持一致</w:t>
      </w:r>
      <w:r>
        <w:rPr>
          <w:rFonts w:ascii="宋体" w:hAnsi="宋体" w:hint="eastAsia"/>
          <w:sz w:val="24"/>
          <w:szCs w:val="24"/>
        </w:rPr>
        <w:t>；</w:t>
      </w:r>
    </w:p>
    <w:p w:rsidR="00A3032C" w:rsidRDefault="00C03818">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w:t>
      </w:r>
      <w:r>
        <w:rPr>
          <w:rFonts w:ascii="宋体" w:hAnsi="宋体"/>
          <w:kern w:val="0"/>
          <w:sz w:val="24"/>
          <w:szCs w:val="24"/>
        </w:rPr>
        <w:t>假设评估基准日后被评估单位在现有管理方式和管理水平的基础上，经营范围、方式与目前保持一致</w:t>
      </w:r>
      <w:r>
        <w:rPr>
          <w:rFonts w:ascii="宋体" w:hAnsi="宋体" w:hint="eastAsia"/>
          <w:kern w:val="0"/>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proofErr w:type="gramStart"/>
      <w:r>
        <w:rPr>
          <w:rFonts w:ascii="宋体" w:hAnsi="宋体"/>
          <w:sz w:val="24"/>
          <w:szCs w:val="24"/>
        </w:rPr>
        <w:t>本</w:t>
      </w:r>
      <w:r>
        <w:rPr>
          <w:rFonts w:ascii="宋体" w:hAnsi="宋体" w:hint="eastAsia"/>
          <w:sz w:val="24"/>
          <w:szCs w:val="24"/>
        </w:rPr>
        <w:t>资产</w:t>
      </w:r>
      <w:proofErr w:type="gramEnd"/>
      <w:r>
        <w:rPr>
          <w:rFonts w:ascii="宋体" w:hAnsi="宋体"/>
          <w:sz w:val="24"/>
          <w:szCs w:val="24"/>
        </w:rPr>
        <w:t>评估报告</w:t>
      </w:r>
      <w:r>
        <w:rPr>
          <w:rFonts w:ascii="宋体" w:hAnsi="宋体" w:hint="eastAsia"/>
          <w:sz w:val="24"/>
          <w:szCs w:val="24"/>
        </w:rPr>
        <w:t>评估</w:t>
      </w:r>
      <w:r>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A3032C" w:rsidRDefault="00C03818">
      <w:pPr>
        <w:pStyle w:val="2"/>
        <w:ind w:firstLine="482"/>
      </w:pPr>
      <w:bookmarkStart w:id="54" w:name="_Toc493752489"/>
      <w:bookmarkStart w:id="55" w:name="_Toc334186096"/>
      <w:r>
        <w:t>十、</w:t>
      </w:r>
      <w:bookmarkStart w:id="56" w:name="三12"/>
      <w:r>
        <w:t>评估结论</w:t>
      </w:r>
      <w:bookmarkEnd w:id="54"/>
      <w:bookmarkEnd w:id="55"/>
      <w:bookmarkEnd w:id="56"/>
    </w:p>
    <w:p w:rsidR="00A3032C" w:rsidRDefault="00C03818">
      <w:pPr>
        <w:pStyle w:val="ab"/>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截止</w:t>
      </w:r>
      <w:r>
        <w:rPr>
          <w:rFonts w:ascii="宋体" w:hAnsi="宋体" w:hint="eastAsia"/>
          <w:sz w:val="24"/>
          <w:szCs w:val="24"/>
        </w:rPr>
        <w:t>评估基准日</w:t>
      </w:r>
      <w:r>
        <w:rPr>
          <w:rFonts w:ascii="宋体" w:hAnsi="宋体" w:hint="eastAsia"/>
          <w:sz w:val="24"/>
          <w:szCs w:val="24"/>
        </w:rPr>
        <w:t>2018</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r>
        <w:rPr>
          <w:rFonts w:ascii="宋体" w:hAnsi="宋体" w:hint="eastAsia"/>
          <w:sz w:val="24"/>
          <w:szCs w:val="24"/>
        </w:rPr>
        <w:t>丰慧企业</w:t>
      </w:r>
      <w:r>
        <w:rPr>
          <w:rFonts w:ascii="宋体" w:hAnsi="宋体" w:hint="eastAsia"/>
          <w:sz w:val="24"/>
          <w:szCs w:val="24"/>
        </w:rPr>
        <w:t>有限公司的股东全部权益价值评估</w:t>
      </w:r>
      <w:r>
        <w:rPr>
          <w:rFonts w:ascii="宋体" w:hAnsi="宋体" w:hint="eastAsia"/>
          <w:bCs/>
          <w:sz w:val="24"/>
          <w:szCs w:val="24"/>
        </w:rPr>
        <w:t>结果如下：</w:t>
      </w:r>
    </w:p>
    <w:p w:rsidR="00A3032C" w:rsidRDefault="00C03818">
      <w:pPr>
        <w:pStyle w:val="ab"/>
        <w:adjustRightInd w:val="0"/>
        <w:snapToGrid w:val="0"/>
        <w:spacing w:line="360" w:lineRule="auto"/>
        <w:ind w:firstLineChars="200" w:firstLine="480"/>
        <w:rPr>
          <w:rFonts w:ascii="宋体" w:hAnsi="宋体"/>
          <w:sz w:val="24"/>
          <w:szCs w:val="24"/>
        </w:rPr>
      </w:pPr>
      <w:r>
        <w:rPr>
          <w:rFonts w:asciiTheme="minorEastAsia" w:eastAsiaTheme="minorEastAsia" w:hAnsiTheme="minorEastAsia" w:hint="eastAsia"/>
          <w:sz w:val="24"/>
          <w:szCs w:val="24"/>
        </w:rPr>
        <w:t>丰慧企业有限公司</w:t>
      </w:r>
      <w:r>
        <w:rPr>
          <w:rFonts w:ascii="宋体" w:hAnsi="宋体" w:hint="eastAsia"/>
          <w:sz w:val="24"/>
          <w:szCs w:val="24"/>
        </w:rPr>
        <w:t>评估基准日总资产账面价值为</w:t>
      </w:r>
      <w:r>
        <w:rPr>
          <w:rFonts w:ascii="宋体" w:hAnsi="宋体" w:hint="eastAsia"/>
          <w:sz w:val="24"/>
          <w:szCs w:val="24"/>
        </w:rPr>
        <w:t>1</w:t>
      </w:r>
      <w:r>
        <w:rPr>
          <w:rFonts w:ascii="宋体" w:hAnsi="宋体" w:hint="eastAsia"/>
          <w:sz w:val="24"/>
          <w:szCs w:val="24"/>
        </w:rPr>
        <w:t>,555</w:t>
      </w:r>
      <w:r>
        <w:rPr>
          <w:rFonts w:ascii="宋体" w:hAnsi="宋体" w:hint="eastAsia"/>
          <w:sz w:val="24"/>
          <w:szCs w:val="24"/>
        </w:rPr>
        <w:t>.</w:t>
      </w:r>
      <w:r>
        <w:rPr>
          <w:rFonts w:ascii="宋体" w:hAnsi="宋体" w:hint="eastAsia"/>
          <w:sz w:val="24"/>
          <w:szCs w:val="24"/>
        </w:rPr>
        <w:t>08</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元，评估价值为</w:t>
      </w:r>
      <w:r>
        <w:rPr>
          <w:rFonts w:ascii="宋体" w:hAnsi="宋体" w:hint="eastAsia"/>
          <w:sz w:val="24"/>
          <w:szCs w:val="24"/>
        </w:rPr>
        <w:t>1</w:t>
      </w:r>
      <w:r>
        <w:rPr>
          <w:rFonts w:ascii="宋体" w:hAnsi="宋体" w:hint="eastAsia"/>
          <w:sz w:val="24"/>
          <w:szCs w:val="24"/>
        </w:rPr>
        <w:t>,551</w:t>
      </w:r>
      <w:r>
        <w:rPr>
          <w:rFonts w:ascii="宋体" w:hAnsi="宋体" w:hint="eastAsia"/>
          <w:sz w:val="24"/>
          <w:szCs w:val="24"/>
        </w:rPr>
        <w:t>.</w:t>
      </w:r>
      <w:r>
        <w:rPr>
          <w:rFonts w:ascii="宋体" w:hAnsi="宋体" w:hint="eastAsia"/>
          <w:sz w:val="24"/>
          <w:szCs w:val="24"/>
        </w:rPr>
        <w:t>67</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元，增值额为</w:t>
      </w:r>
      <w:r>
        <w:rPr>
          <w:rFonts w:ascii="宋体" w:hAnsi="宋体" w:hint="eastAsia"/>
          <w:sz w:val="24"/>
          <w:szCs w:val="24"/>
        </w:rPr>
        <w:t>-3.41</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元，增值率为</w:t>
      </w:r>
      <w:r>
        <w:rPr>
          <w:rFonts w:ascii="宋体" w:hAnsi="宋体" w:hint="eastAsia"/>
          <w:sz w:val="24"/>
          <w:szCs w:val="24"/>
        </w:rPr>
        <w:t>-0.22</w:t>
      </w:r>
      <w:r>
        <w:rPr>
          <w:rFonts w:ascii="宋体" w:hAnsi="宋体" w:hint="eastAsia"/>
          <w:sz w:val="24"/>
          <w:szCs w:val="24"/>
        </w:rPr>
        <w:t>%</w:t>
      </w:r>
      <w:r>
        <w:rPr>
          <w:rFonts w:ascii="宋体" w:hAnsi="宋体" w:hint="eastAsia"/>
          <w:sz w:val="24"/>
          <w:szCs w:val="24"/>
        </w:rPr>
        <w:t>；</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总负债账面价值为</w:t>
      </w:r>
      <w:r>
        <w:rPr>
          <w:rFonts w:ascii="宋体" w:hAnsi="宋体" w:hint="eastAsia"/>
          <w:sz w:val="24"/>
          <w:szCs w:val="24"/>
        </w:rPr>
        <w:t>1</w:t>
      </w:r>
      <w:r>
        <w:rPr>
          <w:rFonts w:ascii="宋体" w:hAnsi="宋体" w:hint="eastAsia"/>
          <w:sz w:val="24"/>
          <w:szCs w:val="24"/>
        </w:rPr>
        <w:t>,394</w:t>
      </w:r>
      <w:r>
        <w:rPr>
          <w:rFonts w:ascii="宋体" w:hAnsi="宋体" w:hint="eastAsia"/>
          <w:sz w:val="24"/>
          <w:szCs w:val="24"/>
        </w:rPr>
        <w:t>.</w:t>
      </w:r>
      <w:r>
        <w:rPr>
          <w:rFonts w:ascii="宋体" w:hAnsi="宋体" w:hint="eastAsia"/>
          <w:sz w:val="24"/>
          <w:szCs w:val="24"/>
        </w:rPr>
        <w:t>32</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元，评估价值为</w:t>
      </w:r>
      <w:r>
        <w:rPr>
          <w:rFonts w:ascii="宋体" w:hAnsi="宋体" w:hint="eastAsia"/>
          <w:sz w:val="24"/>
          <w:szCs w:val="24"/>
        </w:rPr>
        <w:t>1</w:t>
      </w:r>
      <w:r>
        <w:rPr>
          <w:rFonts w:ascii="宋体" w:hAnsi="宋体" w:hint="eastAsia"/>
          <w:sz w:val="24"/>
          <w:szCs w:val="24"/>
        </w:rPr>
        <w:t>,394</w:t>
      </w:r>
      <w:r>
        <w:rPr>
          <w:rFonts w:ascii="宋体" w:hAnsi="宋体" w:hint="eastAsia"/>
          <w:sz w:val="24"/>
          <w:szCs w:val="24"/>
        </w:rPr>
        <w:t>.</w:t>
      </w:r>
      <w:r>
        <w:rPr>
          <w:rFonts w:ascii="宋体" w:hAnsi="宋体" w:hint="eastAsia"/>
          <w:sz w:val="24"/>
          <w:szCs w:val="24"/>
        </w:rPr>
        <w:t>32</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无评估增减值。</w:t>
      </w:r>
    </w:p>
    <w:p w:rsidR="00A3032C" w:rsidRDefault="00C03818">
      <w:pPr>
        <w:pStyle w:val="ab"/>
        <w:adjustRightInd w:val="0"/>
        <w:snapToGrid w:val="0"/>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净资产账面价值为</w:t>
      </w:r>
      <w:r>
        <w:rPr>
          <w:rFonts w:ascii="宋体" w:hAnsi="宋体" w:hint="eastAsia"/>
          <w:sz w:val="24"/>
          <w:szCs w:val="24"/>
        </w:rPr>
        <w:t>1</w:t>
      </w:r>
      <w:r>
        <w:rPr>
          <w:rFonts w:ascii="宋体" w:hAnsi="宋体" w:hint="eastAsia"/>
          <w:sz w:val="24"/>
          <w:szCs w:val="24"/>
        </w:rPr>
        <w:t>60</w:t>
      </w:r>
      <w:r>
        <w:rPr>
          <w:rFonts w:ascii="宋体" w:hAnsi="宋体" w:hint="eastAsia"/>
          <w:sz w:val="24"/>
          <w:szCs w:val="24"/>
        </w:rPr>
        <w:t>.</w:t>
      </w:r>
      <w:r>
        <w:rPr>
          <w:rFonts w:ascii="宋体" w:hAnsi="宋体" w:hint="eastAsia"/>
          <w:sz w:val="24"/>
          <w:szCs w:val="24"/>
        </w:rPr>
        <w:t>76</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元，净资产评估价值为</w:t>
      </w:r>
      <w:r>
        <w:rPr>
          <w:rFonts w:ascii="宋体" w:hAnsi="宋体" w:hint="eastAsia"/>
          <w:sz w:val="24"/>
          <w:szCs w:val="24"/>
        </w:rPr>
        <w:t>1</w:t>
      </w:r>
      <w:r>
        <w:rPr>
          <w:rFonts w:ascii="宋体" w:hAnsi="宋体" w:hint="eastAsia"/>
          <w:sz w:val="24"/>
          <w:szCs w:val="24"/>
        </w:rPr>
        <w:t>57</w:t>
      </w:r>
      <w:r>
        <w:rPr>
          <w:rFonts w:ascii="宋体" w:hAnsi="宋体" w:hint="eastAsia"/>
          <w:sz w:val="24"/>
          <w:szCs w:val="24"/>
        </w:rPr>
        <w:t>.</w:t>
      </w:r>
      <w:r>
        <w:rPr>
          <w:rFonts w:ascii="宋体" w:hAnsi="宋体" w:hint="eastAsia"/>
          <w:sz w:val="24"/>
          <w:szCs w:val="24"/>
        </w:rPr>
        <w:t>35</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元，增值额为</w:t>
      </w:r>
      <w:r>
        <w:rPr>
          <w:rFonts w:ascii="宋体" w:hAnsi="宋体" w:hint="eastAsia"/>
          <w:sz w:val="24"/>
          <w:szCs w:val="24"/>
        </w:rPr>
        <w:t>-3.41</w:t>
      </w:r>
      <w:r>
        <w:rPr>
          <w:rFonts w:ascii="宋体" w:hAnsi="宋体" w:hint="eastAsia"/>
          <w:sz w:val="24"/>
          <w:szCs w:val="24"/>
        </w:rPr>
        <w:t>万</w:t>
      </w:r>
      <w:r>
        <w:rPr>
          <w:rFonts w:ascii="宋体" w:hAnsi="宋体" w:hint="eastAsia"/>
          <w:sz w:val="24"/>
          <w:szCs w:val="24"/>
        </w:rPr>
        <w:t>港</w:t>
      </w:r>
      <w:r>
        <w:rPr>
          <w:rFonts w:ascii="宋体" w:hAnsi="宋体" w:hint="eastAsia"/>
          <w:sz w:val="24"/>
          <w:szCs w:val="24"/>
        </w:rPr>
        <w:t>元，增值率为</w:t>
      </w:r>
      <w:r>
        <w:rPr>
          <w:rFonts w:ascii="宋体" w:hAnsi="宋体" w:hint="eastAsia"/>
          <w:sz w:val="24"/>
          <w:szCs w:val="24"/>
        </w:rPr>
        <w:t>-2.12</w:t>
      </w:r>
      <w:r>
        <w:rPr>
          <w:rFonts w:ascii="宋体" w:hAnsi="宋体" w:hint="eastAsia"/>
          <w:sz w:val="24"/>
          <w:szCs w:val="24"/>
        </w:rPr>
        <w:t>%</w:t>
      </w:r>
      <w:r>
        <w:rPr>
          <w:rFonts w:ascii="宋体" w:hAnsi="宋体" w:hint="eastAsia"/>
          <w:sz w:val="24"/>
          <w:szCs w:val="24"/>
        </w:rPr>
        <w:t>。</w:t>
      </w:r>
    </w:p>
    <w:p w:rsidR="00A3032C" w:rsidRDefault="00C03818">
      <w:pPr>
        <w:pStyle w:val="ab"/>
        <w:adjustRightInd w:val="0"/>
        <w:snapToGrid w:val="0"/>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评估基准日人民币兑港币汇率为：</w:t>
      </w:r>
      <w:r>
        <w:rPr>
          <w:rFonts w:asciiTheme="minorEastAsia" w:eastAsiaTheme="minorEastAsia" w:hAnsiTheme="minorEastAsia" w:hint="eastAsia"/>
          <w:b/>
          <w:bCs/>
          <w:sz w:val="24"/>
          <w:szCs w:val="24"/>
        </w:rPr>
        <w:t>1</w:t>
      </w:r>
      <w:r>
        <w:rPr>
          <w:rFonts w:asciiTheme="minorEastAsia" w:eastAsiaTheme="minorEastAsia" w:hAnsiTheme="minorEastAsia" w:hint="eastAsia"/>
          <w:b/>
          <w:bCs/>
          <w:sz w:val="24"/>
          <w:szCs w:val="24"/>
        </w:rPr>
        <w:t>港币</w:t>
      </w:r>
      <w:r>
        <w:rPr>
          <w:rFonts w:asciiTheme="minorEastAsia" w:eastAsiaTheme="minorEastAsia" w:hAnsiTheme="minorEastAsia" w:hint="eastAsia"/>
          <w:b/>
          <w:bCs/>
          <w:sz w:val="24"/>
          <w:szCs w:val="24"/>
        </w:rPr>
        <w:t>=0.818</w:t>
      </w:r>
      <w:r>
        <w:rPr>
          <w:rFonts w:asciiTheme="minorEastAsia" w:eastAsiaTheme="minorEastAsia" w:hAnsiTheme="minorEastAsia" w:hint="eastAsia"/>
          <w:b/>
          <w:bCs/>
          <w:sz w:val="24"/>
          <w:szCs w:val="24"/>
        </w:rPr>
        <w:t>人民币。</w:t>
      </w:r>
    </w:p>
    <w:p w:rsidR="00A3032C" w:rsidRDefault="00C03818">
      <w:pPr>
        <w:pStyle w:val="ab"/>
        <w:adjustRightInd w:val="0"/>
        <w:snapToGrid w:val="0"/>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根据汇率折算按照人民币计量评估结论为：</w:t>
      </w:r>
    </w:p>
    <w:p w:rsidR="00A3032C" w:rsidRDefault="00C03818">
      <w:pPr>
        <w:pStyle w:val="ab"/>
        <w:adjustRightInd w:val="0"/>
        <w:snapToGrid w:val="0"/>
        <w:spacing w:line="360" w:lineRule="auto"/>
        <w:ind w:firstLineChars="200" w:firstLine="480"/>
        <w:rPr>
          <w:rFonts w:ascii="宋体" w:hAnsi="宋体"/>
          <w:sz w:val="24"/>
          <w:szCs w:val="24"/>
        </w:rPr>
      </w:pPr>
      <w:r>
        <w:rPr>
          <w:rFonts w:asciiTheme="minorEastAsia" w:eastAsiaTheme="minorEastAsia" w:hAnsiTheme="minorEastAsia" w:hint="eastAsia"/>
          <w:sz w:val="24"/>
          <w:szCs w:val="24"/>
        </w:rPr>
        <w:t>丰慧企业有限公司</w:t>
      </w:r>
      <w:r>
        <w:rPr>
          <w:rFonts w:ascii="宋体" w:hAnsi="宋体" w:hint="eastAsia"/>
          <w:sz w:val="24"/>
          <w:szCs w:val="24"/>
        </w:rPr>
        <w:t>评估基准日总资产账面价值为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272.06</w:t>
      </w:r>
      <w:r>
        <w:rPr>
          <w:rFonts w:ascii="宋体" w:hAnsi="宋体" w:hint="eastAsia"/>
          <w:sz w:val="24"/>
          <w:szCs w:val="24"/>
        </w:rPr>
        <w:t>万元，评估价值为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26</w:t>
      </w:r>
      <w:r>
        <w:rPr>
          <w:rFonts w:ascii="宋体" w:hAnsi="宋体" w:hint="eastAsia"/>
          <w:sz w:val="24"/>
          <w:szCs w:val="24"/>
        </w:rPr>
        <w:t>9</w:t>
      </w:r>
      <w:r>
        <w:rPr>
          <w:rFonts w:ascii="宋体" w:hAnsi="宋体" w:hint="eastAsia"/>
          <w:sz w:val="24"/>
          <w:szCs w:val="24"/>
        </w:rPr>
        <w:t>.</w:t>
      </w:r>
      <w:r>
        <w:rPr>
          <w:rFonts w:ascii="宋体" w:hAnsi="宋体" w:hint="eastAsia"/>
          <w:sz w:val="24"/>
          <w:szCs w:val="24"/>
        </w:rPr>
        <w:t>27</w:t>
      </w:r>
      <w:r>
        <w:rPr>
          <w:rFonts w:ascii="宋体" w:hAnsi="宋体" w:hint="eastAsia"/>
          <w:sz w:val="24"/>
          <w:szCs w:val="24"/>
        </w:rPr>
        <w:t>万元，增值额为</w:t>
      </w:r>
      <w:r>
        <w:rPr>
          <w:rFonts w:ascii="宋体" w:hAnsi="宋体" w:hint="eastAsia"/>
          <w:sz w:val="24"/>
          <w:szCs w:val="24"/>
        </w:rPr>
        <w:t>-2.79</w:t>
      </w:r>
      <w:r>
        <w:rPr>
          <w:rFonts w:ascii="宋体" w:hAnsi="宋体" w:hint="eastAsia"/>
          <w:sz w:val="24"/>
          <w:szCs w:val="24"/>
        </w:rPr>
        <w:t>万元，增值率为</w:t>
      </w:r>
      <w:r>
        <w:rPr>
          <w:rFonts w:ascii="宋体" w:hAnsi="宋体" w:hint="eastAsia"/>
          <w:sz w:val="24"/>
          <w:szCs w:val="24"/>
        </w:rPr>
        <w:t>-0.22</w:t>
      </w:r>
      <w:r>
        <w:rPr>
          <w:rFonts w:ascii="宋体" w:hAnsi="宋体" w:hint="eastAsia"/>
          <w:sz w:val="24"/>
          <w:szCs w:val="24"/>
        </w:rPr>
        <w:t>%</w:t>
      </w:r>
      <w:r>
        <w:rPr>
          <w:rFonts w:ascii="宋体" w:hAnsi="宋体" w:hint="eastAsia"/>
          <w:sz w:val="24"/>
          <w:szCs w:val="24"/>
        </w:rPr>
        <w:t>；</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总负债账面价值为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140.55</w:t>
      </w:r>
      <w:r>
        <w:rPr>
          <w:rFonts w:ascii="宋体" w:hAnsi="宋体" w:hint="eastAsia"/>
          <w:sz w:val="24"/>
          <w:szCs w:val="24"/>
        </w:rPr>
        <w:t>万元，评估价值为</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140.55</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无评估增减值。</w:t>
      </w:r>
    </w:p>
    <w:p w:rsidR="00A3032C" w:rsidRDefault="00C03818">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净资产账面价值为</w:t>
      </w:r>
      <w:r>
        <w:rPr>
          <w:rFonts w:ascii="宋体" w:hAnsi="宋体" w:hint="eastAsia"/>
          <w:sz w:val="24"/>
          <w:szCs w:val="24"/>
        </w:rPr>
        <w:t>1</w:t>
      </w:r>
      <w:r>
        <w:rPr>
          <w:rFonts w:ascii="宋体" w:hAnsi="宋体" w:hint="eastAsia"/>
          <w:sz w:val="24"/>
          <w:szCs w:val="24"/>
        </w:rPr>
        <w:t>31</w:t>
      </w:r>
      <w:r>
        <w:rPr>
          <w:rFonts w:ascii="宋体" w:hAnsi="宋体" w:hint="eastAsia"/>
          <w:sz w:val="24"/>
          <w:szCs w:val="24"/>
        </w:rPr>
        <w:t>.</w:t>
      </w:r>
      <w:r>
        <w:rPr>
          <w:rFonts w:ascii="宋体" w:hAnsi="宋体" w:hint="eastAsia"/>
          <w:sz w:val="24"/>
          <w:szCs w:val="24"/>
        </w:rPr>
        <w:t>50</w:t>
      </w:r>
      <w:r>
        <w:rPr>
          <w:rFonts w:ascii="宋体" w:hAnsi="宋体" w:hint="eastAsia"/>
          <w:sz w:val="24"/>
          <w:szCs w:val="24"/>
        </w:rPr>
        <w:t>万元，净资产评估价值为</w:t>
      </w:r>
      <w:r>
        <w:rPr>
          <w:rFonts w:ascii="宋体" w:hAnsi="宋体" w:hint="eastAsia"/>
          <w:sz w:val="24"/>
          <w:szCs w:val="24"/>
        </w:rPr>
        <w:t>1</w:t>
      </w:r>
      <w:r>
        <w:rPr>
          <w:rFonts w:ascii="宋体" w:hAnsi="宋体" w:hint="eastAsia"/>
          <w:sz w:val="24"/>
          <w:szCs w:val="24"/>
        </w:rPr>
        <w:t>28</w:t>
      </w:r>
      <w:r>
        <w:rPr>
          <w:rFonts w:ascii="宋体" w:hAnsi="宋体" w:hint="eastAsia"/>
          <w:sz w:val="24"/>
          <w:szCs w:val="24"/>
        </w:rPr>
        <w:t>.</w:t>
      </w:r>
      <w:r>
        <w:rPr>
          <w:rFonts w:ascii="宋体" w:hAnsi="宋体" w:hint="eastAsia"/>
          <w:sz w:val="24"/>
          <w:szCs w:val="24"/>
        </w:rPr>
        <w:t>71</w:t>
      </w:r>
      <w:r>
        <w:rPr>
          <w:rFonts w:ascii="宋体" w:hAnsi="宋体" w:hint="eastAsia"/>
          <w:sz w:val="24"/>
          <w:szCs w:val="24"/>
        </w:rPr>
        <w:t>万元，增值额为</w:t>
      </w:r>
      <w:r>
        <w:rPr>
          <w:rFonts w:ascii="宋体" w:hAnsi="宋体" w:hint="eastAsia"/>
          <w:sz w:val="24"/>
          <w:szCs w:val="24"/>
        </w:rPr>
        <w:t>-2.79</w:t>
      </w:r>
      <w:r>
        <w:rPr>
          <w:rFonts w:ascii="宋体" w:hAnsi="宋体" w:hint="eastAsia"/>
          <w:sz w:val="24"/>
          <w:szCs w:val="24"/>
        </w:rPr>
        <w:t>万元，增值率为</w:t>
      </w:r>
      <w:r>
        <w:rPr>
          <w:rFonts w:ascii="宋体" w:hAnsi="宋体" w:hint="eastAsia"/>
          <w:sz w:val="24"/>
          <w:szCs w:val="24"/>
        </w:rPr>
        <w:t>-2.12</w:t>
      </w:r>
      <w:r>
        <w:rPr>
          <w:rFonts w:ascii="宋体" w:hAnsi="宋体" w:hint="eastAsia"/>
          <w:sz w:val="24"/>
          <w:szCs w:val="24"/>
        </w:rPr>
        <w:t>%</w:t>
      </w:r>
      <w:r>
        <w:rPr>
          <w:rFonts w:ascii="宋体" w:hAnsi="宋体" w:hint="eastAsia"/>
          <w:sz w:val="24"/>
          <w:szCs w:val="24"/>
        </w:rPr>
        <w:t>。</w:t>
      </w:r>
    </w:p>
    <w:p w:rsidR="00A3032C" w:rsidRDefault="00C03818">
      <w:pPr>
        <w:adjustRightInd w:val="0"/>
        <w:snapToGrid w:val="0"/>
        <w:spacing w:line="360" w:lineRule="auto"/>
        <w:ind w:firstLineChars="200" w:firstLine="480"/>
        <w:rPr>
          <w:rFonts w:ascii="宋体" w:hAnsi="宋体"/>
          <w:color w:val="FF0000"/>
          <w:sz w:val="24"/>
          <w:szCs w:val="24"/>
        </w:rPr>
      </w:pPr>
      <w:r>
        <w:rPr>
          <w:rFonts w:ascii="宋体" w:hAnsi="宋体"/>
          <w:sz w:val="24"/>
          <w:szCs w:val="24"/>
        </w:rPr>
        <w:t>资产基础</w:t>
      </w:r>
      <w:proofErr w:type="gramStart"/>
      <w:r>
        <w:rPr>
          <w:rFonts w:ascii="宋体" w:hAnsi="宋体"/>
          <w:sz w:val="24"/>
          <w:szCs w:val="24"/>
        </w:rPr>
        <w:t>法</w:t>
      </w:r>
      <w:r>
        <w:rPr>
          <w:rFonts w:ascii="宋体" w:hAnsi="宋体" w:hint="eastAsia"/>
          <w:sz w:val="24"/>
          <w:szCs w:val="24"/>
        </w:rPr>
        <w:t>具体</w:t>
      </w:r>
      <w:proofErr w:type="gramEnd"/>
      <w:r>
        <w:rPr>
          <w:rFonts w:ascii="宋体" w:hAnsi="宋体" w:hint="eastAsia"/>
          <w:sz w:val="24"/>
          <w:szCs w:val="24"/>
        </w:rPr>
        <w:t>评估结果详见下列评估结果汇总表：</w:t>
      </w:r>
    </w:p>
    <w:p w:rsidR="00A3032C" w:rsidRDefault="00C03818">
      <w:pPr>
        <w:adjustRightInd w:val="0"/>
        <w:snapToGrid w:val="0"/>
        <w:spacing w:line="360" w:lineRule="auto"/>
        <w:jc w:val="center"/>
        <w:rPr>
          <w:rFonts w:ascii="宋体" w:hAnsi="宋体"/>
          <w:b/>
          <w:sz w:val="24"/>
          <w:szCs w:val="24"/>
        </w:rPr>
      </w:pPr>
      <w:bookmarkStart w:id="57" w:name="_Toc267862447"/>
      <w:bookmarkStart w:id="58" w:name="_Toc267862702"/>
      <w:bookmarkStart w:id="59" w:name="_Toc284660075"/>
      <w:bookmarkStart w:id="60" w:name="_Toc284660117"/>
      <w:r>
        <w:rPr>
          <w:rFonts w:ascii="宋体" w:hAnsi="宋体" w:cs="仿宋_GB2312"/>
          <w:b/>
          <w:bCs/>
          <w:sz w:val="24"/>
          <w:szCs w:val="24"/>
        </w:rPr>
        <w:t>资产基础法</w:t>
      </w:r>
      <w:r>
        <w:rPr>
          <w:rFonts w:ascii="宋体" w:hAnsi="宋体" w:hint="eastAsia"/>
          <w:b/>
          <w:sz w:val="24"/>
          <w:szCs w:val="24"/>
        </w:rPr>
        <w:t>评估结果汇总表</w:t>
      </w:r>
    </w:p>
    <w:p w:rsidR="00A3032C" w:rsidRDefault="00C03818">
      <w:pPr>
        <w:adjustRightInd w:val="0"/>
        <w:snapToGrid w:val="0"/>
        <w:spacing w:line="240" w:lineRule="atLeast"/>
        <w:jc w:val="center"/>
        <w:rPr>
          <w:rFonts w:ascii="宋体" w:hAnsi="宋体"/>
          <w:sz w:val="22"/>
          <w:szCs w:val="24"/>
        </w:rPr>
      </w:pPr>
      <w:r>
        <w:rPr>
          <w:rFonts w:ascii="宋体" w:hAnsi="宋体" w:hint="eastAsia"/>
          <w:sz w:val="22"/>
          <w:szCs w:val="24"/>
        </w:rPr>
        <w:t>评估基准日：</w:t>
      </w:r>
      <w:r>
        <w:rPr>
          <w:rFonts w:ascii="宋体" w:hAnsi="宋体" w:hint="eastAsia"/>
          <w:sz w:val="22"/>
          <w:szCs w:val="24"/>
        </w:rPr>
        <w:t>2018</w:t>
      </w:r>
      <w:r>
        <w:rPr>
          <w:rFonts w:ascii="宋体" w:hAnsi="宋体" w:hint="eastAsia"/>
          <w:sz w:val="22"/>
          <w:szCs w:val="24"/>
        </w:rPr>
        <w:t>年</w:t>
      </w:r>
      <w:r>
        <w:rPr>
          <w:rFonts w:ascii="宋体" w:hAnsi="宋体" w:hint="eastAsia"/>
          <w:sz w:val="22"/>
          <w:szCs w:val="24"/>
        </w:rPr>
        <w:t>5</w:t>
      </w:r>
      <w:r>
        <w:rPr>
          <w:rFonts w:ascii="宋体" w:hAnsi="宋体" w:hint="eastAsia"/>
          <w:sz w:val="22"/>
          <w:szCs w:val="24"/>
        </w:rPr>
        <w:t>月</w:t>
      </w:r>
      <w:r>
        <w:rPr>
          <w:rFonts w:ascii="宋体" w:hAnsi="宋体" w:hint="eastAsia"/>
          <w:sz w:val="22"/>
          <w:szCs w:val="24"/>
        </w:rPr>
        <w:t>31</w:t>
      </w:r>
      <w:r>
        <w:rPr>
          <w:rFonts w:ascii="宋体" w:hAnsi="宋体" w:hint="eastAsia"/>
          <w:sz w:val="22"/>
          <w:szCs w:val="24"/>
        </w:rPr>
        <w:t>日</w:t>
      </w:r>
      <w:r>
        <w:rPr>
          <w:rFonts w:ascii="宋体" w:hAnsi="宋体" w:hint="eastAsia"/>
          <w:sz w:val="22"/>
          <w:szCs w:val="24"/>
        </w:rPr>
        <w:t xml:space="preserve"> </w:t>
      </w:r>
    </w:p>
    <w:p w:rsidR="00A3032C" w:rsidRDefault="00C03818">
      <w:pPr>
        <w:adjustRightInd w:val="0"/>
        <w:snapToGrid w:val="0"/>
        <w:spacing w:line="240" w:lineRule="atLeast"/>
        <w:jc w:val="right"/>
        <w:rPr>
          <w:rFonts w:ascii="宋体" w:hAnsi="宋体"/>
          <w:sz w:val="22"/>
          <w:szCs w:val="24"/>
        </w:rPr>
      </w:pPr>
      <w:r>
        <w:rPr>
          <w:rFonts w:ascii="宋体" w:hAnsi="宋体" w:hint="eastAsia"/>
          <w:sz w:val="22"/>
          <w:szCs w:val="24"/>
        </w:rPr>
        <w:t>金额单位：人民币万元</w:t>
      </w:r>
    </w:p>
    <w:tbl>
      <w:tblPr>
        <w:tblpPr w:leftFromText="180" w:rightFromText="180" w:vertAnchor="text" w:horzAnchor="page" w:tblpXSpec="center" w:tblpY="251"/>
        <w:tblW w:w="8522" w:type="dxa"/>
        <w:tblBorders>
          <w:top w:val="single" w:sz="12" w:space="0" w:color="auto"/>
          <w:bottom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897"/>
        <w:gridCol w:w="561"/>
        <w:gridCol w:w="1266"/>
        <w:gridCol w:w="1266"/>
        <w:gridCol w:w="1266"/>
        <w:gridCol w:w="1266"/>
      </w:tblGrid>
      <w:tr w:rsidR="00A3032C">
        <w:tc>
          <w:tcPr>
            <w:tcW w:w="3458" w:type="dxa"/>
            <w:gridSpan w:val="2"/>
            <w:vMerge w:val="restart"/>
            <w:shd w:val="clear" w:color="auto" w:fill="FFFFFF"/>
            <w:vAlign w:val="center"/>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项目</w:t>
            </w: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账面价值</w:t>
            </w: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评估价值</w:t>
            </w: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增减值</w:t>
            </w: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增值率</w:t>
            </w:r>
            <w:r>
              <w:rPr>
                <w:rFonts w:ascii="宋体" w:hAnsi="宋体" w:cs="宋体" w:hint="eastAsia"/>
                <w:bCs/>
                <w:kern w:val="0"/>
                <w:szCs w:val="21"/>
              </w:rPr>
              <w:t>%</w:t>
            </w:r>
          </w:p>
        </w:tc>
      </w:tr>
      <w:tr w:rsidR="00A3032C">
        <w:tc>
          <w:tcPr>
            <w:tcW w:w="3458" w:type="dxa"/>
            <w:gridSpan w:val="2"/>
            <w:vMerge/>
            <w:shd w:val="clear" w:color="auto" w:fill="FFFFFF"/>
          </w:tcPr>
          <w:p w:rsidR="00A3032C" w:rsidRDefault="00A3032C">
            <w:pPr>
              <w:snapToGrid w:val="0"/>
              <w:jc w:val="center"/>
              <w:textAlignment w:val="center"/>
              <w:rPr>
                <w:rFonts w:ascii="宋体" w:hAnsi="宋体" w:cs="宋体"/>
                <w:bCs/>
                <w:kern w:val="0"/>
                <w:szCs w:val="21"/>
              </w:rPr>
            </w:pP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A</w:t>
            </w: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B</w:t>
            </w: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C=B-A</w:t>
            </w:r>
          </w:p>
        </w:tc>
        <w:tc>
          <w:tcPr>
            <w:tcW w:w="1266"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D=C/A</w:t>
            </w:r>
            <w:r>
              <w:rPr>
                <w:rFonts w:ascii="宋体" w:hAnsi="宋体" w:cs="宋体" w:hint="eastAsia"/>
                <w:bCs/>
                <w:kern w:val="0"/>
                <w:szCs w:val="21"/>
              </w:rPr>
              <w:t>×</w:t>
            </w:r>
            <w:r>
              <w:rPr>
                <w:rFonts w:ascii="宋体" w:hAnsi="宋体" w:cs="宋体" w:hint="eastAsia"/>
                <w:bCs/>
                <w:kern w:val="0"/>
                <w:szCs w:val="21"/>
              </w:rPr>
              <w:t>100</w:t>
            </w:r>
          </w:p>
        </w:tc>
      </w:tr>
      <w:tr w:rsidR="00A3032C">
        <w:tc>
          <w:tcPr>
            <w:tcW w:w="2897" w:type="dxa"/>
            <w:shd w:val="clear" w:color="auto" w:fill="FFFFFF"/>
          </w:tcPr>
          <w:p w:rsidR="00A3032C" w:rsidRDefault="00C03818">
            <w:pPr>
              <w:snapToGrid w:val="0"/>
              <w:textAlignment w:val="center"/>
              <w:rPr>
                <w:rFonts w:ascii="宋体" w:hAnsi="宋体" w:cs="宋体"/>
                <w:kern w:val="0"/>
                <w:szCs w:val="21"/>
              </w:rPr>
            </w:pPr>
            <w:r>
              <w:rPr>
                <w:rFonts w:ascii="宋体" w:hAnsi="宋体" w:cs="宋体" w:hint="eastAsia"/>
                <w:kern w:val="0"/>
                <w:szCs w:val="21"/>
              </w:rPr>
              <w:t>一、流动资产</w:t>
            </w:r>
          </w:p>
        </w:tc>
        <w:tc>
          <w:tcPr>
            <w:tcW w:w="561" w:type="dxa"/>
            <w:shd w:val="clear" w:color="auto" w:fill="FFFFFF"/>
          </w:tcPr>
          <w:p w:rsidR="00A3032C" w:rsidRDefault="00C03818">
            <w:pPr>
              <w:snapToGrid w:val="0"/>
              <w:jc w:val="center"/>
              <w:textAlignment w:val="center"/>
              <w:rPr>
                <w:rFonts w:ascii="宋体" w:hAnsi="宋体" w:cs="宋体"/>
                <w:kern w:val="0"/>
                <w:szCs w:val="21"/>
              </w:rPr>
            </w:pPr>
            <w:r>
              <w:rPr>
                <w:rFonts w:ascii="宋体" w:hAnsi="宋体" w:cs="宋体"/>
                <w:kern w:val="0"/>
                <w:szCs w:val="21"/>
              </w:rPr>
              <w:t>1</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1,271.45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1,268.92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-2.53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-0.20 </w:t>
            </w:r>
          </w:p>
        </w:tc>
      </w:tr>
      <w:tr w:rsidR="00A3032C">
        <w:tc>
          <w:tcPr>
            <w:tcW w:w="2897" w:type="dxa"/>
            <w:shd w:val="clear" w:color="auto" w:fill="FFFFFF"/>
          </w:tcPr>
          <w:p w:rsidR="00A3032C" w:rsidRDefault="00C03818">
            <w:pPr>
              <w:snapToGrid w:val="0"/>
              <w:textAlignment w:val="center"/>
              <w:rPr>
                <w:rFonts w:ascii="宋体" w:hAnsi="宋体" w:cs="宋体"/>
                <w:kern w:val="0"/>
                <w:szCs w:val="21"/>
              </w:rPr>
            </w:pPr>
            <w:r>
              <w:rPr>
                <w:rFonts w:ascii="宋体" w:hAnsi="宋体" w:cs="宋体" w:hint="eastAsia"/>
                <w:kern w:val="0"/>
                <w:szCs w:val="21"/>
              </w:rPr>
              <w:t>二、非流动资产</w:t>
            </w:r>
          </w:p>
        </w:tc>
        <w:tc>
          <w:tcPr>
            <w:tcW w:w="561" w:type="dxa"/>
            <w:shd w:val="clear" w:color="auto" w:fill="FFFFFF"/>
          </w:tcPr>
          <w:p w:rsidR="00A3032C" w:rsidRDefault="00C03818">
            <w:pPr>
              <w:snapToGrid w:val="0"/>
              <w:jc w:val="center"/>
              <w:textAlignment w:val="center"/>
              <w:rPr>
                <w:rFonts w:ascii="宋体" w:hAnsi="宋体" w:cs="宋体"/>
                <w:kern w:val="0"/>
                <w:szCs w:val="21"/>
              </w:rPr>
            </w:pPr>
            <w:r>
              <w:rPr>
                <w:rFonts w:ascii="宋体" w:hAnsi="宋体" w:cs="宋体"/>
                <w:kern w:val="0"/>
                <w:szCs w:val="21"/>
              </w:rPr>
              <w:t>2</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0.61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0.34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-0.27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-44.26 </w:t>
            </w:r>
          </w:p>
        </w:tc>
      </w:tr>
      <w:tr w:rsidR="00A3032C">
        <w:tc>
          <w:tcPr>
            <w:tcW w:w="2897" w:type="dxa"/>
            <w:shd w:val="clear" w:color="auto" w:fill="FFFFFF"/>
          </w:tcPr>
          <w:p w:rsidR="00A3032C" w:rsidRDefault="00C03818">
            <w:pPr>
              <w:snapToGrid w:val="0"/>
              <w:textAlignment w:val="center"/>
              <w:rPr>
                <w:rFonts w:ascii="宋体" w:hAnsi="宋体" w:cs="宋体"/>
                <w:kern w:val="0"/>
                <w:szCs w:val="21"/>
              </w:rPr>
            </w:pPr>
            <w:r>
              <w:rPr>
                <w:rFonts w:ascii="宋体" w:hAnsi="宋体" w:cs="宋体" w:hint="eastAsia"/>
                <w:kern w:val="0"/>
                <w:szCs w:val="21"/>
              </w:rPr>
              <w:t>其中：长期股权投资</w:t>
            </w:r>
          </w:p>
        </w:tc>
        <w:tc>
          <w:tcPr>
            <w:tcW w:w="561" w:type="dxa"/>
            <w:shd w:val="clear" w:color="auto" w:fill="FFFFFF"/>
          </w:tcPr>
          <w:p w:rsidR="00A3032C" w:rsidRDefault="00C03818">
            <w:pPr>
              <w:snapToGrid w:val="0"/>
              <w:jc w:val="center"/>
              <w:textAlignment w:val="center"/>
              <w:rPr>
                <w:rFonts w:ascii="宋体" w:hAnsi="宋体" w:cs="宋体"/>
                <w:kern w:val="0"/>
                <w:szCs w:val="21"/>
              </w:rPr>
            </w:pPr>
            <w:r>
              <w:rPr>
                <w:rFonts w:ascii="宋体" w:hAnsi="宋体" w:cs="宋体"/>
                <w:kern w:val="0"/>
                <w:szCs w:val="21"/>
              </w:rPr>
              <w:t>3</w:t>
            </w:r>
          </w:p>
        </w:tc>
        <w:tc>
          <w:tcPr>
            <w:tcW w:w="1266" w:type="dxa"/>
            <w:shd w:val="clear" w:color="auto" w:fill="FFFFFF"/>
          </w:tcPr>
          <w:p w:rsidR="00A3032C" w:rsidRDefault="00A3032C">
            <w:pPr>
              <w:snapToGrid w:val="0"/>
              <w:jc w:val="right"/>
              <w:textAlignment w:val="center"/>
              <w:rPr>
                <w:rFonts w:ascii="宋体" w:hAnsi="宋体" w:cs="宋体"/>
                <w:szCs w:val="21"/>
              </w:rPr>
            </w:pPr>
          </w:p>
        </w:tc>
        <w:tc>
          <w:tcPr>
            <w:tcW w:w="1266" w:type="dxa"/>
            <w:shd w:val="clear" w:color="auto" w:fill="FFFFFF"/>
          </w:tcPr>
          <w:p w:rsidR="00A3032C" w:rsidRDefault="00A3032C">
            <w:pPr>
              <w:snapToGrid w:val="0"/>
              <w:jc w:val="right"/>
              <w:textAlignment w:val="center"/>
              <w:rPr>
                <w:rFonts w:ascii="宋体" w:hAnsi="宋体" w:cs="宋体"/>
                <w:szCs w:val="21"/>
              </w:rPr>
            </w:pPr>
          </w:p>
        </w:tc>
        <w:tc>
          <w:tcPr>
            <w:tcW w:w="1266" w:type="dxa"/>
            <w:shd w:val="clear" w:color="auto" w:fill="FFFFFF"/>
          </w:tcPr>
          <w:p w:rsidR="00A3032C" w:rsidRDefault="00A3032C">
            <w:pPr>
              <w:snapToGrid w:val="0"/>
              <w:jc w:val="right"/>
              <w:textAlignment w:val="center"/>
              <w:rPr>
                <w:rFonts w:ascii="宋体" w:hAnsi="宋体" w:cs="宋体"/>
                <w:szCs w:val="21"/>
              </w:rPr>
            </w:pPr>
          </w:p>
        </w:tc>
        <w:tc>
          <w:tcPr>
            <w:tcW w:w="1266" w:type="dxa"/>
            <w:shd w:val="clear" w:color="auto" w:fill="FFFFFF"/>
          </w:tcPr>
          <w:p w:rsidR="00A3032C" w:rsidRDefault="00A3032C">
            <w:pPr>
              <w:snapToGrid w:val="0"/>
              <w:jc w:val="right"/>
              <w:textAlignment w:val="center"/>
              <w:rPr>
                <w:rFonts w:ascii="宋体" w:hAnsi="宋体" w:cs="宋体"/>
                <w:szCs w:val="21"/>
              </w:rPr>
            </w:pPr>
          </w:p>
        </w:tc>
      </w:tr>
      <w:tr w:rsidR="00A3032C">
        <w:tc>
          <w:tcPr>
            <w:tcW w:w="2897" w:type="dxa"/>
            <w:shd w:val="clear" w:color="auto" w:fill="FFFFFF"/>
          </w:tcPr>
          <w:p w:rsidR="00A3032C" w:rsidRDefault="00C03818">
            <w:pPr>
              <w:snapToGrid w:val="0"/>
              <w:textAlignment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投资性房地产</w:t>
            </w:r>
          </w:p>
        </w:tc>
        <w:tc>
          <w:tcPr>
            <w:tcW w:w="561" w:type="dxa"/>
            <w:shd w:val="clear" w:color="auto" w:fill="FFFFFF"/>
          </w:tcPr>
          <w:p w:rsidR="00A3032C" w:rsidRDefault="00C03818">
            <w:pPr>
              <w:snapToGrid w:val="0"/>
              <w:jc w:val="center"/>
              <w:textAlignment w:val="center"/>
              <w:rPr>
                <w:rFonts w:ascii="宋体" w:hAnsi="宋体" w:cs="宋体"/>
                <w:kern w:val="0"/>
                <w:szCs w:val="21"/>
              </w:rPr>
            </w:pPr>
            <w:r>
              <w:rPr>
                <w:rFonts w:ascii="宋体" w:hAnsi="宋体" w:cs="宋体"/>
                <w:kern w:val="0"/>
                <w:szCs w:val="21"/>
              </w:rPr>
              <w:t>4</w:t>
            </w:r>
          </w:p>
        </w:tc>
        <w:tc>
          <w:tcPr>
            <w:tcW w:w="1266" w:type="dxa"/>
            <w:shd w:val="clear" w:color="auto" w:fill="FFFFFF"/>
          </w:tcPr>
          <w:p w:rsidR="00A3032C" w:rsidRDefault="00A3032C">
            <w:pPr>
              <w:snapToGrid w:val="0"/>
              <w:jc w:val="right"/>
              <w:textAlignment w:val="center"/>
              <w:rPr>
                <w:rFonts w:ascii="宋体" w:hAnsi="宋体" w:cs="宋体"/>
                <w:szCs w:val="21"/>
              </w:rPr>
            </w:pPr>
          </w:p>
        </w:tc>
        <w:tc>
          <w:tcPr>
            <w:tcW w:w="1266" w:type="dxa"/>
            <w:shd w:val="clear" w:color="auto" w:fill="FFFFFF"/>
          </w:tcPr>
          <w:p w:rsidR="00A3032C" w:rsidRDefault="00A3032C">
            <w:pPr>
              <w:snapToGrid w:val="0"/>
              <w:jc w:val="right"/>
              <w:textAlignment w:val="center"/>
              <w:rPr>
                <w:rFonts w:ascii="宋体" w:hAnsi="宋体" w:cs="宋体"/>
                <w:szCs w:val="21"/>
              </w:rPr>
            </w:pPr>
          </w:p>
        </w:tc>
        <w:tc>
          <w:tcPr>
            <w:tcW w:w="1266" w:type="dxa"/>
            <w:shd w:val="clear" w:color="auto" w:fill="FFFFFF"/>
          </w:tcPr>
          <w:p w:rsidR="00A3032C" w:rsidRDefault="00A3032C">
            <w:pPr>
              <w:snapToGrid w:val="0"/>
              <w:jc w:val="right"/>
              <w:textAlignment w:val="center"/>
              <w:rPr>
                <w:rFonts w:ascii="宋体" w:hAnsi="宋体" w:cs="宋体"/>
                <w:szCs w:val="21"/>
              </w:rPr>
            </w:pPr>
          </w:p>
        </w:tc>
        <w:tc>
          <w:tcPr>
            <w:tcW w:w="1266" w:type="dxa"/>
            <w:shd w:val="clear" w:color="auto" w:fill="FFFFFF"/>
          </w:tcPr>
          <w:p w:rsidR="00A3032C" w:rsidRDefault="00A3032C">
            <w:pPr>
              <w:snapToGrid w:val="0"/>
              <w:jc w:val="right"/>
              <w:textAlignment w:val="center"/>
              <w:rPr>
                <w:rFonts w:ascii="宋体" w:hAnsi="宋体" w:cs="宋体"/>
                <w:szCs w:val="21"/>
              </w:rPr>
            </w:pPr>
          </w:p>
        </w:tc>
      </w:tr>
      <w:tr w:rsidR="00A3032C">
        <w:tc>
          <w:tcPr>
            <w:tcW w:w="2897" w:type="dxa"/>
            <w:shd w:val="clear" w:color="auto" w:fill="FFFFFF"/>
          </w:tcPr>
          <w:p w:rsidR="00A3032C" w:rsidRDefault="00C03818">
            <w:pPr>
              <w:snapToGrid w:val="0"/>
              <w:textAlignment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固定资产</w:t>
            </w:r>
          </w:p>
        </w:tc>
        <w:tc>
          <w:tcPr>
            <w:tcW w:w="561" w:type="dxa"/>
            <w:shd w:val="clear" w:color="auto" w:fill="FFFFFF"/>
          </w:tcPr>
          <w:p w:rsidR="00A3032C" w:rsidRDefault="00C03818">
            <w:pPr>
              <w:snapToGrid w:val="0"/>
              <w:jc w:val="center"/>
              <w:textAlignment w:val="center"/>
              <w:rPr>
                <w:rFonts w:ascii="宋体" w:hAnsi="宋体" w:cs="宋体"/>
                <w:kern w:val="0"/>
                <w:szCs w:val="21"/>
              </w:rPr>
            </w:pPr>
            <w:r>
              <w:rPr>
                <w:rFonts w:ascii="宋体" w:hAnsi="宋体" w:cs="宋体"/>
                <w:kern w:val="0"/>
                <w:szCs w:val="21"/>
              </w:rPr>
              <w:t>5</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0.61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0.34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-0.27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-44.26 </w:t>
            </w:r>
          </w:p>
        </w:tc>
      </w:tr>
      <w:tr w:rsidR="00A3032C">
        <w:tc>
          <w:tcPr>
            <w:tcW w:w="2897" w:type="dxa"/>
            <w:shd w:val="clear" w:color="auto" w:fill="FFFFFF"/>
          </w:tcPr>
          <w:p w:rsidR="00A3032C" w:rsidRDefault="00C03818">
            <w:pPr>
              <w:snapToGrid w:val="0"/>
              <w:textAlignment w:val="center"/>
              <w:rPr>
                <w:rFonts w:ascii="宋体" w:hAnsi="宋体" w:cs="宋体"/>
                <w:bCs/>
                <w:kern w:val="0"/>
                <w:szCs w:val="21"/>
              </w:rPr>
            </w:pPr>
            <w:r>
              <w:rPr>
                <w:rFonts w:ascii="宋体" w:hAnsi="宋体" w:cs="宋体" w:hint="eastAsia"/>
                <w:bCs/>
                <w:kern w:val="0"/>
                <w:szCs w:val="21"/>
              </w:rPr>
              <w:t>资产总计</w:t>
            </w:r>
          </w:p>
        </w:tc>
        <w:tc>
          <w:tcPr>
            <w:tcW w:w="561"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6</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1,272.06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1,269.27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-2.79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-0.22 </w:t>
            </w:r>
          </w:p>
        </w:tc>
      </w:tr>
      <w:tr w:rsidR="00A3032C">
        <w:tc>
          <w:tcPr>
            <w:tcW w:w="2897" w:type="dxa"/>
            <w:shd w:val="clear" w:color="auto" w:fill="FFFFFF"/>
          </w:tcPr>
          <w:p w:rsidR="00A3032C" w:rsidRDefault="00C03818">
            <w:pPr>
              <w:snapToGrid w:val="0"/>
              <w:textAlignment w:val="center"/>
              <w:rPr>
                <w:rFonts w:ascii="宋体" w:hAnsi="宋体" w:cs="宋体"/>
                <w:kern w:val="0"/>
                <w:szCs w:val="21"/>
              </w:rPr>
            </w:pPr>
            <w:r>
              <w:rPr>
                <w:rFonts w:ascii="宋体" w:hAnsi="宋体" w:cs="宋体" w:hint="eastAsia"/>
                <w:kern w:val="0"/>
                <w:szCs w:val="21"/>
              </w:rPr>
              <w:t>三、流动负债</w:t>
            </w:r>
          </w:p>
        </w:tc>
        <w:tc>
          <w:tcPr>
            <w:tcW w:w="561" w:type="dxa"/>
            <w:shd w:val="clear" w:color="auto" w:fill="FFFFFF"/>
          </w:tcPr>
          <w:p w:rsidR="00A3032C" w:rsidRDefault="00C03818">
            <w:pPr>
              <w:snapToGrid w:val="0"/>
              <w:jc w:val="center"/>
              <w:textAlignment w:val="center"/>
              <w:rPr>
                <w:rFonts w:ascii="宋体" w:hAnsi="宋体" w:cs="宋体"/>
                <w:kern w:val="0"/>
                <w:szCs w:val="21"/>
              </w:rPr>
            </w:pPr>
            <w:r>
              <w:rPr>
                <w:rFonts w:ascii="宋体" w:hAnsi="宋体" w:cs="宋体" w:hint="eastAsia"/>
                <w:kern w:val="0"/>
                <w:szCs w:val="21"/>
              </w:rPr>
              <w:t>7</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1,140.55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1,140.55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   </w:t>
            </w:r>
          </w:p>
        </w:tc>
      </w:tr>
      <w:tr w:rsidR="00A3032C">
        <w:tc>
          <w:tcPr>
            <w:tcW w:w="2897" w:type="dxa"/>
            <w:shd w:val="clear" w:color="auto" w:fill="FFFFFF"/>
          </w:tcPr>
          <w:p w:rsidR="00A3032C" w:rsidRDefault="00C03818">
            <w:pPr>
              <w:snapToGrid w:val="0"/>
              <w:textAlignment w:val="center"/>
              <w:rPr>
                <w:rFonts w:ascii="宋体" w:hAnsi="宋体" w:cs="宋体"/>
                <w:kern w:val="0"/>
                <w:szCs w:val="21"/>
              </w:rPr>
            </w:pPr>
            <w:r>
              <w:rPr>
                <w:rFonts w:ascii="宋体" w:hAnsi="宋体" w:cs="宋体" w:hint="eastAsia"/>
                <w:kern w:val="0"/>
                <w:szCs w:val="21"/>
              </w:rPr>
              <w:t>四、非流动负债</w:t>
            </w:r>
          </w:p>
        </w:tc>
        <w:tc>
          <w:tcPr>
            <w:tcW w:w="561" w:type="dxa"/>
            <w:shd w:val="clear" w:color="auto" w:fill="FFFFFF"/>
          </w:tcPr>
          <w:p w:rsidR="00A3032C" w:rsidRDefault="00C03818">
            <w:pPr>
              <w:snapToGrid w:val="0"/>
              <w:jc w:val="center"/>
              <w:textAlignment w:val="center"/>
              <w:rPr>
                <w:rFonts w:ascii="宋体" w:hAnsi="宋体" w:cs="宋体"/>
                <w:kern w:val="0"/>
                <w:szCs w:val="21"/>
              </w:rPr>
            </w:pPr>
            <w:r>
              <w:rPr>
                <w:rFonts w:ascii="宋体" w:hAnsi="宋体" w:cs="宋体" w:hint="eastAsia"/>
                <w:kern w:val="0"/>
                <w:szCs w:val="21"/>
              </w:rPr>
              <w:t>8</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   </w:t>
            </w:r>
          </w:p>
        </w:tc>
        <w:tc>
          <w:tcPr>
            <w:tcW w:w="1266" w:type="dxa"/>
            <w:shd w:val="clear" w:color="auto" w:fill="FFFFFF"/>
            <w:vAlign w:val="center"/>
          </w:tcPr>
          <w:p w:rsidR="00A3032C" w:rsidRDefault="00C03818">
            <w:pPr>
              <w:widowControl/>
              <w:jc w:val="right"/>
              <w:textAlignment w:val="center"/>
              <w:rPr>
                <w:rFonts w:ascii="宋体" w:hAnsi="宋体" w:cs="宋体"/>
                <w:szCs w:val="21"/>
              </w:rPr>
            </w:pPr>
            <w:r>
              <w:rPr>
                <w:color w:val="000000"/>
                <w:kern w:val="0"/>
                <w:sz w:val="24"/>
                <w:szCs w:val="24"/>
                <w:lang w:bidi="ar"/>
              </w:rPr>
              <w:t xml:space="preserve">  </w:t>
            </w:r>
          </w:p>
        </w:tc>
      </w:tr>
      <w:tr w:rsidR="00A3032C">
        <w:tc>
          <w:tcPr>
            <w:tcW w:w="2897" w:type="dxa"/>
            <w:shd w:val="clear" w:color="auto" w:fill="FFFFFF"/>
          </w:tcPr>
          <w:p w:rsidR="00A3032C" w:rsidRDefault="00C03818">
            <w:pPr>
              <w:snapToGrid w:val="0"/>
              <w:textAlignment w:val="center"/>
              <w:rPr>
                <w:rFonts w:ascii="宋体" w:hAnsi="宋体" w:cs="宋体"/>
                <w:bCs/>
                <w:kern w:val="0"/>
                <w:szCs w:val="21"/>
              </w:rPr>
            </w:pPr>
            <w:r>
              <w:rPr>
                <w:rFonts w:ascii="宋体" w:hAnsi="宋体" w:cs="宋体" w:hint="eastAsia"/>
                <w:bCs/>
                <w:kern w:val="0"/>
                <w:szCs w:val="21"/>
              </w:rPr>
              <w:t>负债总计</w:t>
            </w:r>
          </w:p>
        </w:tc>
        <w:tc>
          <w:tcPr>
            <w:tcW w:w="561"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9</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1,140.55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1,140.55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b/>
                <w:color w:val="000000"/>
                <w:kern w:val="0"/>
                <w:sz w:val="24"/>
                <w:szCs w:val="24"/>
                <w:lang w:bidi="ar"/>
              </w:rPr>
              <w:t xml:space="preserve"> -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b/>
                <w:color w:val="000000"/>
                <w:kern w:val="0"/>
                <w:sz w:val="24"/>
                <w:szCs w:val="24"/>
                <w:lang w:bidi="ar"/>
              </w:rPr>
              <w:t xml:space="preserve"> -   </w:t>
            </w:r>
          </w:p>
        </w:tc>
      </w:tr>
      <w:tr w:rsidR="00A3032C">
        <w:tc>
          <w:tcPr>
            <w:tcW w:w="2897" w:type="dxa"/>
            <w:shd w:val="clear" w:color="auto" w:fill="FFFFFF"/>
          </w:tcPr>
          <w:p w:rsidR="00A3032C" w:rsidRDefault="00C03818">
            <w:pPr>
              <w:snapToGrid w:val="0"/>
              <w:textAlignment w:val="center"/>
              <w:rPr>
                <w:rFonts w:ascii="宋体" w:hAnsi="宋体" w:cs="宋体"/>
                <w:bCs/>
                <w:kern w:val="0"/>
                <w:szCs w:val="21"/>
              </w:rPr>
            </w:pPr>
            <w:r>
              <w:rPr>
                <w:rFonts w:ascii="宋体" w:hAnsi="宋体" w:cs="宋体" w:hint="eastAsia"/>
                <w:bCs/>
                <w:kern w:val="0"/>
                <w:szCs w:val="21"/>
              </w:rPr>
              <w:t>净资产</w:t>
            </w:r>
          </w:p>
        </w:tc>
        <w:tc>
          <w:tcPr>
            <w:tcW w:w="561" w:type="dxa"/>
            <w:shd w:val="clear" w:color="auto" w:fill="FFFFFF"/>
          </w:tcPr>
          <w:p w:rsidR="00A3032C" w:rsidRDefault="00C03818">
            <w:pPr>
              <w:snapToGrid w:val="0"/>
              <w:jc w:val="center"/>
              <w:textAlignment w:val="center"/>
              <w:rPr>
                <w:rFonts w:ascii="宋体" w:hAnsi="宋体" w:cs="宋体"/>
                <w:bCs/>
                <w:kern w:val="0"/>
                <w:szCs w:val="21"/>
              </w:rPr>
            </w:pPr>
            <w:r>
              <w:rPr>
                <w:rFonts w:ascii="宋体" w:hAnsi="宋体" w:cs="宋体" w:hint="eastAsia"/>
                <w:bCs/>
                <w:kern w:val="0"/>
                <w:szCs w:val="21"/>
              </w:rPr>
              <w:t>10</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131.50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color w:val="000000"/>
                <w:kern w:val="0"/>
                <w:sz w:val="24"/>
                <w:szCs w:val="24"/>
                <w:lang w:bidi="ar"/>
              </w:rPr>
              <w:t xml:space="preserve"> 128.71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b/>
                <w:color w:val="000000"/>
                <w:kern w:val="0"/>
                <w:sz w:val="24"/>
                <w:szCs w:val="24"/>
                <w:lang w:bidi="ar"/>
              </w:rPr>
              <w:t xml:space="preserve"> -2.79 </w:t>
            </w:r>
          </w:p>
        </w:tc>
        <w:tc>
          <w:tcPr>
            <w:tcW w:w="1266" w:type="dxa"/>
            <w:shd w:val="clear" w:color="auto" w:fill="FFFFFF"/>
            <w:vAlign w:val="center"/>
          </w:tcPr>
          <w:p w:rsidR="00A3032C" w:rsidRDefault="00C03818">
            <w:pPr>
              <w:widowControl/>
              <w:jc w:val="right"/>
              <w:textAlignment w:val="center"/>
              <w:rPr>
                <w:rFonts w:ascii="宋体" w:hAnsi="宋体" w:cs="宋体"/>
                <w:bCs/>
                <w:szCs w:val="21"/>
              </w:rPr>
            </w:pPr>
            <w:r>
              <w:rPr>
                <w:b/>
                <w:color w:val="000000"/>
                <w:kern w:val="0"/>
                <w:sz w:val="24"/>
                <w:szCs w:val="24"/>
                <w:lang w:bidi="ar"/>
              </w:rPr>
              <w:t xml:space="preserve"> -2.12 </w:t>
            </w:r>
          </w:p>
        </w:tc>
      </w:tr>
    </w:tbl>
    <w:bookmarkEnd w:id="57"/>
    <w:bookmarkEnd w:id="58"/>
    <w:bookmarkEnd w:id="59"/>
    <w:bookmarkEnd w:id="60"/>
    <w:p w:rsidR="00A3032C" w:rsidRDefault="00C03818">
      <w:pPr>
        <w:tabs>
          <w:tab w:val="left" w:pos="0"/>
        </w:tabs>
        <w:spacing w:line="360" w:lineRule="auto"/>
        <w:ind w:firstLineChars="200" w:firstLine="480"/>
        <w:rPr>
          <w:rFonts w:asciiTheme="minorEastAsia" w:eastAsiaTheme="minorEastAsia" w:hAnsiTheme="minorEastAsia"/>
          <w:sz w:val="24"/>
          <w:szCs w:val="24"/>
        </w:rPr>
      </w:pPr>
      <w:proofErr w:type="gramStart"/>
      <w:r>
        <w:rPr>
          <w:rFonts w:ascii="宋体" w:hAnsi="宋体" w:cs="Arial Narrow"/>
          <w:sz w:val="24"/>
          <w:szCs w:val="24"/>
        </w:rPr>
        <w:t>本</w:t>
      </w:r>
      <w:r>
        <w:rPr>
          <w:rFonts w:ascii="宋体" w:hAnsi="宋体" w:cs="Arial Narrow" w:hint="eastAsia"/>
          <w:sz w:val="24"/>
          <w:szCs w:val="24"/>
        </w:rPr>
        <w:t>资产</w:t>
      </w:r>
      <w:proofErr w:type="gramEnd"/>
      <w:r>
        <w:rPr>
          <w:rFonts w:ascii="宋体" w:hAnsi="宋体" w:cs="Arial Narrow"/>
          <w:sz w:val="24"/>
          <w:szCs w:val="24"/>
        </w:rPr>
        <w:t>评估报告没有考虑</w:t>
      </w:r>
      <w:r>
        <w:rPr>
          <w:rFonts w:ascii="宋体" w:hAnsi="宋体" w:cs="Arial Narrow" w:hint="eastAsia"/>
          <w:sz w:val="24"/>
          <w:szCs w:val="24"/>
        </w:rPr>
        <w:t>由于具有控制权或者缺乏控制权可能产生的溢价或者折价</w:t>
      </w:r>
      <w:r>
        <w:rPr>
          <w:rFonts w:ascii="宋体" w:hAnsi="宋体" w:cs="Arial Narrow"/>
          <w:sz w:val="24"/>
          <w:szCs w:val="24"/>
        </w:rPr>
        <w:t>对评估对象价值的影响。</w:t>
      </w:r>
    </w:p>
    <w:p w:rsidR="00A3032C" w:rsidRDefault="00C03818">
      <w:pPr>
        <w:pStyle w:val="2"/>
        <w:ind w:firstLine="482"/>
      </w:pPr>
      <w:bookmarkStart w:id="61" w:name="_Toc334186097"/>
      <w:bookmarkStart w:id="62" w:name="_Toc493752490"/>
      <w:r>
        <w:t>十一、</w:t>
      </w:r>
      <w:bookmarkStart w:id="63" w:name="三13"/>
      <w:r>
        <w:t>特别事项说明</w:t>
      </w:r>
      <w:bookmarkEnd w:id="61"/>
      <w:bookmarkEnd w:id="62"/>
      <w:bookmarkEnd w:id="63"/>
    </w:p>
    <w:p w:rsidR="00A3032C" w:rsidRDefault="00C03818">
      <w:pPr>
        <w:tabs>
          <w:tab w:val="left" w:pos="0"/>
        </w:tabs>
        <w:spacing w:line="360" w:lineRule="auto"/>
        <w:ind w:firstLineChars="200" w:firstLine="480"/>
        <w:rPr>
          <w:rFonts w:ascii="宋体" w:hAnsi="宋体"/>
          <w:color w:val="FF0000"/>
          <w:sz w:val="24"/>
          <w:szCs w:val="24"/>
        </w:rPr>
      </w:pPr>
      <w:r>
        <w:rPr>
          <w:rFonts w:ascii="宋体" w:hAnsi="宋体" w:hint="eastAsia"/>
          <w:sz w:val="24"/>
          <w:szCs w:val="24"/>
        </w:rPr>
        <w:t>以下为在评估过程中已发现可能影响评估结论但非评估人员执业水平和专</w:t>
      </w:r>
      <w:r>
        <w:rPr>
          <w:rFonts w:ascii="宋体" w:hAnsi="宋体" w:hint="eastAsia"/>
          <w:sz w:val="24"/>
          <w:szCs w:val="24"/>
        </w:rPr>
        <w:lastRenderedPageBreak/>
        <w:t>业能力所能评定估算的有关事项：</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（一）引用其他机构出具报告结论的情况</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本次评估未引用其他机构出具报告结论</w:t>
      </w:r>
      <w:r>
        <w:rPr>
          <w:rFonts w:asciiTheme="minorEastAsia" w:eastAsiaTheme="minorEastAsia" w:hAnsiTheme="minorEastAsia" w:hint="eastAsia"/>
          <w:sz w:val="24"/>
          <w:szCs w:val="24"/>
        </w:rPr>
        <w:t>。</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二</w:t>
      </w:r>
      <w:r>
        <w:rPr>
          <w:rFonts w:asciiTheme="minorEastAsia" w:eastAsiaTheme="minorEastAsia" w:hAnsiTheme="minorEastAsia" w:hint="eastAsia"/>
          <w:sz w:val="24"/>
          <w:szCs w:val="24"/>
        </w:rPr>
        <w:t>）评估基准</w:t>
      </w:r>
      <w:proofErr w:type="gramStart"/>
      <w:r>
        <w:rPr>
          <w:rFonts w:asciiTheme="minorEastAsia" w:eastAsiaTheme="minorEastAsia" w:hAnsiTheme="minorEastAsia" w:hint="eastAsia"/>
          <w:sz w:val="24"/>
          <w:szCs w:val="24"/>
        </w:rPr>
        <w:t>日存在</w:t>
      </w:r>
      <w:proofErr w:type="gramEnd"/>
      <w:r>
        <w:rPr>
          <w:rFonts w:asciiTheme="minorEastAsia" w:eastAsiaTheme="minorEastAsia" w:hAnsiTheme="minorEastAsia" w:hint="eastAsia"/>
          <w:sz w:val="24"/>
          <w:szCs w:val="24"/>
        </w:rPr>
        <w:t>的法律、经济等未决事项</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企业未提供可能存在的法律、经济等未决事项。</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三</w:t>
      </w:r>
      <w:r>
        <w:rPr>
          <w:rFonts w:asciiTheme="minorEastAsia" w:eastAsiaTheme="minorEastAsia" w:hAnsiTheme="minorEastAsia" w:hint="eastAsia"/>
          <w:sz w:val="24"/>
          <w:szCs w:val="24"/>
        </w:rPr>
        <w:t>）担保、租赁及其或有负债（或有资产）等事项的性质、金额及与评估对象的关系</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过程中，评估人员未发现企业存在对外抵押担保情况，评估结论也未考虑以往或者将来可能存在的抵押担保事宜以及特殊交易方可能追加付出的价格等对其评估价值的影响，也未考虑可能存在的与评估范围内资产有关的或有负债可能对资产价格的影响。</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四</w:t>
      </w:r>
      <w:r>
        <w:rPr>
          <w:rFonts w:asciiTheme="minorEastAsia" w:eastAsiaTheme="minorEastAsia" w:hAnsiTheme="minorEastAsia"/>
          <w:sz w:val="24"/>
          <w:szCs w:val="24"/>
        </w:rPr>
        <w:t>）评估基准日至</w:t>
      </w:r>
      <w:r>
        <w:rPr>
          <w:rFonts w:asciiTheme="minorEastAsia" w:eastAsiaTheme="minorEastAsia" w:hAnsiTheme="minorEastAsia" w:hint="eastAsia"/>
          <w:sz w:val="24"/>
          <w:szCs w:val="24"/>
        </w:rPr>
        <w:t>资产</w:t>
      </w:r>
      <w:r>
        <w:rPr>
          <w:rFonts w:asciiTheme="minorEastAsia" w:eastAsiaTheme="minorEastAsia" w:hAnsiTheme="minorEastAsia"/>
          <w:sz w:val="24"/>
          <w:szCs w:val="24"/>
        </w:rPr>
        <w:t>评估报告日之间可能对评估结论产生影响的事项</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评估基准日期后事项系评估基准日至评估报告提出日期之间发生的重大事项；</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在评估基准日后</w:t>
      </w:r>
      <w:r>
        <w:rPr>
          <w:rFonts w:asciiTheme="minorEastAsia" w:eastAsiaTheme="minorEastAsia" w:hAnsiTheme="minorEastAsia" w:hint="eastAsia"/>
          <w:sz w:val="24"/>
          <w:szCs w:val="24"/>
        </w:rPr>
        <w:t>，当被评估资产因不可抗力而发生拆除、毁损、灭失，往来账款产生坏账等影响资产价值的期后事项时，不能直接使用评估结论；</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发生评估基准日期后重大事项时，不能直接使用本评估结论。在本次评估结果有效期内若资产数量发生变化，应根据原评估方法对评估价值进行相应调整。</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五</w:t>
      </w:r>
      <w:r>
        <w:rPr>
          <w:rFonts w:asciiTheme="minorEastAsia" w:eastAsiaTheme="minorEastAsia" w:hAnsiTheme="minorEastAsia" w:hint="eastAsia"/>
          <w:sz w:val="24"/>
          <w:szCs w:val="24"/>
        </w:rPr>
        <w:t>）</w:t>
      </w:r>
      <w:r>
        <w:rPr>
          <w:rFonts w:asciiTheme="minorEastAsia" w:eastAsiaTheme="minorEastAsia" w:hAnsiTheme="minorEastAsia"/>
          <w:sz w:val="24"/>
          <w:szCs w:val="24"/>
        </w:rPr>
        <w:t>需要说明的其他问题</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本评估报告是在独立、客观公正、科学的原则下做出的，遵循了有关的法律、法规和资产评估准则的规定。</w:t>
      </w:r>
      <w:r>
        <w:rPr>
          <w:rFonts w:asciiTheme="minorEastAsia" w:eastAsiaTheme="minorEastAsia" w:hAnsiTheme="minorEastAsia" w:hint="eastAsia"/>
          <w:sz w:val="24"/>
          <w:szCs w:val="24"/>
        </w:rPr>
        <w:t>评估机构及其评估专业人员</w:t>
      </w:r>
      <w:r>
        <w:rPr>
          <w:rFonts w:asciiTheme="minorEastAsia" w:eastAsiaTheme="minorEastAsia" w:hAnsiTheme="minorEastAsia"/>
          <w:sz w:val="24"/>
          <w:szCs w:val="24"/>
        </w:rPr>
        <w:t>与委托人及有关当事人之间无任何特殊利害关系，评估人员在整个评估过程中，始终恪守职业道德和规范。</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本评估报告中涉及的有关企业经营的一般资料、产权资料、政策文件及相关材料由委托人及被评估单位负责提供，对其真实性、合法性由委托人及被评估单位承担相关的法律责任；同时根据</w:t>
      </w:r>
      <w:r>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w:t>
      </w:r>
      <w:r>
        <w:rPr>
          <w:rFonts w:asciiTheme="minorEastAsia" w:eastAsiaTheme="minorEastAsia" w:hAnsiTheme="minorEastAsia" w:hint="eastAsia"/>
          <w:sz w:val="24"/>
          <w:szCs w:val="24"/>
        </w:rPr>
        <w:lastRenderedPageBreak/>
        <w:t>业人员的职业范围。因此评估专业人员不对资产评估对象的法律权属提供保证。</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对企业存在的可能影响资产评估</w:t>
      </w:r>
      <w:r>
        <w:rPr>
          <w:rFonts w:asciiTheme="minorEastAsia" w:eastAsiaTheme="minorEastAsia" w:hAnsiTheme="minorEastAsia" w:hint="eastAsia"/>
          <w:sz w:val="24"/>
          <w:szCs w:val="24"/>
        </w:rPr>
        <w:t>价</w:t>
      </w:r>
      <w:r>
        <w:rPr>
          <w:rFonts w:asciiTheme="minorEastAsia" w:eastAsiaTheme="minorEastAsia" w:hAnsiTheme="minorEastAsia"/>
          <w:sz w:val="24"/>
          <w:szCs w:val="24"/>
        </w:rPr>
        <w:t>值的瑕疵事项，在企业委托时未作特殊说明而评估人员已履行评估程序</w:t>
      </w:r>
      <w:r>
        <w:rPr>
          <w:rFonts w:asciiTheme="minorEastAsia" w:eastAsiaTheme="minorEastAsia" w:hAnsiTheme="minorEastAsia"/>
          <w:sz w:val="24"/>
          <w:szCs w:val="24"/>
        </w:rPr>
        <w:t>仍无法获知的情况下，评估机构及评估人员不承担相关责任。</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本评估结论由本公司出具。受本公司</w:t>
      </w:r>
      <w:r>
        <w:rPr>
          <w:rFonts w:asciiTheme="minorEastAsia" w:eastAsiaTheme="minorEastAsia" w:hAnsiTheme="minorEastAsia" w:hint="eastAsia"/>
          <w:sz w:val="24"/>
          <w:szCs w:val="24"/>
        </w:rPr>
        <w:t>评估专业人员</w:t>
      </w:r>
      <w:r>
        <w:rPr>
          <w:rFonts w:asciiTheme="minorEastAsia" w:eastAsiaTheme="minorEastAsia" w:hAnsiTheme="minorEastAsia"/>
          <w:sz w:val="24"/>
          <w:szCs w:val="24"/>
        </w:rPr>
        <w:t>的执业水平和能力的影响，评估结论不作为相关交易及其它经济行为的唯一依据，仅作为有关当事人</w:t>
      </w:r>
      <w:r>
        <w:rPr>
          <w:rFonts w:asciiTheme="minorEastAsia" w:eastAsiaTheme="minorEastAsia" w:hAnsiTheme="minorEastAsia" w:hint="eastAsia"/>
          <w:sz w:val="24"/>
          <w:szCs w:val="24"/>
        </w:rPr>
        <w:t>经济行为</w:t>
      </w:r>
      <w:r>
        <w:rPr>
          <w:rFonts w:asciiTheme="minorEastAsia" w:eastAsiaTheme="minorEastAsia" w:hAnsiTheme="minorEastAsia"/>
          <w:sz w:val="24"/>
          <w:szCs w:val="24"/>
        </w:rPr>
        <w:t>价值参考。</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由于本次评估中</w:t>
      </w:r>
      <w:r>
        <w:rPr>
          <w:rFonts w:ascii="宋体" w:hAnsi="宋体" w:hint="eastAsia"/>
          <w:sz w:val="24"/>
          <w:szCs w:val="28"/>
        </w:rPr>
        <w:t>被评估单位位于香港，受条件限制，未安排评估人员进行现场勘查</w:t>
      </w:r>
      <w:r>
        <w:rPr>
          <w:rFonts w:asciiTheme="minorEastAsia" w:eastAsiaTheme="minorEastAsia" w:hAnsiTheme="minorEastAsia" w:hint="eastAsia"/>
          <w:sz w:val="24"/>
          <w:szCs w:val="24"/>
        </w:rPr>
        <w:t>，本次评估以被评估单位提供的相关资料为依据，对评估对象进行估价。</w:t>
      </w: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sz w:val="24"/>
          <w:szCs w:val="24"/>
        </w:rPr>
        <w:t>评估报告附件与报告正文配套使用方为有效。</w:t>
      </w:r>
    </w:p>
    <w:p w:rsidR="00A3032C" w:rsidRDefault="00C03818">
      <w:pPr>
        <w:pStyle w:val="2"/>
        <w:ind w:firstLine="482"/>
      </w:pPr>
      <w:bookmarkStart w:id="64" w:name="_Toc334186098"/>
      <w:bookmarkStart w:id="65" w:name="_Toc493752491"/>
      <w:r>
        <w:t>十二、</w:t>
      </w:r>
      <w:bookmarkStart w:id="66" w:name="三14"/>
      <w:r>
        <w:rPr>
          <w:rFonts w:hint="eastAsia"/>
        </w:rPr>
        <w:t>资产</w:t>
      </w:r>
      <w:r>
        <w:t>评估报告使用限制说明</w:t>
      </w:r>
      <w:bookmarkEnd w:id="64"/>
      <w:bookmarkEnd w:id="65"/>
      <w:bookmarkEnd w:id="66"/>
    </w:p>
    <w:p w:rsidR="00A3032C" w:rsidRDefault="00C03818">
      <w:pPr>
        <w:pStyle w:val="ab"/>
        <w:widowControl/>
        <w:numPr>
          <w:ilvl w:val="0"/>
          <w:numId w:val="15"/>
        </w:numPr>
        <w:adjustRightInd w:val="0"/>
        <w:snapToGrid w:val="0"/>
        <w:spacing w:line="360" w:lineRule="auto"/>
        <w:ind w:left="0" w:firstLineChars="200" w:firstLine="480"/>
        <w:rPr>
          <w:rFonts w:ascii="宋体" w:hAnsi="宋体"/>
          <w:sz w:val="24"/>
          <w:szCs w:val="24"/>
        </w:rPr>
      </w:pPr>
      <w:bookmarkStart w:id="67" w:name="_Toc334186099"/>
      <w:bookmarkStart w:id="68" w:name="_Toc493752492"/>
      <w:r>
        <w:rPr>
          <w:rFonts w:ascii="宋体" w:hAnsi="宋体" w:hint="eastAsia"/>
          <w:sz w:val="24"/>
          <w:szCs w:val="24"/>
        </w:rPr>
        <w:t xml:space="preserve"> </w:t>
      </w:r>
      <w:proofErr w:type="gramStart"/>
      <w:r>
        <w:rPr>
          <w:rFonts w:ascii="宋体" w:hAnsi="宋体" w:hint="eastAsia"/>
          <w:sz w:val="24"/>
          <w:szCs w:val="24"/>
        </w:rPr>
        <w:t>本资产</w:t>
      </w:r>
      <w:proofErr w:type="gramEnd"/>
      <w:r>
        <w:rPr>
          <w:rFonts w:ascii="宋体" w:hAnsi="宋体" w:hint="eastAsia"/>
          <w:sz w:val="24"/>
          <w:szCs w:val="24"/>
        </w:rPr>
        <w:t>评估报告只能用于资产评估报告载明的评估目的和用途、只能由资产评估报告载明的资产评估报告使用人使用。</w:t>
      </w:r>
      <w:proofErr w:type="gramStart"/>
      <w:r>
        <w:rPr>
          <w:rFonts w:ascii="宋体" w:hAnsi="宋体" w:hint="eastAsia"/>
          <w:sz w:val="24"/>
          <w:szCs w:val="24"/>
        </w:rPr>
        <w:t>本资产</w:t>
      </w:r>
      <w:proofErr w:type="gramEnd"/>
      <w:r>
        <w:rPr>
          <w:rFonts w:ascii="宋体" w:hAnsi="宋体" w:hint="eastAsia"/>
          <w:sz w:val="24"/>
          <w:szCs w:val="24"/>
        </w:rPr>
        <w:t>评估报告的全部或者部分内容被摘抄、引用或者被披露于公开媒体，需评估机构审阅相关内容，法律、法规规定以及相关当事方另有约定的除外；</w:t>
      </w:r>
    </w:p>
    <w:p w:rsidR="00A3032C" w:rsidRDefault="00C03818">
      <w:pPr>
        <w:pStyle w:val="ab"/>
        <w:widowControl/>
        <w:numPr>
          <w:ilvl w:val="0"/>
          <w:numId w:val="15"/>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A3032C" w:rsidRDefault="00C03818">
      <w:pPr>
        <w:pStyle w:val="ab"/>
        <w:widowControl/>
        <w:numPr>
          <w:ilvl w:val="0"/>
          <w:numId w:val="15"/>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除委托人、资产评估委托合同中约定的其他资产评估</w:t>
      </w:r>
      <w:r>
        <w:rPr>
          <w:rFonts w:ascii="宋体" w:hAnsi="宋体" w:hint="eastAsia"/>
          <w:sz w:val="24"/>
          <w:szCs w:val="24"/>
        </w:rPr>
        <w:t>报告使用人和法律、行政法规规定的资产评估报告使用人之外，其他任何机构和个人不能成为资产评估报告的使用人；</w:t>
      </w:r>
    </w:p>
    <w:p w:rsidR="00A3032C" w:rsidRDefault="00C03818">
      <w:pPr>
        <w:pStyle w:val="ab"/>
        <w:widowControl/>
        <w:numPr>
          <w:ilvl w:val="0"/>
          <w:numId w:val="15"/>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A3032C" w:rsidRDefault="00C03818">
      <w:pPr>
        <w:pStyle w:val="ab"/>
        <w:widowControl/>
        <w:numPr>
          <w:ilvl w:val="0"/>
          <w:numId w:val="15"/>
        </w:numPr>
        <w:adjustRightInd w:val="0"/>
        <w:snapToGrid w:val="0"/>
        <w:spacing w:line="360" w:lineRule="auto"/>
        <w:ind w:left="0" w:firstLineChars="200" w:firstLine="480"/>
        <w:rPr>
          <w:rFonts w:ascii="宋体" w:hAnsi="宋体"/>
          <w:sz w:val="24"/>
          <w:szCs w:val="24"/>
        </w:rPr>
      </w:pPr>
      <w:proofErr w:type="gramStart"/>
      <w:r>
        <w:rPr>
          <w:rFonts w:ascii="宋体" w:hAnsi="宋体" w:hint="eastAsia"/>
          <w:sz w:val="24"/>
          <w:szCs w:val="24"/>
        </w:rPr>
        <w:t>本资产</w:t>
      </w:r>
      <w:proofErr w:type="gramEnd"/>
      <w:r>
        <w:rPr>
          <w:rFonts w:ascii="宋体" w:hAnsi="宋体" w:hint="eastAsia"/>
          <w:sz w:val="24"/>
          <w:szCs w:val="24"/>
        </w:rPr>
        <w:t>评估报告经承办该评估业务的资产评估师签名并加盖评估机构公章</w:t>
      </w:r>
      <w:bookmarkStart w:id="69" w:name="OLE_LINK42"/>
      <w:r>
        <w:rPr>
          <w:rFonts w:ascii="宋体" w:hAnsi="宋体" w:hint="eastAsia"/>
          <w:sz w:val="24"/>
          <w:szCs w:val="24"/>
        </w:rPr>
        <w:t>后方可正式使用</w:t>
      </w:r>
      <w:bookmarkEnd w:id="69"/>
      <w:r>
        <w:rPr>
          <w:rFonts w:ascii="宋体" w:hAnsi="宋体" w:hint="eastAsia"/>
          <w:sz w:val="24"/>
          <w:szCs w:val="24"/>
        </w:rPr>
        <w:t>；</w:t>
      </w:r>
    </w:p>
    <w:p w:rsidR="00A3032C" w:rsidRDefault="00C03818">
      <w:pPr>
        <w:pStyle w:val="ab"/>
        <w:widowControl/>
        <w:numPr>
          <w:ilvl w:val="0"/>
          <w:numId w:val="15"/>
        </w:numPr>
        <w:adjustRightInd w:val="0"/>
        <w:snapToGrid w:val="0"/>
        <w:spacing w:line="360" w:lineRule="auto"/>
        <w:ind w:left="0" w:firstLineChars="200" w:firstLine="480"/>
        <w:rPr>
          <w:rFonts w:ascii="宋体" w:hAnsi="宋体"/>
          <w:sz w:val="24"/>
          <w:szCs w:val="24"/>
        </w:rPr>
      </w:pPr>
      <w:proofErr w:type="gramStart"/>
      <w:r>
        <w:rPr>
          <w:rFonts w:ascii="宋体" w:hAnsi="宋体" w:hint="eastAsia"/>
          <w:sz w:val="24"/>
          <w:szCs w:val="24"/>
        </w:rPr>
        <w:lastRenderedPageBreak/>
        <w:t>本资产</w:t>
      </w:r>
      <w:proofErr w:type="gramEnd"/>
      <w:r>
        <w:rPr>
          <w:rFonts w:ascii="宋体" w:hAnsi="宋体" w:hint="eastAsia"/>
          <w:sz w:val="24"/>
          <w:szCs w:val="24"/>
        </w:rPr>
        <w:t>评估报告所揭示的评估结论仅对资产评估报告中描述的经济行为有效，评估结论使用有效期为自评估基准日起一年。</w:t>
      </w:r>
    </w:p>
    <w:p w:rsidR="00A3032C" w:rsidRDefault="00C03818">
      <w:pPr>
        <w:pStyle w:val="2"/>
        <w:ind w:firstLine="482"/>
        <w:rPr>
          <w:rFonts w:asciiTheme="minorEastAsia" w:eastAsiaTheme="minorEastAsia" w:hAnsiTheme="minorEastAsia"/>
          <w:b w:val="0"/>
          <w:bCs w:val="0"/>
          <w:szCs w:val="24"/>
        </w:rPr>
      </w:pPr>
      <w:r>
        <w:t>十三、</w:t>
      </w:r>
      <w:bookmarkStart w:id="70" w:name="三15"/>
      <w:r>
        <w:rPr>
          <w:rFonts w:hint="eastAsia"/>
        </w:rPr>
        <w:t>资产</w:t>
      </w:r>
      <w:r>
        <w:t>评估报告日</w:t>
      </w:r>
      <w:bookmarkEnd w:id="67"/>
      <w:bookmarkEnd w:id="68"/>
      <w:bookmarkEnd w:id="70"/>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本评估报告日为</w:t>
      </w:r>
      <w:r>
        <w:rPr>
          <w:rFonts w:asciiTheme="minorEastAsia" w:eastAsiaTheme="minorEastAsia" w:hAnsiTheme="minorEastAsia" w:hint="eastAsia"/>
          <w:sz w:val="24"/>
          <w:szCs w:val="24"/>
        </w:rPr>
        <w:t>2018</w:t>
      </w:r>
      <w:r>
        <w:rPr>
          <w:rFonts w:asciiTheme="minorEastAsia" w:eastAsiaTheme="minorEastAsia" w:hAnsiTheme="minor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24</w:t>
      </w:r>
      <w:r>
        <w:rPr>
          <w:rFonts w:asciiTheme="minorEastAsia" w:eastAsiaTheme="minorEastAsia" w:hAnsiTheme="minorEastAsia"/>
          <w:sz w:val="24"/>
          <w:szCs w:val="24"/>
        </w:rPr>
        <w:t>日。</w:t>
      </w:r>
      <w:r>
        <w:rPr>
          <w:rFonts w:asciiTheme="minorEastAsia" w:eastAsiaTheme="minorEastAsia" w:hAnsiTheme="minorEastAsia"/>
          <w:sz w:val="24"/>
          <w:szCs w:val="24"/>
        </w:rPr>
        <w:br w:type="page"/>
      </w:r>
    </w:p>
    <w:p w:rsidR="00A3032C" w:rsidRDefault="00A3032C">
      <w:pPr>
        <w:tabs>
          <w:tab w:val="left" w:pos="0"/>
        </w:tabs>
        <w:spacing w:line="360" w:lineRule="auto"/>
        <w:rPr>
          <w:rFonts w:asciiTheme="minorEastAsia" w:eastAsiaTheme="minorEastAsia" w:hAnsiTheme="minorEastAsia"/>
          <w:b/>
          <w:bCs/>
          <w:sz w:val="24"/>
          <w:szCs w:val="24"/>
        </w:rPr>
      </w:pPr>
    </w:p>
    <w:p w:rsidR="00A3032C" w:rsidRDefault="00C03818">
      <w:pPr>
        <w:pStyle w:val="2"/>
        <w:ind w:firstLine="482"/>
      </w:pPr>
      <w:bookmarkStart w:id="71" w:name="_Toc493752493"/>
      <w:r>
        <w:t>十四、</w:t>
      </w:r>
      <w:r>
        <w:rPr>
          <w:rFonts w:hint="eastAsia"/>
        </w:rPr>
        <w:t>资产评估专业人员签名和资产评估机构印章</w:t>
      </w:r>
      <w:bookmarkEnd w:id="71"/>
    </w:p>
    <w:p w:rsidR="00A3032C" w:rsidRDefault="00A3032C">
      <w:pPr>
        <w:tabs>
          <w:tab w:val="left" w:pos="0"/>
        </w:tabs>
        <w:spacing w:line="360" w:lineRule="auto"/>
        <w:rPr>
          <w:rFonts w:asciiTheme="minorEastAsia" w:eastAsiaTheme="minorEastAsia" w:hAnsiTheme="minorEastAsia"/>
          <w:sz w:val="24"/>
          <w:szCs w:val="24"/>
        </w:rPr>
      </w:pPr>
    </w:p>
    <w:p w:rsidR="00A3032C" w:rsidRDefault="00A3032C">
      <w:pPr>
        <w:tabs>
          <w:tab w:val="left" w:pos="0"/>
        </w:tabs>
        <w:spacing w:line="360" w:lineRule="auto"/>
        <w:rPr>
          <w:rFonts w:asciiTheme="minorEastAsia" w:eastAsiaTheme="minorEastAsia" w:hAnsiTheme="minorEastAsia"/>
          <w:sz w:val="24"/>
          <w:szCs w:val="24"/>
        </w:rPr>
      </w:pPr>
    </w:p>
    <w:p w:rsidR="00A3032C" w:rsidRDefault="00C03818">
      <w:pPr>
        <w:tabs>
          <w:tab w:val="left" w:pos="0"/>
        </w:tabs>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rPr>
        <w:t>评估机构法定代表人：</w:t>
      </w:r>
    </w:p>
    <w:p w:rsidR="00A3032C" w:rsidRDefault="00A3032C">
      <w:pPr>
        <w:tabs>
          <w:tab w:val="left" w:pos="0"/>
        </w:tabs>
        <w:spacing w:line="360" w:lineRule="auto"/>
        <w:ind w:firstLineChars="200" w:firstLine="480"/>
        <w:rPr>
          <w:rFonts w:asciiTheme="minorEastAsia" w:eastAsiaTheme="minorEastAsia" w:hAnsiTheme="minorEastAsia"/>
          <w:sz w:val="24"/>
          <w:szCs w:val="24"/>
        </w:rPr>
      </w:pPr>
    </w:p>
    <w:p w:rsidR="00A3032C" w:rsidRDefault="00A3032C">
      <w:pPr>
        <w:tabs>
          <w:tab w:val="left" w:pos="0"/>
        </w:tabs>
        <w:spacing w:line="360" w:lineRule="auto"/>
        <w:ind w:firstLineChars="200" w:firstLine="480"/>
        <w:rPr>
          <w:rFonts w:asciiTheme="minorEastAsia" w:eastAsiaTheme="minorEastAsia" w:hAnsiTheme="minorEastAsia"/>
          <w:sz w:val="24"/>
          <w:szCs w:val="24"/>
        </w:rPr>
      </w:pPr>
    </w:p>
    <w:p w:rsidR="00A3032C" w:rsidRDefault="00C03818">
      <w:pPr>
        <w:tabs>
          <w:tab w:val="left" w:pos="0"/>
        </w:tabs>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rPr>
        <w:t>资产评估师：</w:t>
      </w:r>
    </w:p>
    <w:p w:rsidR="00A3032C" w:rsidRDefault="00A3032C">
      <w:pPr>
        <w:tabs>
          <w:tab w:val="left" w:pos="0"/>
        </w:tabs>
        <w:spacing w:line="360" w:lineRule="auto"/>
        <w:ind w:firstLineChars="200" w:firstLine="480"/>
        <w:rPr>
          <w:rFonts w:asciiTheme="minorEastAsia" w:eastAsiaTheme="minorEastAsia" w:hAnsiTheme="minorEastAsia"/>
          <w:sz w:val="24"/>
          <w:szCs w:val="24"/>
        </w:rPr>
      </w:pPr>
    </w:p>
    <w:p w:rsidR="00A3032C" w:rsidRDefault="00A3032C">
      <w:pPr>
        <w:tabs>
          <w:tab w:val="left" w:pos="0"/>
        </w:tabs>
        <w:spacing w:line="360" w:lineRule="auto"/>
        <w:ind w:firstLineChars="200" w:firstLine="480"/>
        <w:rPr>
          <w:rFonts w:asciiTheme="minorEastAsia" w:eastAsiaTheme="minorEastAsia" w:hAnsiTheme="minorEastAsia"/>
          <w:sz w:val="24"/>
          <w:szCs w:val="24"/>
        </w:rPr>
      </w:pPr>
    </w:p>
    <w:p w:rsidR="00A3032C" w:rsidRDefault="00C03818">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资产评估师：</w:t>
      </w:r>
    </w:p>
    <w:p w:rsidR="00A3032C" w:rsidRDefault="00A3032C">
      <w:pPr>
        <w:tabs>
          <w:tab w:val="left" w:pos="0"/>
        </w:tabs>
        <w:spacing w:line="360" w:lineRule="auto"/>
        <w:rPr>
          <w:rFonts w:asciiTheme="minorEastAsia" w:eastAsiaTheme="minorEastAsia" w:hAnsiTheme="minorEastAsia"/>
          <w:sz w:val="24"/>
          <w:szCs w:val="24"/>
        </w:rPr>
      </w:pPr>
    </w:p>
    <w:p w:rsidR="00A3032C" w:rsidRDefault="00A3032C">
      <w:pPr>
        <w:tabs>
          <w:tab w:val="left" w:pos="0"/>
        </w:tabs>
        <w:spacing w:line="360" w:lineRule="auto"/>
        <w:rPr>
          <w:rFonts w:asciiTheme="minorEastAsia" w:eastAsiaTheme="minorEastAsia" w:hAnsiTheme="minorEastAsia"/>
          <w:sz w:val="24"/>
          <w:szCs w:val="24"/>
        </w:rPr>
      </w:pPr>
    </w:p>
    <w:p w:rsidR="00A3032C" w:rsidRDefault="00A3032C">
      <w:pPr>
        <w:tabs>
          <w:tab w:val="left" w:pos="0"/>
        </w:tabs>
        <w:spacing w:line="360" w:lineRule="auto"/>
        <w:rPr>
          <w:rFonts w:asciiTheme="minorEastAsia" w:eastAsiaTheme="minorEastAsia" w:hAnsiTheme="minorEastAsia"/>
          <w:sz w:val="24"/>
          <w:szCs w:val="24"/>
        </w:rPr>
      </w:pPr>
    </w:p>
    <w:p w:rsidR="00A3032C" w:rsidRDefault="00A3032C">
      <w:pPr>
        <w:tabs>
          <w:tab w:val="left" w:pos="0"/>
        </w:tabs>
        <w:spacing w:line="360" w:lineRule="auto"/>
        <w:rPr>
          <w:rFonts w:asciiTheme="minorEastAsia" w:eastAsiaTheme="minorEastAsia" w:hAnsiTheme="minorEastAsia"/>
          <w:sz w:val="24"/>
          <w:szCs w:val="24"/>
        </w:rPr>
      </w:pPr>
    </w:p>
    <w:p w:rsidR="00A3032C" w:rsidRDefault="00C03818">
      <w:pPr>
        <w:tabs>
          <w:tab w:val="left" w:pos="0"/>
        </w:tabs>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青岛振</w:t>
      </w:r>
      <w:proofErr w:type="gramStart"/>
      <w:r>
        <w:rPr>
          <w:rFonts w:asciiTheme="minorEastAsia" w:eastAsiaTheme="minorEastAsia" w:hAnsiTheme="minorEastAsia" w:hint="eastAsia"/>
          <w:sz w:val="24"/>
          <w:szCs w:val="24"/>
        </w:rPr>
        <w:t>青</w:t>
      </w:r>
      <w:r>
        <w:rPr>
          <w:rFonts w:asciiTheme="minorEastAsia" w:eastAsiaTheme="minorEastAsia" w:hAnsiTheme="minorEastAsia"/>
          <w:sz w:val="24"/>
          <w:szCs w:val="24"/>
        </w:rPr>
        <w:t>资产</w:t>
      </w:r>
      <w:proofErr w:type="gramEnd"/>
      <w:r>
        <w:rPr>
          <w:rFonts w:asciiTheme="minorEastAsia" w:eastAsiaTheme="minorEastAsia" w:hAnsiTheme="minorEastAsia"/>
          <w:sz w:val="24"/>
          <w:szCs w:val="24"/>
        </w:rPr>
        <w:t>评估有限责任公司</w:t>
      </w:r>
    </w:p>
    <w:p w:rsidR="00A3032C" w:rsidRDefault="00A3032C">
      <w:pPr>
        <w:tabs>
          <w:tab w:val="left" w:pos="0"/>
        </w:tabs>
        <w:spacing w:line="360" w:lineRule="auto"/>
        <w:ind w:right="480"/>
        <w:rPr>
          <w:rFonts w:asciiTheme="minorEastAsia" w:eastAsiaTheme="minorEastAsia" w:hAnsiTheme="minorEastAsia"/>
          <w:sz w:val="24"/>
          <w:szCs w:val="24"/>
        </w:rPr>
      </w:pPr>
    </w:p>
    <w:p w:rsidR="00A3032C" w:rsidRDefault="00C03818">
      <w:pPr>
        <w:tabs>
          <w:tab w:val="left" w:pos="0"/>
        </w:tabs>
        <w:spacing w:line="360" w:lineRule="auto"/>
        <w:ind w:right="480"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二〇一八</w:t>
      </w:r>
      <w:r>
        <w:rPr>
          <w:rFonts w:asciiTheme="minorEastAsia" w:eastAsiaTheme="minorEastAsia" w:hAnsiTheme="minorEastAsia"/>
          <w:sz w:val="24"/>
          <w:szCs w:val="24"/>
        </w:rPr>
        <w:t>年</w:t>
      </w:r>
      <w:r>
        <w:rPr>
          <w:rFonts w:asciiTheme="minorEastAsia" w:eastAsiaTheme="minorEastAsia" w:hAnsiTheme="minorEastAsia" w:hint="eastAsia"/>
          <w:sz w:val="24"/>
          <w:szCs w:val="24"/>
        </w:rPr>
        <w:t>七</w:t>
      </w:r>
      <w:r>
        <w:rPr>
          <w:rFonts w:asciiTheme="minorEastAsia" w:eastAsiaTheme="minorEastAsia" w:hAnsiTheme="minorEastAsia"/>
          <w:sz w:val="24"/>
          <w:szCs w:val="24"/>
        </w:rPr>
        <w:t>月</w:t>
      </w:r>
      <w:r>
        <w:rPr>
          <w:rFonts w:asciiTheme="minorEastAsia" w:eastAsiaTheme="minorEastAsia" w:hAnsiTheme="minorEastAsia" w:hint="eastAsia"/>
          <w:sz w:val="24"/>
          <w:szCs w:val="24"/>
        </w:rPr>
        <w:t>二十四</w:t>
      </w:r>
      <w:r>
        <w:rPr>
          <w:rFonts w:asciiTheme="minorEastAsia" w:eastAsiaTheme="minorEastAsia" w:hAnsiTheme="minorEastAsia"/>
          <w:sz w:val="24"/>
          <w:szCs w:val="24"/>
        </w:rPr>
        <w:t>日</w:t>
      </w:r>
    </w:p>
    <w:p w:rsidR="00A3032C" w:rsidRDefault="00C03818">
      <w:pPr>
        <w:tabs>
          <w:tab w:val="left" w:pos="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A3032C" w:rsidRDefault="00C03818">
      <w:pPr>
        <w:pStyle w:val="1"/>
        <w:spacing w:before="100" w:beforeAutospacing="1" w:after="0" w:line="360" w:lineRule="auto"/>
        <w:jc w:val="center"/>
        <w:rPr>
          <w:sz w:val="32"/>
          <w:szCs w:val="32"/>
        </w:rPr>
      </w:pPr>
      <w:bookmarkStart w:id="72" w:name="_Toc493752494"/>
      <w:bookmarkStart w:id="73" w:name="四"/>
      <w:bookmarkStart w:id="74" w:name="_Toc334186100"/>
      <w:r>
        <w:rPr>
          <w:sz w:val="32"/>
          <w:szCs w:val="32"/>
        </w:rPr>
        <w:lastRenderedPageBreak/>
        <w:t>附件</w:t>
      </w:r>
      <w:bookmarkEnd w:id="72"/>
      <w:bookmarkEnd w:id="73"/>
      <w:bookmarkEnd w:id="74"/>
    </w:p>
    <w:p w:rsidR="00A3032C" w:rsidRDefault="00C03818">
      <w:pPr>
        <w:tabs>
          <w:tab w:val="left" w:pos="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以下附件资料除特别说明外均为复印件</w:t>
      </w:r>
    </w:p>
    <w:p w:rsidR="00A3032C" w:rsidRDefault="00C03818">
      <w:pPr>
        <w:widowControl/>
        <w:numPr>
          <w:ilvl w:val="0"/>
          <w:numId w:val="16"/>
        </w:numPr>
        <w:adjustRightInd w:val="0"/>
        <w:snapToGrid w:val="0"/>
        <w:spacing w:before="100" w:beforeAutospacing="1" w:line="360" w:lineRule="auto"/>
        <w:ind w:left="0" w:firstLineChars="200" w:firstLine="480"/>
        <w:rPr>
          <w:rFonts w:ascii="宋体" w:hAnsi="宋体"/>
          <w:sz w:val="24"/>
          <w:szCs w:val="24"/>
        </w:rPr>
      </w:pPr>
      <w:r>
        <w:rPr>
          <w:rFonts w:asciiTheme="minorEastAsia" w:eastAsiaTheme="minorEastAsia" w:hAnsiTheme="minorEastAsia" w:hint="eastAsia"/>
          <w:sz w:val="24"/>
          <w:szCs w:val="24"/>
        </w:rPr>
        <w:t>青岛海事法院《鉴定委托函》（（</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）青海法技鉴字第</w:t>
      </w:r>
      <w:r>
        <w:rPr>
          <w:rFonts w:asciiTheme="minorEastAsia" w:eastAsiaTheme="minorEastAsia" w:hAnsiTheme="minorEastAsia" w:hint="eastAsia"/>
          <w:sz w:val="24"/>
          <w:szCs w:val="24"/>
        </w:rPr>
        <w:t>60</w:t>
      </w:r>
      <w:r>
        <w:rPr>
          <w:rFonts w:asciiTheme="minorEastAsia" w:eastAsiaTheme="minorEastAsia" w:hAnsiTheme="minorEastAsia" w:hint="eastAsia"/>
          <w:sz w:val="24"/>
          <w:szCs w:val="24"/>
        </w:rPr>
        <w:t>号）</w:t>
      </w:r>
      <w:r>
        <w:rPr>
          <w:rFonts w:ascii="宋体" w:hAnsi="宋体" w:hint="eastAsia"/>
          <w:sz w:val="24"/>
          <w:szCs w:val="24"/>
        </w:rPr>
        <w:t>；</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被评估单位财务报表；</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被评估单位营业执照；</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被评估单位</w:t>
      </w:r>
      <w:r>
        <w:rPr>
          <w:rFonts w:ascii="宋体" w:hAnsi="宋体" w:hint="eastAsia"/>
          <w:sz w:val="24"/>
          <w:szCs w:val="24"/>
        </w:rPr>
        <w:t>承诺函；</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签名资产评估师的承诺函；</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山东省财政厅资产评估备案公告</w:t>
      </w:r>
      <w:r>
        <w:rPr>
          <w:rFonts w:ascii="宋体" w:hAnsi="宋体" w:hint="eastAsia"/>
          <w:sz w:val="24"/>
          <w:szCs w:val="24"/>
        </w:rPr>
        <w:t>；</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青岛振</w:t>
      </w:r>
      <w:proofErr w:type="gramStart"/>
      <w:r>
        <w:rPr>
          <w:rFonts w:ascii="宋体" w:hAnsi="宋体" w:hint="eastAsia"/>
          <w:sz w:val="24"/>
          <w:szCs w:val="24"/>
        </w:rPr>
        <w:t>青资产</w:t>
      </w:r>
      <w:proofErr w:type="gramEnd"/>
      <w:r>
        <w:rPr>
          <w:rFonts w:ascii="宋体" w:hAnsi="宋体" w:hint="eastAsia"/>
          <w:sz w:val="24"/>
          <w:szCs w:val="24"/>
        </w:rPr>
        <w:t>评估有限责任公司营业执照副本复印件；</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资产评估师职业资格证书登记卡复印件；</w:t>
      </w:r>
    </w:p>
    <w:p w:rsidR="00A3032C" w:rsidRDefault="00C03818">
      <w:pPr>
        <w:widowControl/>
        <w:numPr>
          <w:ilvl w:val="0"/>
          <w:numId w:val="16"/>
        </w:numPr>
        <w:snapToGrid w:val="0"/>
        <w:spacing w:line="360" w:lineRule="auto"/>
        <w:ind w:left="0" w:firstLineChars="200" w:firstLine="480"/>
        <w:rPr>
          <w:rFonts w:ascii="宋体" w:hAnsi="宋体"/>
          <w:sz w:val="24"/>
          <w:szCs w:val="24"/>
        </w:rPr>
      </w:pPr>
      <w:r>
        <w:rPr>
          <w:rFonts w:ascii="宋体" w:hAnsi="宋体" w:hint="eastAsia"/>
          <w:sz w:val="24"/>
          <w:szCs w:val="24"/>
        </w:rPr>
        <w:t>资产评估明细表</w:t>
      </w:r>
      <w:r>
        <w:rPr>
          <w:rFonts w:ascii="宋体" w:hAnsi="宋体" w:hint="eastAsia"/>
          <w:sz w:val="24"/>
          <w:szCs w:val="24"/>
        </w:rPr>
        <w:t>。</w:t>
      </w:r>
    </w:p>
    <w:p w:rsidR="00A3032C" w:rsidRDefault="00A3032C">
      <w:pPr>
        <w:tabs>
          <w:tab w:val="left" w:pos="0"/>
        </w:tabs>
        <w:spacing w:line="360" w:lineRule="auto"/>
        <w:ind w:firstLineChars="200" w:firstLine="480"/>
        <w:rPr>
          <w:rFonts w:asciiTheme="minorEastAsia" w:eastAsiaTheme="minorEastAsia" w:hAnsiTheme="minorEastAsia"/>
          <w:sz w:val="24"/>
          <w:szCs w:val="24"/>
        </w:rPr>
      </w:pPr>
    </w:p>
    <w:p w:rsidR="00A3032C" w:rsidRDefault="00A3032C">
      <w:pPr>
        <w:rPr>
          <w:rFonts w:asciiTheme="minorEastAsia" w:eastAsiaTheme="minorEastAsia" w:hAnsiTheme="minorEastAsia"/>
          <w:sz w:val="24"/>
          <w:szCs w:val="24"/>
        </w:rPr>
      </w:pPr>
    </w:p>
    <w:sectPr w:rsidR="00A30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03818">
      <w:r>
        <w:separator/>
      </w:r>
    </w:p>
  </w:endnote>
  <w:endnote w:type="continuationSeparator" w:id="0">
    <w:p w:rsidR="00000000" w:rsidRDefault="00C0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2C" w:rsidRDefault="00C03818">
    <w:pPr>
      <w:pStyle w:val="af5"/>
      <w:pBdr>
        <w:top w:val="single" w:sz="4" w:space="1" w:color="auto"/>
      </w:pBdr>
      <w:rPr>
        <w:sz w:val="21"/>
        <w:szCs w:val="21"/>
      </w:rPr>
    </w:pPr>
    <w:r>
      <w:rPr>
        <w:rFonts w:hint="eastAsia"/>
        <w:sz w:val="21"/>
        <w:szCs w:val="21"/>
      </w:rPr>
      <w:t>青岛振</w:t>
    </w:r>
    <w:proofErr w:type="gramStart"/>
    <w:r>
      <w:rPr>
        <w:rFonts w:hint="eastAsia"/>
        <w:sz w:val="21"/>
        <w:szCs w:val="21"/>
      </w:rPr>
      <w:t>青资产</w:t>
    </w:r>
    <w:proofErr w:type="gramEnd"/>
    <w:r>
      <w:rPr>
        <w:rFonts w:hint="eastAsia"/>
        <w:sz w:val="21"/>
        <w:szCs w:val="21"/>
      </w:rPr>
      <w:t>评估有限责任公司</w:t>
    </w:r>
    <w:r>
      <w:rPr>
        <w:rFonts w:hint="eastAsia"/>
        <w:sz w:val="21"/>
        <w:szCs w:val="21"/>
      </w:rPr>
      <w:t xml:space="preserve">   </w:t>
    </w:r>
    <w:r>
      <w:rPr>
        <w:rFonts w:hint="eastAsia"/>
        <w:sz w:val="21"/>
        <w:szCs w:val="21"/>
      </w:rPr>
      <w:t>地址：青岛市市南区香港中路</w:t>
    </w:r>
    <w:r>
      <w:rPr>
        <w:rFonts w:hint="eastAsia"/>
        <w:sz w:val="21"/>
        <w:szCs w:val="21"/>
      </w:rPr>
      <w:t>169</w:t>
    </w:r>
    <w:r>
      <w:rPr>
        <w:rFonts w:hint="eastAsia"/>
        <w:sz w:val="21"/>
        <w:szCs w:val="21"/>
      </w:rPr>
      <w:t>号天虹大厦</w:t>
    </w:r>
    <w:r>
      <w:rPr>
        <w:rFonts w:hint="eastAsia"/>
        <w:sz w:val="21"/>
        <w:szCs w:val="21"/>
      </w:rPr>
      <w:t>6</w:t>
    </w:r>
    <w:r>
      <w:rPr>
        <w:rFonts w:hint="eastAsia"/>
        <w:sz w:val="21"/>
        <w:szCs w:val="21"/>
      </w:rPr>
      <w:t>层</w:t>
    </w:r>
  </w:p>
  <w:p w:rsidR="00A3032C" w:rsidRDefault="00C03818">
    <w:pPr>
      <w:pStyle w:val="af5"/>
      <w:pBdr>
        <w:top w:val="single" w:sz="4" w:space="1" w:color="auto"/>
      </w:pBdr>
      <w:rPr>
        <w:sz w:val="21"/>
        <w:szCs w:val="21"/>
      </w:rPr>
    </w:pPr>
    <w:r>
      <w:rPr>
        <w:rFonts w:hint="eastAsia"/>
        <w:sz w:val="21"/>
        <w:szCs w:val="21"/>
      </w:rPr>
      <w:t>电话：</w:t>
    </w:r>
    <w:r>
      <w:rPr>
        <w:rFonts w:hint="eastAsia"/>
        <w:sz w:val="21"/>
        <w:szCs w:val="21"/>
      </w:rPr>
      <w:t xml:space="preserve">0532-85923659   </w:t>
    </w:r>
    <w:r>
      <w:rPr>
        <w:rFonts w:hint="eastAsia"/>
        <w:sz w:val="21"/>
        <w:szCs w:val="21"/>
      </w:rPr>
      <w:t>传真：</w:t>
    </w:r>
    <w:r>
      <w:rPr>
        <w:rFonts w:hint="eastAsia"/>
        <w:sz w:val="21"/>
        <w:szCs w:val="21"/>
      </w:rPr>
      <w:t xml:space="preserve">0532-85921376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2C" w:rsidRDefault="00C03818">
    <w:pPr>
      <w:pStyle w:val="af5"/>
      <w:pBdr>
        <w:top w:val="single" w:sz="4" w:space="1" w:color="auto"/>
      </w:pBdr>
    </w:pPr>
    <w:r>
      <w:rPr>
        <w:rFonts w:ascii="宋体" w:hAnsi="宋体" w:hint="eastAsia"/>
        <w:sz w:val="21"/>
        <w:szCs w:val="21"/>
      </w:rPr>
      <w:t>青岛振</w:t>
    </w:r>
    <w:proofErr w:type="gramStart"/>
    <w:r>
      <w:rPr>
        <w:rFonts w:ascii="宋体" w:hAnsi="宋体" w:hint="eastAsia"/>
        <w:sz w:val="21"/>
        <w:szCs w:val="21"/>
      </w:rPr>
      <w:t>青资产</w:t>
    </w:r>
    <w:proofErr w:type="gramEnd"/>
    <w:r>
      <w:rPr>
        <w:rFonts w:ascii="宋体" w:hAnsi="宋体" w:hint="eastAsia"/>
        <w:sz w:val="21"/>
        <w:szCs w:val="21"/>
      </w:rPr>
      <w:t>评估有限责任公司</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hint="eastAsia"/>
        <w:sz w:val="21"/>
        <w:szCs w:val="21"/>
      </w:rPr>
      <w:t xml:space="preserve">  </w:t>
    </w: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1</w:t>
    </w:r>
    <w:r>
      <w:rPr>
        <w:rFonts w:ascii="宋体" w:hAnsi="宋体"/>
        <w:sz w:val="21"/>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2C" w:rsidRDefault="00C03818">
    <w:pPr>
      <w:pStyle w:val="af5"/>
      <w:pBdr>
        <w:top w:val="single" w:sz="4" w:space="1" w:color="auto"/>
      </w:pBdr>
      <w:rPr>
        <w:sz w:val="21"/>
        <w:szCs w:val="21"/>
      </w:rPr>
    </w:pPr>
    <w:r>
      <w:rPr>
        <w:rFonts w:hint="eastAsia"/>
        <w:sz w:val="21"/>
        <w:szCs w:val="21"/>
      </w:rPr>
      <w:t>青岛振</w:t>
    </w:r>
    <w:proofErr w:type="gramStart"/>
    <w:r>
      <w:rPr>
        <w:rFonts w:hint="eastAsia"/>
        <w:sz w:val="21"/>
        <w:szCs w:val="21"/>
      </w:rPr>
      <w:t>青资产</w:t>
    </w:r>
    <w:proofErr w:type="gramEnd"/>
    <w:r>
      <w:rPr>
        <w:rFonts w:hint="eastAsia"/>
        <w:sz w:val="21"/>
        <w:szCs w:val="21"/>
      </w:rPr>
      <w:t>评估有限责任公司</w:t>
    </w:r>
    <w:r>
      <w:rPr>
        <w:rFonts w:hint="eastAsia"/>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sz w:val="21"/>
        <w:szCs w:val="21"/>
        <w:lang w:val="zh-CN"/>
      </w:rPr>
      <w:t>6</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03818">
      <w:r>
        <w:separator/>
      </w:r>
    </w:p>
  </w:footnote>
  <w:footnote w:type="continuationSeparator" w:id="0">
    <w:p w:rsidR="00000000" w:rsidRDefault="00C0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2C" w:rsidRDefault="00A3032C">
    <w:pPr>
      <w:pStyle w:val="af7"/>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2C" w:rsidRDefault="00C03818">
    <w:pPr>
      <w:pStyle w:val="af7"/>
      <w:tabs>
        <w:tab w:val="clear" w:pos="4153"/>
        <w:tab w:val="clear" w:pos="8306"/>
        <w:tab w:val="left" w:pos="5115"/>
      </w:tabs>
      <w:jc w:val="left"/>
      <w:rPr>
        <w:sz w:val="21"/>
        <w:szCs w:val="21"/>
      </w:rPr>
    </w:pPr>
    <w:r>
      <w:rPr>
        <w:noProof/>
      </w:rPr>
      <w:drawing>
        <wp:inline distT="0" distB="0" distL="0" distR="0">
          <wp:extent cx="638175" cy="497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2841" cy="501831"/>
                  </a:xfrm>
                  <a:prstGeom prst="rect">
                    <a:avLst/>
                  </a:prstGeom>
                </pic:spPr>
              </pic:pic>
            </a:graphicData>
          </a:graphic>
        </wp:inline>
      </w:drawing>
    </w:r>
    <w:r>
      <w:rPr>
        <w:rFonts w:hint="eastAsia"/>
      </w:rPr>
      <w:t xml:space="preserve">          </w:t>
    </w:r>
    <w:r>
      <w:rPr>
        <w:rFonts w:hint="eastAsia"/>
      </w:rPr>
      <w:t xml:space="preserve">                                    </w:t>
    </w:r>
    <w:r>
      <w:rPr>
        <w:rFonts w:hint="eastAsia"/>
        <w:sz w:val="21"/>
        <w:szCs w:val="21"/>
      </w:rPr>
      <w:t>丰慧企业有限公司</w:t>
    </w:r>
    <w:r>
      <w:rPr>
        <w:sz w:val="21"/>
        <w:szCs w:val="21"/>
      </w:rPr>
      <w:t>项目评估报告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multilevel"/>
    <w:tmpl w:val="0000001E"/>
    <w:lvl w:ilvl="0">
      <w:start w:val="1"/>
      <w:numFmt w:val="chineseCountingThousand"/>
      <w:suff w:val="nothing"/>
      <w:lvlText w:val="附件%1、"/>
      <w:lvlJc w:val="left"/>
      <w:pPr>
        <w:ind w:left="1838" w:hanging="420"/>
      </w:pPr>
      <w:rPr>
        <w:rFonts w:hint="eastAsia"/>
        <w:color w:val="auto"/>
      </w:rPr>
    </w:lvl>
    <w:lvl w:ilvl="1">
      <w:start w:val="1"/>
      <w:numFmt w:val="lowerLetter"/>
      <w:lvlText w:val="%2)"/>
      <w:lvlJc w:val="left"/>
      <w:pPr>
        <w:ind w:left="1379" w:hanging="420"/>
      </w:pPr>
      <w:rPr>
        <w:rFonts w:hint="eastAsia"/>
      </w:rPr>
    </w:lvl>
    <w:lvl w:ilvl="2">
      <w:start w:val="1"/>
      <w:numFmt w:val="lowerRoman"/>
      <w:lvlText w:val="%3."/>
      <w:lvlJc w:val="right"/>
      <w:pPr>
        <w:ind w:left="1799" w:hanging="420"/>
      </w:pPr>
      <w:rPr>
        <w:rFonts w:hint="eastAsia"/>
      </w:rPr>
    </w:lvl>
    <w:lvl w:ilvl="3">
      <w:start w:val="1"/>
      <w:numFmt w:val="decimal"/>
      <w:lvlText w:val="%4."/>
      <w:lvlJc w:val="left"/>
      <w:pPr>
        <w:ind w:left="2219" w:hanging="420"/>
      </w:pPr>
      <w:rPr>
        <w:rFonts w:hint="eastAsia"/>
      </w:rPr>
    </w:lvl>
    <w:lvl w:ilvl="4">
      <w:start w:val="1"/>
      <w:numFmt w:val="lowerLetter"/>
      <w:lvlText w:val="%5)"/>
      <w:lvlJc w:val="left"/>
      <w:pPr>
        <w:ind w:left="2639" w:hanging="420"/>
      </w:pPr>
      <w:rPr>
        <w:rFonts w:hint="eastAsia"/>
      </w:rPr>
    </w:lvl>
    <w:lvl w:ilvl="5">
      <w:start w:val="1"/>
      <w:numFmt w:val="lowerRoman"/>
      <w:lvlText w:val="%6."/>
      <w:lvlJc w:val="right"/>
      <w:pPr>
        <w:ind w:left="3059" w:hanging="420"/>
      </w:pPr>
      <w:rPr>
        <w:rFonts w:hint="eastAsia"/>
      </w:rPr>
    </w:lvl>
    <w:lvl w:ilvl="6">
      <w:start w:val="1"/>
      <w:numFmt w:val="decimal"/>
      <w:lvlText w:val="%7."/>
      <w:lvlJc w:val="left"/>
      <w:pPr>
        <w:ind w:left="3479" w:hanging="420"/>
      </w:pPr>
      <w:rPr>
        <w:rFonts w:hint="eastAsia"/>
      </w:rPr>
    </w:lvl>
    <w:lvl w:ilvl="7">
      <w:start w:val="1"/>
      <w:numFmt w:val="lowerLetter"/>
      <w:lvlText w:val="%8)"/>
      <w:lvlJc w:val="left"/>
      <w:pPr>
        <w:ind w:left="3899" w:hanging="420"/>
      </w:pPr>
      <w:rPr>
        <w:rFonts w:hint="eastAsia"/>
      </w:rPr>
    </w:lvl>
    <w:lvl w:ilvl="8">
      <w:start w:val="1"/>
      <w:numFmt w:val="lowerRoman"/>
      <w:lvlText w:val="%9."/>
      <w:lvlJc w:val="right"/>
      <w:pPr>
        <w:ind w:left="4319" w:hanging="420"/>
      </w:pPr>
      <w:rPr>
        <w:rFonts w:hint="eastAsia"/>
      </w:rPr>
    </w:lvl>
  </w:abstractNum>
  <w:abstractNum w:abstractNumId="1" w15:restartNumberingAfterBreak="0">
    <w:nsid w:val="00000020"/>
    <w:multiLevelType w:val="multilevel"/>
    <w:tmpl w:val="00000020"/>
    <w:lvl w:ilvl="0">
      <w:start w:val="1"/>
      <w:numFmt w:val="chineseCountingThousand"/>
      <w:lvlText w:val="(%1)"/>
      <w:lvlJc w:val="left"/>
      <w:pPr>
        <w:tabs>
          <w:tab w:val="left"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2" w15:restartNumberingAfterBreak="0">
    <w:nsid w:val="05780005"/>
    <w:multiLevelType w:val="multilevel"/>
    <w:tmpl w:val="05780005"/>
    <w:lvl w:ilvl="0">
      <w:start w:val="1"/>
      <w:numFmt w:val="decimal"/>
      <w:lvlText w:val="(%1)"/>
      <w:lvlJc w:val="left"/>
      <w:pPr>
        <w:ind w:left="562"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15:restartNumberingAfterBreak="0">
    <w:nsid w:val="06D71AC8"/>
    <w:multiLevelType w:val="multilevel"/>
    <w:tmpl w:val="06D71AC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B671FE"/>
    <w:multiLevelType w:val="multilevel"/>
    <w:tmpl w:val="13B671F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4F12144"/>
    <w:multiLevelType w:val="multilevel"/>
    <w:tmpl w:val="14F12144"/>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1C50890"/>
    <w:multiLevelType w:val="multilevel"/>
    <w:tmpl w:val="31C50890"/>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7" w15:restartNumberingAfterBreak="0">
    <w:nsid w:val="381A7839"/>
    <w:multiLevelType w:val="multilevel"/>
    <w:tmpl w:val="381A7839"/>
    <w:lvl w:ilvl="0">
      <w:start w:val="1"/>
      <w:numFmt w:val="decimal"/>
      <w:lvlText w:val="(%1)"/>
      <w:lvlJc w:val="left"/>
      <w:pPr>
        <w:ind w:left="976" w:hanging="420"/>
      </w:pPr>
      <w:rPr>
        <w:rFonts w:hint="eastAsia"/>
      </w:rPr>
    </w:lvl>
    <w:lvl w:ilvl="1">
      <w:start w:val="1"/>
      <w:numFmt w:val="lowerLetter"/>
      <w:lvlText w:val="%2)"/>
      <w:lvlJc w:val="left"/>
      <w:pPr>
        <w:ind w:left="1396"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abstractNum w:abstractNumId="8" w15:restartNumberingAfterBreak="0">
    <w:nsid w:val="432C2838"/>
    <w:multiLevelType w:val="multilevel"/>
    <w:tmpl w:val="432C2838"/>
    <w:lvl w:ilvl="0">
      <w:start w:val="1"/>
      <w:numFmt w:val="decimal"/>
      <w:lvlText w:val="%1."/>
      <w:lvlJc w:val="left"/>
      <w:pPr>
        <w:ind w:left="3015" w:hanging="855"/>
      </w:pPr>
      <w:rPr>
        <w:rFonts w:hint="default"/>
        <w:b w:val="0"/>
      </w:rPr>
    </w:lvl>
    <w:lvl w:ilvl="1">
      <w:start w:val="1"/>
      <w:numFmt w:val="decimal"/>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9" w15:restartNumberingAfterBreak="0">
    <w:nsid w:val="4502195A"/>
    <w:multiLevelType w:val="multilevel"/>
    <w:tmpl w:val="4502195A"/>
    <w:lvl w:ilvl="0">
      <w:start w:val="1"/>
      <w:numFmt w:val="chineseCountingThousand"/>
      <w:lvlText w:val="(%1)"/>
      <w:lvlJc w:val="left"/>
      <w:pPr>
        <w:tabs>
          <w:tab w:val="left"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10" w15:restartNumberingAfterBreak="0">
    <w:nsid w:val="5C26BAD8"/>
    <w:multiLevelType w:val="singleLevel"/>
    <w:tmpl w:val="5C26BAD8"/>
    <w:lvl w:ilvl="0">
      <w:start w:val="4"/>
      <w:numFmt w:val="chineseCounting"/>
      <w:suff w:val="nothing"/>
      <w:lvlText w:val="（%1）"/>
      <w:lvlJc w:val="left"/>
      <w:rPr>
        <w:rFonts w:hint="eastAsia"/>
      </w:rPr>
    </w:lvl>
  </w:abstractNum>
  <w:abstractNum w:abstractNumId="11" w15:restartNumberingAfterBreak="0">
    <w:nsid w:val="729D4114"/>
    <w:multiLevelType w:val="multilevel"/>
    <w:tmpl w:val="729D4114"/>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7565012C"/>
    <w:multiLevelType w:val="multilevel"/>
    <w:tmpl w:val="7565012C"/>
    <w:lvl w:ilvl="0">
      <w:start w:val="1"/>
      <w:numFmt w:val="chineseCountingThousand"/>
      <w:lvlText w:val="(%1)"/>
      <w:lvlJc w:val="left"/>
      <w:pPr>
        <w:tabs>
          <w:tab w:val="left"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13" w15:restartNumberingAfterBreak="0">
    <w:nsid w:val="7AE1574F"/>
    <w:multiLevelType w:val="multilevel"/>
    <w:tmpl w:val="7AE1574F"/>
    <w:lvl w:ilvl="0">
      <w:start w:val="1"/>
      <w:numFmt w:val="decimal"/>
      <w:lvlText w:val="%1."/>
      <w:lvlJc w:val="left"/>
      <w:pPr>
        <w:ind w:left="1287" w:hanging="720"/>
      </w:pPr>
      <w:rPr>
        <w:rFonts w:hint="default"/>
      </w:rPr>
    </w:lvl>
    <w:lvl w:ilvl="1">
      <w:start w:val="1"/>
      <w:numFmt w:val="lowerLetter"/>
      <w:lvlText w:val="%2)"/>
      <w:lvlJc w:val="left"/>
      <w:pPr>
        <w:ind w:left="1396"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abstractNum w:abstractNumId="14" w15:restartNumberingAfterBreak="0">
    <w:nsid w:val="7DFE4E48"/>
    <w:multiLevelType w:val="multilevel"/>
    <w:tmpl w:val="7DFE4E48"/>
    <w:lvl w:ilvl="0">
      <w:start w:val="1"/>
      <w:numFmt w:val="decimal"/>
      <w:lvlText w:val="%1."/>
      <w:lvlJc w:val="left"/>
      <w:pPr>
        <w:ind w:left="1008" w:hanging="420"/>
      </w:pPr>
      <w:rPr>
        <w:rFonts w:hint="default"/>
      </w:rPr>
    </w:lvl>
    <w:lvl w:ilvl="1">
      <w:start w:val="1"/>
      <w:numFmt w:val="decimal"/>
      <w:lvlText w:val="%2、"/>
      <w:lvlJc w:val="left"/>
      <w:pPr>
        <w:ind w:left="1728" w:hanging="720"/>
      </w:pPr>
      <w:rPr>
        <w:rFonts w:ascii="仿宋_GB2312" w:eastAsia="仿宋_GB2312" w:hint="default"/>
      </w:rPr>
    </w:lvl>
    <w:lvl w:ilvl="2">
      <w:start w:val="1"/>
      <w:numFmt w:val="lowerRoman"/>
      <w:lvlText w:val="%3."/>
      <w:lvlJc w:val="right"/>
      <w:pPr>
        <w:ind w:left="1848" w:hanging="420"/>
      </w:pPr>
    </w:lvl>
    <w:lvl w:ilvl="3">
      <w:start w:val="1"/>
      <w:numFmt w:val="decimal"/>
      <w:lvlText w:val="%4."/>
      <w:lvlJc w:val="left"/>
      <w:pPr>
        <w:ind w:left="2268" w:hanging="420"/>
      </w:pPr>
    </w:lvl>
    <w:lvl w:ilvl="4">
      <w:start w:val="1"/>
      <w:numFmt w:val="lowerLetter"/>
      <w:lvlText w:val="%5)"/>
      <w:lvlJc w:val="left"/>
      <w:pPr>
        <w:ind w:left="2688" w:hanging="420"/>
      </w:pPr>
    </w:lvl>
    <w:lvl w:ilvl="5">
      <w:start w:val="1"/>
      <w:numFmt w:val="lowerRoman"/>
      <w:lvlText w:val="%6."/>
      <w:lvlJc w:val="right"/>
      <w:pPr>
        <w:ind w:left="3108" w:hanging="420"/>
      </w:pPr>
    </w:lvl>
    <w:lvl w:ilvl="6">
      <w:start w:val="1"/>
      <w:numFmt w:val="decimal"/>
      <w:lvlText w:val="%7."/>
      <w:lvlJc w:val="left"/>
      <w:pPr>
        <w:ind w:left="3528" w:hanging="420"/>
      </w:pPr>
    </w:lvl>
    <w:lvl w:ilvl="7">
      <w:start w:val="1"/>
      <w:numFmt w:val="lowerLetter"/>
      <w:lvlText w:val="%8)"/>
      <w:lvlJc w:val="left"/>
      <w:pPr>
        <w:ind w:left="3948" w:hanging="420"/>
      </w:pPr>
    </w:lvl>
    <w:lvl w:ilvl="8">
      <w:start w:val="1"/>
      <w:numFmt w:val="lowerRoman"/>
      <w:lvlText w:val="%9."/>
      <w:lvlJc w:val="right"/>
      <w:pPr>
        <w:ind w:left="4368" w:hanging="420"/>
      </w:pPr>
    </w:lvl>
  </w:abstractNum>
  <w:abstractNum w:abstractNumId="15" w15:restartNumberingAfterBreak="0">
    <w:nsid w:val="7F4F4918"/>
    <w:multiLevelType w:val="multilevel"/>
    <w:tmpl w:val="7F4F491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8"/>
  </w:num>
  <w:num w:numId="3">
    <w:abstractNumId w:val="15"/>
  </w:num>
  <w:num w:numId="4">
    <w:abstractNumId w:val="11"/>
  </w:num>
  <w:num w:numId="5">
    <w:abstractNumId w:val="4"/>
  </w:num>
  <w:num w:numId="6">
    <w:abstractNumId w:val="5"/>
  </w:num>
  <w:num w:numId="7">
    <w:abstractNumId w:val="9"/>
  </w:num>
  <w:num w:numId="8">
    <w:abstractNumId w:val="13"/>
  </w:num>
  <w:num w:numId="9">
    <w:abstractNumId w:val="2"/>
  </w:num>
  <w:num w:numId="10">
    <w:abstractNumId w:val="7"/>
  </w:num>
  <w:num w:numId="11">
    <w:abstractNumId w:val="12"/>
  </w:num>
  <w:num w:numId="12">
    <w:abstractNumId w:val="1"/>
  </w:num>
  <w:num w:numId="13">
    <w:abstractNumId w:val="14"/>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743A"/>
    <w:rsid w:val="00003FB0"/>
    <w:rsid w:val="00012782"/>
    <w:rsid w:val="00020EA7"/>
    <w:rsid w:val="00026A3D"/>
    <w:rsid w:val="0002710B"/>
    <w:rsid w:val="00031506"/>
    <w:rsid w:val="00033D1C"/>
    <w:rsid w:val="00036DB4"/>
    <w:rsid w:val="0003794F"/>
    <w:rsid w:val="0004552B"/>
    <w:rsid w:val="00047F91"/>
    <w:rsid w:val="00053E28"/>
    <w:rsid w:val="0005700E"/>
    <w:rsid w:val="00061D56"/>
    <w:rsid w:val="0006322D"/>
    <w:rsid w:val="000674C0"/>
    <w:rsid w:val="000739D5"/>
    <w:rsid w:val="000775C7"/>
    <w:rsid w:val="00077D13"/>
    <w:rsid w:val="000803D1"/>
    <w:rsid w:val="000832BD"/>
    <w:rsid w:val="00084E93"/>
    <w:rsid w:val="000855A2"/>
    <w:rsid w:val="000918C8"/>
    <w:rsid w:val="00091B3C"/>
    <w:rsid w:val="00093B68"/>
    <w:rsid w:val="000A6C1C"/>
    <w:rsid w:val="000B0F19"/>
    <w:rsid w:val="000C74C5"/>
    <w:rsid w:val="000D1C46"/>
    <w:rsid w:val="000D69AC"/>
    <w:rsid w:val="000E670B"/>
    <w:rsid w:val="00104173"/>
    <w:rsid w:val="001160EA"/>
    <w:rsid w:val="00117687"/>
    <w:rsid w:val="00124FAE"/>
    <w:rsid w:val="00134AA8"/>
    <w:rsid w:val="00141924"/>
    <w:rsid w:val="00144B94"/>
    <w:rsid w:val="00145416"/>
    <w:rsid w:val="00145DB2"/>
    <w:rsid w:val="00162484"/>
    <w:rsid w:val="00162EFF"/>
    <w:rsid w:val="00181DF3"/>
    <w:rsid w:val="00193CEC"/>
    <w:rsid w:val="00193FA3"/>
    <w:rsid w:val="001955BA"/>
    <w:rsid w:val="001A2097"/>
    <w:rsid w:val="001A445C"/>
    <w:rsid w:val="001A6AAC"/>
    <w:rsid w:val="001B0EBF"/>
    <w:rsid w:val="001D50C6"/>
    <w:rsid w:val="001E1E7F"/>
    <w:rsid w:val="001F1DE9"/>
    <w:rsid w:val="00206687"/>
    <w:rsid w:val="002230C5"/>
    <w:rsid w:val="00223463"/>
    <w:rsid w:val="0023041A"/>
    <w:rsid w:val="002323C7"/>
    <w:rsid w:val="0023365D"/>
    <w:rsid w:val="00240D37"/>
    <w:rsid w:val="00241ED8"/>
    <w:rsid w:val="00246BFA"/>
    <w:rsid w:val="00250F21"/>
    <w:rsid w:val="002747F3"/>
    <w:rsid w:val="00274DA4"/>
    <w:rsid w:val="002948F9"/>
    <w:rsid w:val="00295554"/>
    <w:rsid w:val="002A02C0"/>
    <w:rsid w:val="002A6866"/>
    <w:rsid w:val="002B3437"/>
    <w:rsid w:val="002B572E"/>
    <w:rsid w:val="002B5B76"/>
    <w:rsid w:val="002B5E76"/>
    <w:rsid w:val="002B7F1D"/>
    <w:rsid w:val="002D0643"/>
    <w:rsid w:val="002D2B28"/>
    <w:rsid w:val="002E735E"/>
    <w:rsid w:val="002F48AF"/>
    <w:rsid w:val="003020DA"/>
    <w:rsid w:val="0030655A"/>
    <w:rsid w:val="0031092B"/>
    <w:rsid w:val="00325C66"/>
    <w:rsid w:val="00331237"/>
    <w:rsid w:val="00334997"/>
    <w:rsid w:val="003478DE"/>
    <w:rsid w:val="003502F1"/>
    <w:rsid w:val="00354782"/>
    <w:rsid w:val="00360DC2"/>
    <w:rsid w:val="00362C10"/>
    <w:rsid w:val="003641A1"/>
    <w:rsid w:val="0037234E"/>
    <w:rsid w:val="00377416"/>
    <w:rsid w:val="00385F61"/>
    <w:rsid w:val="003966BD"/>
    <w:rsid w:val="003A09B4"/>
    <w:rsid w:val="003D2011"/>
    <w:rsid w:val="003E05FD"/>
    <w:rsid w:val="003E18EE"/>
    <w:rsid w:val="003E26C1"/>
    <w:rsid w:val="003E4120"/>
    <w:rsid w:val="003E473E"/>
    <w:rsid w:val="003E49C4"/>
    <w:rsid w:val="003F629E"/>
    <w:rsid w:val="00411D7D"/>
    <w:rsid w:val="00420772"/>
    <w:rsid w:val="00440BFD"/>
    <w:rsid w:val="004515CB"/>
    <w:rsid w:val="00453714"/>
    <w:rsid w:val="004618E5"/>
    <w:rsid w:val="00466569"/>
    <w:rsid w:val="0048622C"/>
    <w:rsid w:val="004A567F"/>
    <w:rsid w:val="004B098F"/>
    <w:rsid w:val="004B453A"/>
    <w:rsid w:val="004B4AAD"/>
    <w:rsid w:val="004C0357"/>
    <w:rsid w:val="004C288B"/>
    <w:rsid w:val="004E0445"/>
    <w:rsid w:val="004F70DA"/>
    <w:rsid w:val="004F77F3"/>
    <w:rsid w:val="0050313E"/>
    <w:rsid w:val="00540BAB"/>
    <w:rsid w:val="005436A1"/>
    <w:rsid w:val="00545868"/>
    <w:rsid w:val="0056129F"/>
    <w:rsid w:val="00565E27"/>
    <w:rsid w:val="00566014"/>
    <w:rsid w:val="00570C13"/>
    <w:rsid w:val="00575F5F"/>
    <w:rsid w:val="00582EB1"/>
    <w:rsid w:val="005913A6"/>
    <w:rsid w:val="005A725E"/>
    <w:rsid w:val="005B1400"/>
    <w:rsid w:val="005B49B7"/>
    <w:rsid w:val="005B7EB3"/>
    <w:rsid w:val="005C7523"/>
    <w:rsid w:val="005D0104"/>
    <w:rsid w:val="005D0211"/>
    <w:rsid w:val="005E0A82"/>
    <w:rsid w:val="005F0461"/>
    <w:rsid w:val="005F5FC0"/>
    <w:rsid w:val="00607947"/>
    <w:rsid w:val="006145E1"/>
    <w:rsid w:val="00616817"/>
    <w:rsid w:val="00617CB0"/>
    <w:rsid w:val="00621D18"/>
    <w:rsid w:val="00621DA7"/>
    <w:rsid w:val="006223AD"/>
    <w:rsid w:val="00635281"/>
    <w:rsid w:val="006378F4"/>
    <w:rsid w:val="00640F1A"/>
    <w:rsid w:val="00642386"/>
    <w:rsid w:val="00650DA4"/>
    <w:rsid w:val="00653C07"/>
    <w:rsid w:val="006703E1"/>
    <w:rsid w:val="00670D28"/>
    <w:rsid w:val="0067601C"/>
    <w:rsid w:val="00685125"/>
    <w:rsid w:val="00690BC4"/>
    <w:rsid w:val="00693B3D"/>
    <w:rsid w:val="00697202"/>
    <w:rsid w:val="006A0A95"/>
    <w:rsid w:val="006A40D2"/>
    <w:rsid w:val="006A4A97"/>
    <w:rsid w:val="006A7FDE"/>
    <w:rsid w:val="006B099E"/>
    <w:rsid w:val="006B14CF"/>
    <w:rsid w:val="006D115C"/>
    <w:rsid w:val="006D1D63"/>
    <w:rsid w:val="006D411E"/>
    <w:rsid w:val="006E0495"/>
    <w:rsid w:val="006E162A"/>
    <w:rsid w:val="006E5B43"/>
    <w:rsid w:val="006E7AB7"/>
    <w:rsid w:val="006F1887"/>
    <w:rsid w:val="006F28E1"/>
    <w:rsid w:val="006F3A1E"/>
    <w:rsid w:val="006F5224"/>
    <w:rsid w:val="006F745E"/>
    <w:rsid w:val="00704A70"/>
    <w:rsid w:val="007227A4"/>
    <w:rsid w:val="00725081"/>
    <w:rsid w:val="007326AB"/>
    <w:rsid w:val="00740CB9"/>
    <w:rsid w:val="00747EFC"/>
    <w:rsid w:val="00751545"/>
    <w:rsid w:val="00752F27"/>
    <w:rsid w:val="00755F66"/>
    <w:rsid w:val="007666F6"/>
    <w:rsid w:val="007736BD"/>
    <w:rsid w:val="0077743B"/>
    <w:rsid w:val="00781088"/>
    <w:rsid w:val="007836B1"/>
    <w:rsid w:val="00786AAF"/>
    <w:rsid w:val="00791FF8"/>
    <w:rsid w:val="00792DD3"/>
    <w:rsid w:val="00797590"/>
    <w:rsid w:val="007A14B4"/>
    <w:rsid w:val="007C1011"/>
    <w:rsid w:val="007D5196"/>
    <w:rsid w:val="007D5DAF"/>
    <w:rsid w:val="007E05D4"/>
    <w:rsid w:val="007E0F57"/>
    <w:rsid w:val="007F11AD"/>
    <w:rsid w:val="007F5164"/>
    <w:rsid w:val="00811D80"/>
    <w:rsid w:val="00844D58"/>
    <w:rsid w:val="00854440"/>
    <w:rsid w:val="008802AE"/>
    <w:rsid w:val="008829FB"/>
    <w:rsid w:val="00887981"/>
    <w:rsid w:val="00891511"/>
    <w:rsid w:val="008A11DE"/>
    <w:rsid w:val="008A2A3F"/>
    <w:rsid w:val="008B278B"/>
    <w:rsid w:val="008B3CB5"/>
    <w:rsid w:val="008E56C0"/>
    <w:rsid w:val="008F12EB"/>
    <w:rsid w:val="008F645C"/>
    <w:rsid w:val="008F6683"/>
    <w:rsid w:val="0090661A"/>
    <w:rsid w:val="009149DD"/>
    <w:rsid w:val="00916DD4"/>
    <w:rsid w:val="00934EC8"/>
    <w:rsid w:val="0094507B"/>
    <w:rsid w:val="00947D07"/>
    <w:rsid w:val="00952F13"/>
    <w:rsid w:val="0096390D"/>
    <w:rsid w:val="009A001F"/>
    <w:rsid w:val="009C460D"/>
    <w:rsid w:val="009D5723"/>
    <w:rsid w:val="009D5FB4"/>
    <w:rsid w:val="009D7C09"/>
    <w:rsid w:val="009E589D"/>
    <w:rsid w:val="009F1FF8"/>
    <w:rsid w:val="00A00EA5"/>
    <w:rsid w:val="00A0341A"/>
    <w:rsid w:val="00A1001C"/>
    <w:rsid w:val="00A137A0"/>
    <w:rsid w:val="00A148EE"/>
    <w:rsid w:val="00A1743A"/>
    <w:rsid w:val="00A2037A"/>
    <w:rsid w:val="00A3032C"/>
    <w:rsid w:val="00A304D2"/>
    <w:rsid w:val="00A364F4"/>
    <w:rsid w:val="00A41757"/>
    <w:rsid w:val="00A608AF"/>
    <w:rsid w:val="00A74D88"/>
    <w:rsid w:val="00A86050"/>
    <w:rsid w:val="00A86C02"/>
    <w:rsid w:val="00AA1689"/>
    <w:rsid w:val="00AB065F"/>
    <w:rsid w:val="00AB3498"/>
    <w:rsid w:val="00AB3A67"/>
    <w:rsid w:val="00AB48C8"/>
    <w:rsid w:val="00AB7059"/>
    <w:rsid w:val="00AC15E5"/>
    <w:rsid w:val="00AD144C"/>
    <w:rsid w:val="00AE0C6F"/>
    <w:rsid w:val="00AF634D"/>
    <w:rsid w:val="00B020E7"/>
    <w:rsid w:val="00B04DF9"/>
    <w:rsid w:val="00B25CA1"/>
    <w:rsid w:val="00B369DE"/>
    <w:rsid w:val="00B57141"/>
    <w:rsid w:val="00B672FE"/>
    <w:rsid w:val="00B745FC"/>
    <w:rsid w:val="00B75197"/>
    <w:rsid w:val="00B7622A"/>
    <w:rsid w:val="00B90E63"/>
    <w:rsid w:val="00B95A81"/>
    <w:rsid w:val="00B9663D"/>
    <w:rsid w:val="00BA3178"/>
    <w:rsid w:val="00BA3DBE"/>
    <w:rsid w:val="00BA4493"/>
    <w:rsid w:val="00BC2ECA"/>
    <w:rsid w:val="00BC3FEC"/>
    <w:rsid w:val="00BC7BA5"/>
    <w:rsid w:val="00BF02D7"/>
    <w:rsid w:val="00BF2588"/>
    <w:rsid w:val="00BF3D59"/>
    <w:rsid w:val="00BF4DC7"/>
    <w:rsid w:val="00C0106C"/>
    <w:rsid w:val="00C03818"/>
    <w:rsid w:val="00C07DCD"/>
    <w:rsid w:val="00C13961"/>
    <w:rsid w:val="00C162BD"/>
    <w:rsid w:val="00C21E54"/>
    <w:rsid w:val="00C23294"/>
    <w:rsid w:val="00C30E4C"/>
    <w:rsid w:val="00C316DF"/>
    <w:rsid w:val="00C36701"/>
    <w:rsid w:val="00C40F79"/>
    <w:rsid w:val="00C478A0"/>
    <w:rsid w:val="00C5568A"/>
    <w:rsid w:val="00C6124E"/>
    <w:rsid w:val="00C718F0"/>
    <w:rsid w:val="00C84EC4"/>
    <w:rsid w:val="00C95119"/>
    <w:rsid w:val="00CA06DA"/>
    <w:rsid w:val="00CA5C43"/>
    <w:rsid w:val="00CA63CE"/>
    <w:rsid w:val="00CB1726"/>
    <w:rsid w:val="00CB439C"/>
    <w:rsid w:val="00CB5FFF"/>
    <w:rsid w:val="00CB6F80"/>
    <w:rsid w:val="00CB7ED9"/>
    <w:rsid w:val="00CC0603"/>
    <w:rsid w:val="00CC43B0"/>
    <w:rsid w:val="00CC59F1"/>
    <w:rsid w:val="00CE450F"/>
    <w:rsid w:val="00CE5B4B"/>
    <w:rsid w:val="00CE67CB"/>
    <w:rsid w:val="00CF19C1"/>
    <w:rsid w:val="00CF2458"/>
    <w:rsid w:val="00D04D08"/>
    <w:rsid w:val="00D1473F"/>
    <w:rsid w:val="00D2015A"/>
    <w:rsid w:val="00D26B6E"/>
    <w:rsid w:val="00D3064C"/>
    <w:rsid w:val="00D316E5"/>
    <w:rsid w:val="00D37B69"/>
    <w:rsid w:val="00D37FE2"/>
    <w:rsid w:val="00D47501"/>
    <w:rsid w:val="00D60F94"/>
    <w:rsid w:val="00D63BC4"/>
    <w:rsid w:val="00D7636D"/>
    <w:rsid w:val="00D85016"/>
    <w:rsid w:val="00D90AE0"/>
    <w:rsid w:val="00D937FF"/>
    <w:rsid w:val="00D93F67"/>
    <w:rsid w:val="00D95A8E"/>
    <w:rsid w:val="00DB4DB6"/>
    <w:rsid w:val="00DC4FB4"/>
    <w:rsid w:val="00DC5810"/>
    <w:rsid w:val="00DC7258"/>
    <w:rsid w:val="00DE3487"/>
    <w:rsid w:val="00DE5362"/>
    <w:rsid w:val="00DE71C8"/>
    <w:rsid w:val="00DF1F09"/>
    <w:rsid w:val="00E16688"/>
    <w:rsid w:val="00E23728"/>
    <w:rsid w:val="00E34639"/>
    <w:rsid w:val="00E34CF2"/>
    <w:rsid w:val="00E36A0C"/>
    <w:rsid w:val="00E514B8"/>
    <w:rsid w:val="00E63D11"/>
    <w:rsid w:val="00E91AC1"/>
    <w:rsid w:val="00E947DD"/>
    <w:rsid w:val="00E97BC9"/>
    <w:rsid w:val="00EA1C49"/>
    <w:rsid w:val="00EA2C1D"/>
    <w:rsid w:val="00EB17DD"/>
    <w:rsid w:val="00EC54BA"/>
    <w:rsid w:val="00ED0D1B"/>
    <w:rsid w:val="00ED3BB2"/>
    <w:rsid w:val="00ED43C2"/>
    <w:rsid w:val="00ED475E"/>
    <w:rsid w:val="00ED5D22"/>
    <w:rsid w:val="00EE750F"/>
    <w:rsid w:val="00EF0329"/>
    <w:rsid w:val="00EF4743"/>
    <w:rsid w:val="00F13F34"/>
    <w:rsid w:val="00F3086F"/>
    <w:rsid w:val="00F308A8"/>
    <w:rsid w:val="00F43A2A"/>
    <w:rsid w:val="00F518C6"/>
    <w:rsid w:val="00F56F58"/>
    <w:rsid w:val="00F61409"/>
    <w:rsid w:val="00F77FEF"/>
    <w:rsid w:val="00F84B46"/>
    <w:rsid w:val="00F85A22"/>
    <w:rsid w:val="00FA4F99"/>
    <w:rsid w:val="00FA5C79"/>
    <w:rsid w:val="00FB0280"/>
    <w:rsid w:val="00FC2B99"/>
    <w:rsid w:val="00FD3957"/>
    <w:rsid w:val="00FF0382"/>
    <w:rsid w:val="00FF40C3"/>
    <w:rsid w:val="00FF5AAE"/>
    <w:rsid w:val="00FF7F80"/>
    <w:rsid w:val="10232679"/>
    <w:rsid w:val="12C74265"/>
    <w:rsid w:val="14F169F0"/>
    <w:rsid w:val="17571BE4"/>
    <w:rsid w:val="1BB306A1"/>
    <w:rsid w:val="1FB95538"/>
    <w:rsid w:val="20007B2F"/>
    <w:rsid w:val="3D6F303B"/>
    <w:rsid w:val="47F924D2"/>
    <w:rsid w:val="48831A97"/>
    <w:rsid w:val="5C187288"/>
    <w:rsid w:val="5D0623C7"/>
    <w:rsid w:val="616D632C"/>
    <w:rsid w:val="649017E1"/>
    <w:rsid w:val="64C26C78"/>
    <w:rsid w:val="6B330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8E10F2F-D377-4AF7-85C5-1D556107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snapToGrid w:val="0"/>
      <w:spacing w:line="300" w:lineRule="auto"/>
      <w:ind w:firstLine="556"/>
    </w:pPr>
    <w:rPr>
      <w:rFonts w:ascii="仿宋_GB2312" w:eastAsia="仿宋_GB2312"/>
      <w:sz w:val="28"/>
    </w:rPr>
  </w:style>
  <w:style w:type="paragraph" w:styleId="a5">
    <w:name w:val="annotation subject"/>
    <w:basedOn w:val="a6"/>
    <w:next w:val="a6"/>
    <w:link w:val="a7"/>
    <w:semiHidden/>
    <w:qFormat/>
    <w:rPr>
      <w:b/>
      <w:bCs/>
    </w:rPr>
  </w:style>
  <w:style w:type="paragraph" w:styleId="a6">
    <w:name w:val="annotation text"/>
    <w:basedOn w:val="a"/>
    <w:link w:val="a8"/>
    <w:semiHidden/>
    <w:qFormat/>
    <w:pPr>
      <w:jc w:val="left"/>
    </w:pPr>
    <w:rPr>
      <w:szCs w:val="24"/>
    </w:rPr>
  </w:style>
  <w:style w:type="paragraph" w:styleId="a9">
    <w:name w:val="Document Map"/>
    <w:basedOn w:val="a"/>
    <w:link w:val="aa"/>
    <w:qFormat/>
    <w:rPr>
      <w:rFonts w:ascii="宋体"/>
      <w:sz w:val="18"/>
      <w:szCs w:val="18"/>
    </w:rPr>
  </w:style>
  <w:style w:type="paragraph" w:styleId="31">
    <w:name w:val="Body Text 3"/>
    <w:basedOn w:val="a"/>
    <w:link w:val="32"/>
    <w:qFormat/>
    <w:rPr>
      <w:rFonts w:ascii="宋体" w:hAnsi="Courier New"/>
      <w:sz w:val="28"/>
    </w:rPr>
  </w:style>
  <w:style w:type="paragraph" w:styleId="ab">
    <w:name w:val="Body Text"/>
    <w:basedOn w:val="a"/>
    <w:link w:val="ac"/>
    <w:qFormat/>
    <w:pPr>
      <w:spacing w:line="340" w:lineRule="atLeast"/>
    </w:pPr>
    <w:rPr>
      <w:sz w:val="30"/>
    </w:rPr>
  </w:style>
  <w:style w:type="paragraph" w:styleId="ad">
    <w:name w:val="Body Text Indent"/>
    <w:basedOn w:val="a"/>
    <w:link w:val="ae"/>
    <w:qFormat/>
    <w:pPr>
      <w:spacing w:line="340" w:lineRule="atLeast"/>
      <w:ind w:firstLine="600"/>
    </w:pPr>
    <w:rPr>
      <w:sz w:val="30"/>
    </w:rPr>
  </w:style>
  <w:style w:type="paragraph" w:styleId="TOC3">
    <w:name w:val="toc 3"/>
    <w:basedOn w:val="a"/>
    <w:next w:val="a"/>
    <w:uiPriority w:val="39"/>
    <w:qFormat/>
    <w:pPr>
      <w:tabs>
        <w:tab w:val="right" w:leader="dot" w:pos="9639"/>
      </w:tabs>
      <w:spacing w:line="360" w:lineRule="auto"/>
      <w:ind w:leftChars="129" w:left="470" w:hangingChars="71" w:hanging="199"/>
    </w:pPr>
    <w:rPr>
      <w:rFonts w:eastAsia="仿宋_GB2312"/>
      <w:sz w:val="28"/>
      <w:szCs w:val="24"/>
    </w:rPr>
  </w:style>
  <w:style w:type="paragraph" w:styleId="af">
    <w:name w:val="Plain Text"/>
    <w:basedOn w:val="a"/>
    <w:link w:val="af0"/>
    <w:qFormat/>
    <w:rPr>
      <w:rFonts w:ascii="宋体" w:hAnsi="Courier New"/>
    </w:rPr>
  </w:style>
  <w:style w:type="paragraph" w:styleId="af1">
    <w:name w:val="Date"/>
    <w:basedOn w:val="a"/>
    <w:next w:val="a"/>
    <w:link w:val="af2"/>
    <w:qFormat/>
    <w:rPr>
      <w:rFonts w:ascii="黑体" w:eastAsia="黑体"/>
      <w:sz w:val="44"/>
    </w:rPr>
  </w:style>
  <w:style w:type="paragraph" w:styleId="21">
    <w:name w:val="Body Text Indent 2"/>
    <w:basedOn w:val="a"/>
    <w:link w:val="22"/>
    <w:qFormat/>
    <w:pPr>
      <w:spacing w:line="360" w:lineRule="auto"/>
      <w:ind w:firstLineChars="200" w:firstLine="560"/>
    </w:pPr>
    <w:rPr>
      <w:rFonts w:ascii="宋体"/>
      <w:sz w:val="28"/>
      <w:szCs w:val="24"/>
    </w:rPr>
  </w:style>
  <w:style w:type="paragraph" w:styleId="af3">
    <w:name w:val="Balloon Text"/>
    <w:basedOn w:val="a"/>
    <w:link w:val="af4"/>
    <w:semiHidden/>
    <w:unhideWhenUsed/>
    <w:qFormat/>
    <w:rPr>
      <w:sz w:val="18"/>
      <w:szCs w:val="18"/>
    </w:rPr>
  </w:style>
  <w:style w:type="paragraph" w:styleId="af5">
    <w:name w:val="footer"/>
    <w:basedOn w:val="a"/>
    <w:link w:val="af6"/>
    <w:unhideWhenUsed/>
    <w:qFormat/>
    <w:pPr>
      <w:tabs>
        <w:tab w:val="center" w:pos="4153"/>
        <w:tab w:val="right" w:pos="8306"/>
      </w:tabs>
      <w:snapToGrid w:val="0"/>
      <w:jc w:val="left"/>
    </w:pPr>
    <w:rPr>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rPr>
      <w:b/>
      <w:sz w:val="24"/>
    </w:rPr>
  </w:style>
  <w:style w:type="paragraph" w:styleId="33">
    <w:name w:val="Body Text Indent 3"/>
    <w:basedOn w:val="a"/>
    <w:link w:val="34"/>
    <w:qFormat/>
    <w:pPr>
      <w:spacing w:line="480" w:lineRule="exact"/>
      <w:ind w:firstLineChars="180" w:firstLine="504"/>
    </w:pPr>
    <w:rPr>
      <w:rFonts w:ascii="仿宋_GB2312" w:eastAsia="仿宋_GB2312" w:hAnsi="宋体"/>
      <w:sz w:val="28"/>
    </w:rPr>
  </w:style>
  <w:style w:type="paragraph" w:styleId="TOC2">
    <w:name w:val="toc 2"/>
    <w:basedOn w:val="a"/>
    <w:next w:val="a"/>
    <w:uiPriority w:val="39"/>
    <w:unhideWhenUsed/>
    <w:qFormat/>
    <w:pPr>
      <w:spacing w:line="360" w:lineRule="auto"/>
      <w:ind w:leftChars="200" w:left="200"/>
    </w:pPr>
    <w:rPr>
      <w:sz w:val="24"/>
    </w:rPr>
  </w:style>
  <w:style w:type="paragraph" w:styleId="af9">
    <w:name w:val="Normal (Web)"/>
    <w:basedOn w:val="a"/>
    <w:link w:val="afa"/>
    <w:qFormat/>
    <w:pPr>
      <w:widowControl/>
      <w:spacing w:before="100" w:beforeAutospacing="1" w:after="100" w:afterAutospacing="1" w:line="300" w:lineRule="auto"/>
      <w:ind w:firstLineChars="210" w:firstLine="210"/>
      <w:jc w:val="left"/>
    </w:pPr>
    <w:rPr>
      <w:rFonts w:ascii="Arial Narrow" w:eastAsia="仿宋_GB2312" w:hAnsi="宋体"/>
      <w:kern w:val="0"/>
      <w:sz w:val="28"/>
      <w:szCs w:val="24"/>
      <w:lang w:val="zh-CN"/>
    </w:rPr>
  </w:style>
  <w:style w:type="character" w:styleId="afb">
    <w:name w:val="page number"/>
    <w:basedOn w:val="a1"/>
    <w:qFormat/>
  </w:style>
  <w:style w:type="character" w:styleId="afc">
    <w:name w:val="Hyperlink"/>
    <w:basedOn w:val="a1"/>
    <w:uiPriority w:val="99"/>
    <w:unhideWhenUsed/>
    <w:qFormat/>
    <w:rPr>
      <w:color w:val="0000FF" w:themeColor="hyperlink"/>
      <w:u w:val="single"/>
    </w:rPr>
  </w:style>
  <w:style w:type="character" w:styleId="afd">
    <w:name w:val="annotation reference"/>
    <w:basedOn w:val="a1"/>
    <w:semiHidden/>
    <w:unhideWhenUsed/>
    <w:qFormat/>
    <w:rPr>
      <w:sz w:val="21"/>
      <w:szCs w:val="21"/>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宋体" w:hAnsi="Arial" w:cs="Times New Roman"/>
      <w:b/>
      <w:bCs/>
      <w:sz w:val="24"/>
      <w:szCs w:val="32"/>
    </w:rPr>
  </w:style>
  <w:style w:type="character" w:customStyle="1" w:styleId="30">
    <w:name w:val="标题 3 字符"/>
    <w:basedOn w:val="a1"/>
    <w:link w:val="3"/>
    <w:qFormat/>
    <w:rPr>
      <w:rFonts w:ascii="Times New Roman" w:eastAsia="仿宋_GB2312" w:hAnsi="Times New Roman" w:cs="Times New Roman"/>
      <w:b/>
      <w:bCs/>
      <w:sz w:val="32"/>
      <w:szCs w:val="32"/>
    </w:rPr>
  </w:style>
  <w:style w:type="character" w:customStyle="1" w:styleId="af4">
    <w:name w:val="批注框文本 字符"/>
    <w:basedOn w:val="a1"/>
    <w:link w:val="af3"/>
    <w:semiHidden/>
    <w:qFormat/>
    <w:rPr>
      <w:sz w:val="18"/>
      <w:szCs w:val="18"/>
    </w:rPr>
  </w:style>
  <w:style w:type="character" w:customStyle="1" w:styleId="af8">
    <w:name w:val="页眉 字符"/>
    <w:basedOn w:val="a1"/>
    <w:link w:val="af7"/>
    <w:uiPriority w:val="99"/>
    <w:qFormat/>
    <w:rPr>
      <w:sz w:val="18"/>
      <w:szCs w:val="18"/>
    </w:rPr>
  </w:style>
  <w:style w:type="character" w:customStyle="1" w:styleId="af6">
    <w:name w:val="页脚 字符"/>
    <w:basedOn w:val="a1"/>
    <w:link w:val="af5"/>
    <w:qFormat/>
    <w:rPr>
      <w:sz w:val="18"/>
      <w:szCs w:val="18"/>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0">
    <w:name w:val="纯文本 字符"/>
    <w:basedOn w:val="a1"/>
    <w:link w:val="af"/>
    <w:qFormat/>
    <w:rPr>
      <w:rFonts w:ascii="宋体" w:eastAsia="宋体" w:hAnsi="Courier New" w:cs="Times New Roman"/>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customStyle="1" w:styleId="22">
    <w:name w:val="正文文本缩进 2 字符"/>
    <w:basedOn w:val="a1"/>
    <w:link w:val="21"/>
    <w:qFormat/>
    <w:rPr>
      <w:rFonts w:ascii="宋体" w:eastAsia="宋体" w:hAnsi="Times New Roman" w:cs="Times New Roman"/>
      <w:sz w:val="28"/>
      <w:szCs w:val="24"/>
    </w:rPr>
  </w:style>
  <w:style w:type="character" w:customStyle="1" w:styleId="ae">
    <w:name w:val="正文文本缩进 字符"/>
    <w:basedOn w:val="a1"/>
    <w:link w:val="ad"/>
    <w:qFormat/>
    <w:rPr>
      <w:rFonts w:ascii="Times New Roman" w:eastAsia="宋体" w:hAnsi="Times New Roman" w:cs="Times New Roman"/>
      <w:sz w:val="30"/>
      <w:szCs w:val="20"/>
    </w:rPr>
  </w:style>
  <w:style w:type="character" w:customStyle="1" w:styleId="ac">
    <w:name w:val="正文文本 字符"/>
    <w:basedOn w:val="a1"/>
    <w:link w:val="ab"/>
    <w:qFormat/>
    <w:rPr>
      <w:rFonts w:ascii="Times New Roman" w:eastAsia="宋体" w:hAnsi="Times New Roman" w:cs="Times New Roman"/>
      <w:sz w:val="30"/>
      <w:szCs w:val="20"/>
    </w:rPr>
  </w:style>
  <w:style w:type="character" w:customStyle="1" w:styleId="af2">
    <w:name w:val="日期 字符"/>
    <w:basedOn w:val="a1"/>
    <w:link w:val="af1"/>
    <w:qFormat/>
    <w:rPr>
      <w:rFonts w:ascii="黑体" w:eastAsia="黑体" w:hAnsi="Times New Roman" w:cs="Times New Roman"/>
      <w:sz w:val="44"/>
      <w:szCs w:val="20"/>
    </w:rPr>
  </w:style>
  <w:style w:type="paragraph" w:customStyle="1" w:styleId="210">
    <w:name w:val="正文文本缩进 21"/>
    <w:basedOn w:val="a"/>
    <w:qFormat/>
    <w:pPr>
      <w:adjustRightInd w:val="0"/>
      <w:ind w:firstLine="570"/>
      <w:textAlignment w:val="baseline"/>
    </w:pPr>
    <w:rPr>
      <w:rFonts w:ascii="宋体"/>
      <w:sz w:val="28"/>
    </w:rPr>
  </w:style>
  <w:style w:type="character" w:customStyle="1" w:styleId="32">
    <w:name w:val="正文文本 3 字符"/>
    <w:basedOn w:val="a1"/>
    <w:link w:val="31"/>
    <w:qFormat/>
    <w:rPr>
      <w:rFonts w:ascii="宋体" w:eastAsia="宋体" w:hAnsi="Courier New" w:cs="Times New Roman"/>
      <w:sz w:val="28"/>
      <w:szCs w:val="20"/>
    </w:rPr>
  </w:style>
  <w:style w:type="character" w:customStyle="1" w:styleId="34">
    <w:name w:val="正文文本缩进 3 字符"/>
    <w:basedOn w:val="a1"/>
    <w:link w:val="33"/>
    <w:qFormat/>
    <w:rPr>
      <w:rFonts w:ascii="仿宋_GB2312" w:eastAsia="仿宋_GB2312" w:hAnsi="宋体" w:cs="Times New Roman"/>
      <w:sz w:val="28"/>
      <w:szCs w:val="20"/>
    </w:rPr>
  </w:style>
  <w:style w:type="paragraph" w:customStyle="1" w:styleId="Char">
    <w:name w:val="Char"/>
    <w:basedOn w:val="a"/>
    <w:qFormat/>
    <w:rPr>
      <w:rFonts w:ascii="Tahoma" w:hAnsi="Tahoma"/>
      <w:sz w:val="24"/>
    </w:rPr>
  </w:style>
  <w:style w:type="character" w:customStyle="1" w:styleId="a8">
    <w:name w:val="批注文字 字符"/>
    <w:basedOn w:val="a1"/>
    <w:link w:val="a6"/>
    <w:semiHidden/>
    <w:qFormat/>
    <w:rPr>
      <w:rFonts w:ascii="Times New Roman" w:eastAsia="宋体" w:hAnsi="Times New Roman" w:cs="Times New Roman"/>
      <w:szCs w:val="24"/>
    </w:rPr>
  </w:style>
  <w:style w:type="character" w:customStyle="1" w:styleId="a7">
    <w:name w:val="批注主题 字符"/>
    <w:basedOn w:val="a8"/>
    <w:link w:val="a5"/>
    <w:semiHidden/>
    <w:qFormat/>
    <w:rPr>
      <w:rFonts w:ascii="Times New Roman" w:eastAsia="宋体" w:hAnsi="Times New Roman" w:cs="Times New Roman"/>
      <w:b/>
      <w:bCs/>
      <w:szCs w:val="24"/>
    </w:rPr>
  </w:style>
  <w:style w:type="paragraph" w:customStyle="1" w:styleId="CharCharChar1Char">
    <w:name w:val="Char Char Char1 Char"/>
    <w:basedOn w:val="a"/>
    <w:qFormat/>
    <w:rPr>
      <w:rFonts w:ascii="Tahoma" w:hAnsi="Tahoma"/>
      <w:sz w:val="24"/>
    </w:rPr>
  </w:style>
  <w:style w:type="paragraph" w:customStyle="1" w:styleId="H1">
    <w:name w:val="H1"/>
    <w:basedOn w:val="1"/>
    <w:qFormat/>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0">
    <w:name w:val="普通文字 Char"/>
    <w:basedOn w:val="a1"/>
    <w:qFormat/>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qFormat/>
    <w:rPr>
      <w:rFonts w:ascii="Tahoma" w:hAnsi="Tahoma"/>
      <w:sz w:val="24"/>
    </w:rPr>
  </w:style>
  <w:style w:type="character" w:customStyle="1" w:styleId="aa">
    <w:name w:val="文档结构图 字符"/>
    <w:basedOn w:val="a1"/>
    <w:link w:val="a9"/>
    <w:qFormat/>
    <w:rPr>
      <w:rFonts w:ascii="宋体" w:eastAsia="宋体" w:hAnsi="Times New Roman" w:cs="Times New Roman"/>
      <w:sz w:val="18"/>
      <w:szCs w:val="18"/>
    </w:rPr>
  </w:style>
  <w:style w:type="paragraph" w:customStyle="1" w:styleId="CharCharCharCharCharCharChar">
    <w:name w:val="Char Char Char Char Char Char Char"/>
    <w:basedOn w:val="a"/>
    <w:qFormat/>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eastAsia="仿宋_GB2312" w:hAnsi="Tahoma"/>
      <w:sz w:val="24"/>
    </w:rPr>
  </w:style>
  <w:style w:type="paragraph" w:styleId="afe">
    <w:name w:val="List Paragraph"/>
    <w:basedOn w:val="a"/>
    <w:qFormat/>
    <w:pPr>
      <w:ind w:firstLineChars="200" w:firstLine="420"/>
    </w:pPr>
  </w:style>
  <w:style w:type="character" w:customStyle="1" w:styleId="a4">
    <w:name w:val="正文缩进 字符"/>
    <w:link w:val="a0"/>
    <w:qFormat/>
    <w:rPr>
      <w:rFonts w:ascii="仿宋_GB2312" w:eastAsia="仿宋_GB2312" w:hAnsi="Times New Roman" w:cs="Times New Roman"/>
      <w:sz w:val="28"/>
      <w:szCs w:val="20"/>
    </w:rPr>
  </w:style>
  <w:style w:type="character" w:customStyle="1" w:styleId="afa">
    <w:name w:val="普通(网站) 字符"/>
    <w:link w:val="af9"/>
    <w:qFormat/>
    <w:locked/>
    <w:rPr>
      <w:rFonts w:ascii="Arial Narrow" w:eastAsia="仿宋_GB2312" w:hAnsi="宋体" w:cs="Times New Roman"/>
      <w:kern w:val="0"/>
      <w:sz w:val="28"/>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D796C-6497-4564-80DC-A5A67D50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1892</Words>
  <Characters>10789</Characters>
  <Application>Microsoft Office Word</Application>
  <DocSecurity>0</DocSecurity>
  <Lines>89</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张志华</dc:creator>
  <cp:lastModifiedBy>王延丽</cp:lastModifiedBy>
  <cp:revision>154</cp:revision>
  <cp:lastPrinted>2018-07-24T06:35:00Z</cp:lastPrinted>
  <dcterms:created xsi:type="dcterms:W3CDTF">2014-02-28T09:03:00Z</dcterms:created>
  <dcterms:modified xsi:type="dcterms:W3CDTF">2018-07-25T07:44:00Z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