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exact" w:line="440" w:before="0" w:after="0"/>
        <w:ind w:right="0" w:firstLine="0"/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48"/>
          <w:szCs w:val="48"/>
          <w:rFonts w:ascii="仿宋" w:eastAsia="仿宋" w:hAnsi="仿宋" w:hint="default"/>
        </w:rPr>
        <w:t xml:space="preserve">  </w:t>
      </w:r>
      <w:r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t>拟拍卖房地产询价报告书</w:t>
      </w:r>
    </w:p>
    <w:p>
      <w:pPr>
        <w:numPr>
          <w:ilvl w:val="0"/>
          <w:numId w:val="0"/>
        </w:numPr>
        <w:jc w:val="both"/>
        <w:spacing w:lineRule="exact" w:line="380" w:before="0" w:after="0"/>
        <w:ind w:right="0" w:firstLine="3179"/>
        <w:rPr>
          <w:b w:val="1"/>
          <w:color w:val="auto"/>
          <w:position w:val="0"/>
          <w:sz w:val="21"/>
          <w:szCs w:val="21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1"/>
          <w:szCs w:val="21"/>
          <w:rFonts w:ascii="仿宋" w:eastAsia="仿宋" w:hAnsi="仿宋" w:hint="default"/>
        </w:rPr>
        <w:t>鲁中大恒正询字[2018]jn0824-32号</w:t>
      </w:r>
    </w:p>
    <w:p>
      <w:pPr>
        <w:bidi w:val="0"/>
        <w:numPr>
          <w:ilvl w:val="0"/>
          <w:numId w:val="1"/>
        </w:numPr>
        <w:jc w:val="both"/>
        <w:spacing w:lineRule="exact" w:line="440" w:before="0" w:after="0"/>
        <w:ind w:left="861" w:right="0" w:hanging="720"/>
        <w:tabs>
          <w:tab w:val="left" w:pos="861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询价委托人：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山东产权交易中心有限公司（网络司法拍卖辅助机构）</w:t>
      </w:r>
    </w:p>
    <w:p>
      <w:pPr>
        <w:bidi w:val="0"/>
        <w:numPr>
          <w:ilvl w:val="0"/>
          <w:numId w:val="1"/>
        </w:numPr>
        <w:jc w:val="both"/>
        <w:spacing w:lineRule="exact" w:line="440" w:before="0" w:after="0"/>
        <w:ind w:left="861" w:right="0" w:hanging="720"/>
        <w:tabs>
          <w:tab w:val="left" w:pos="861"/>
        </w:tabs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询价目的：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为网络司法拍卖提供价值参考</w:t>
      </w:r>
    </w:p>
    <w:p>
      <w:pPr>
        <w:bidi w:val="0"/>
        <w:numPr>
          <w:ilvl w:val="0"/>
          <w:numId w:val="1"/>
        </w:numPr>
        <w:jc w:val="both"/>
        <w:spacing w:lineRule="exact" w:line="440" w:before="0" w:after="0"/>
        <w:ind w:left="861" w:right="0" w:hanging="720"/>
        <w:tabs>
          <w:tab w:val="left" w:pos="861"/>
        </w:tabs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 xml:space="preserve">询价对象： 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4A0" w:firstRow="1" w:lastRow="0" w:firstColumn="1" w:lastColumn="0" w:noHBand="0" w:noVBand="1"/>
        <w:tblLayout w:type="auto"/>
      </w:tblPr>
      <w:tblGrid>
        <w:gridCol w:w="1384"/>
        <w:gridCol w:w="79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46"/>
          <w:hidden w:val="0"/>
        </w:trPr>
        <w:tc>
          <w:tcPr>
            <w:tcW w:type="dxa" w:w="1384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位置状况</w:t>
            </w:r>
          </w:p>
        </w:tc>
        <w:tc>
          <w:tcPr>
            <w:tcW w:type="dxa" w:w="7972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西安市雁塔区雁翔路99号康桥边的院子第1幢楼三单元30402号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832"/>
          <w:hidden w:val="0"/>
        </w:trPr>
        <w:tc>
          <w:tcPr>
            <w:tcW w:type="dxa" w:w="1384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实体状况</w:t>
            </w:r>
          </w:p>
        </w:tc>
        <w:tc>
          <w:tcPr>
            <w:tcW w:type="dxa" w:w="797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询价对象房屋建筑面积135.17平方米；总层数为15层，询价对象所在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层为4层；建筑结构为钢混；外墙刷真石漆，入户门为防盗门。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036"/>
          <w:hidden w:val="0"/>
        </w:trPr>
        <w:tc>
          <w:tcPr>
            <w:tcW w:type="dxa" w:w="1384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权属状况</w:t>
            </w:r>
          </w:p>
        </w:tc>
        <w:tc>
          <w:tcPr>
            <w:tcW w:type="dxa" w:w="797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240"/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询价对象房屋所有人为屈小荣，取得方式为法院判决，规划用途为住宅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，《不动产权证书》证号为1175104011-11-1-1-30402～2，不动产单元号</w:t>
            </w:r>
            <w:r>
              <w:rPr>
                <w:color w:val="auto"/>
                <w:position w:val="0"/>
                <w:sz w:val="24"/>
                <w:szCs w:val="24"/>
                <w:rFonts w:ascii="仿宋" w:eastAsia="仿宋" w:hAnsi="仿宋" w:hint="default"/>
              </w:rPr>
              <w:t>为610113008003GB00029F00010130。</w:t>
            </w:r>
          </w:p>
        </w:tc>
      </w:tr>
    </w:tbl>
    <w:p>
      <w:pPr>
        <w:bidi w:val="0"/>
        <w:numPr>
          <w:ilvl w:val="0"/>
          <w:numId w:val="1"/>
        </w:numPr>
        <w:jc w:val="both"/>
        <w:spacing w:lineRule="exact" w:line="440" w:before="0" w:after="0"/>
        <w:ind w:left="861" w:right="0" w:hanging="720"/>
        <w:tabs>
          <w:tab w:val="left" w:pos="861"/>
        </w:tabs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价值时点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2018年8月22日（完成询价对象现场查勘之日）</w:t>
      </w:r>
    </w:p>
    <w:p>
      <w:pPr>
        <w:bidi w:val="0"/>
        <w:numPr>
          <w:ilvl w:val="0"/>
          <w:numId w:val="1"/>
        </w:numPr>
        <w:jc w:val="both"/>
        <w:spacing w:lineRule="exact" w:line="440" w:before="0" w:after="0"/>
        <w:ind w:left="861" w:right="0" w:hanging="720"/>
        <w:tabs>
          <w:tab w:val="left" w:pos="861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价值类型：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市场价值</w:t>
      </w:r>
    </w:p>
    <w:p>
      <w:pPr>
        <w:numPr>
          <w:ilvl w:val="0"/>
          <w:numId w:val="0"/>
        </w:numPr>
        <w:jc w:val="both"/>
        <w:spacing w:lineRule="exact" w:line="440" w:before="0" w:after="0"/>
        <w:ind w:left="142" w:right="0" w:firstLine="0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</w:tabs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snapToGrid w:val="off"/>
        <w:autoSpaceDE w:val="0"/>
        <w:autoSpaceDN w:val="0"/>
      </w:pPr>
      <w:bookmarkStart w:id="1" w:name="_Toc256000010"/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 xml:space="preserve">六、 询价依据</w:t>
      </w:r>
      <w:bookmarkEnd w:id="1"/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: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1、《中华人民共和国城市房地产管理法》；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2、《中华人民共和国土地管理法》；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3、《中华人民共和国物权法》；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4、《中华人民共和国城乡规划法》；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5、中华人民共和国国家标准《房地产估价规范》（GB/T 50291-2015）；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中华人民共和国国家标准《房地产估价基本术语标准》（GB/T 50899-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2013）；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6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6、注册房地产估价师实地查勘所搜集的资料；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7、询价委托人提供的相关资料及数据。</w:t>
      </w:r>
    </w:p>
    <w:p>
      <w:pPr>
        <w:numPr>
          <w:ilvl w:val="0"/>
          <w:numId w:val="0"/>
        </w:numPr>
        <w:jc w:val="both"/>
        <w:spacing w:lineRule="exact" w:line="440" w:before="0" w:after="0"/>
        <w:ind w:left="142" w:right="0" w:firstLine="0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</w:tabs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snapToGrid w:val="off"/>
        <w:autoSpaceDE w:val="0"/>
        <w:autoSpaceDN w:val="0"/>
      </w:pPr>
      <w:bookmarkStart w:id="2" w:name="_Toc256000011"/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七、估价方法</w:t>
      </w:r>
      <w:bookmarkEnd w:id="2"/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比较法、收益法</w:t>
      </w:r>
    </w:p>
    <w:p>
      <w:pPr>
        <w:numPr>
          <w:ilvl w:val="0"/>
          <w:numId w:val="0"/>
        </w:numPr>
        <w:jc w:val="both"/>
        <w:spacing w:lineRule="exact" w:line="440" w:before="0" w:after="0"/>
        <w:ind w:right="0" w:firstLine="148"/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八、询价结果：</w:t>
      </w:r>
      <w:r>
        <w:rPr>
          <w:color w:val="auto"/>
          <w:position w:val="0"/>
          <w:sz w:val="30"/>
          <w:szCs w:val="30"/>
          <w:rFonts w:ascii="仿宋" w:eastAsia="仿宋" w:hAnsi="仿宋" w:hint="default"/>
        </w:rPr>
        <w:t>详见下表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1843"/>
        <w:gridCol w:w="1384"/>
        <w:gridCol w:w="1843"/>
        <w:gridCol w:w="2126"/>
        <w:gridCol w:w="202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hidden w:val="0"/>
        </w:trPr>
        <w:tc>
          <w:tcPr>
            <w:tcW w:type="dxa" w:w="184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项目</w:t>
            </w:r>
          </w:p>
        </w:tc>
        <w:tc>
          <w:tcPr>
            <w:tcW w:type="dxa" w:w="138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规划用途</w:t>
            </w:r>
          </w:p>
        </w:tc>
        <w:tc>
          <w:tcPr>
            <w:tcW w:type="dxa" w:w="184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询价面积（</w:t>
            </w: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㎡）</w:t>
            </w:r>
          </w:p>
        </w:tc>
        <w:tc>
          <w:tcPr>
            <w:tcW w:type="dxa" w:w="2126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 xml:space="preserve"> 单价（元/㎡）</w:t>
            </w:r>
          </w:p>
        </w:tc>
        <w:tc>
          <w:tcPr>
            <w:tcW w:type="dxa" w:w="2023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询价结果（元）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84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房地产</w:t>
            </w:r>
          </w:p>
        </w:tc>
        <w:tc>
          <w:tcPr>
            <w:tcW w:type="dxa" w:w="138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住宅</w:t>
            </w:r>
          </w:p>
        </w:tc>
        <w:tc>
          <w:tcPr>
            <w:tcW w:type="dxa" w:w="184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135.17</w:t>
            </w:r>
          </w:p>
        </w:tc>
        <w:tc>
          <w:tcPr>
            <w:tcW w:type="dxa" w:w="2126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14058</w:t>
            </w:r>
          </w:p>
        </w:tc>
        <w:tc>
          <w:tcPr>
            <w:tcW w:type="dxa" w:w="202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1900220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184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合计</w:t>
            </w:r>
          </w:p>
        </w:tc>
        <w:tc>
          <w:tcPr>
            <w:tcW w:type="dxa" w:w="7376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</w:tabs>
              <w:rPr>
                <w:b w:val="1"/>
                <w:color w:val="000000"/>
                <w:position w:val="0"/>
                <w:sz w:val="24"/>
                <w:szCs w:val="24"/>
                <w:rFonts w:ascii="仿宋" w:eastAsia="宋体" w:hAnsi="宋体" w:hint="default"/>
              </w:rPr>
              <w:snapToGrid w:val="off"/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4"/>
                <w:szCs w:val="24"/>
                <w:rFonts w:ascii="仿宋" w:eastAsia="仿宋" w:hAnsi="仿宋" w:hint="default"/>
              </w:rPr>
              <w:t>大写人民币：壹佰玖拾万零贰佰贰拾元整</w:t>
            </w:r>
          </w:p>
        </w:tc>
      </w:tr>
    </w:tbl>
    <w:p>
      <w:pPr>
        <w:numPr>
          <w:ilvl w:val="0"/>
          <w:numId w:val="0"/>
        </w:numPr>
        <w:jc w:val="both"/>
        <w:spacing w:lineRule="exact" w:line="400" w:before="0" w:after="0"/>
        <w:ind w:righ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 xml:space="preserve"> 九、询价报告有效期：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2018年8月24日-2019年8月23日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148"/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snapToGrid w:val="off"/>
        <w:autoSpaceDE w:val="0"/>
        <w:autoSpaceDN w:val="0"/>
      </w:pPr>
      <w:r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t>十：特别提示：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48"/>
        <w:rPr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0"/>
        <w:autoSpaceDN w:val="0"/>
      </w:pP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1、本询价结果仅限委托人对询价对象进行网络拍卖提供市场价值参考;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1"/>
        <w:rPr>
          <w:color w:val="000000"/>
          <w:position w:val="0"/>
          <w:sz w:val="21"/>
          <w:szCs w:val="21"/>
          <w:rFonts w:ascii="仿宋_GB2312" w:eastAsia="宋体" w:hAnsi="宋体" w:hint="default"/>
        </w:rPr>
        <w:snapToGrid w:val="off"/>
        <w:autoSpaceDE w:val="0"/>
        <w:autoSpaceDN w:val="0"/>
      </w:pP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2、本估价结果为拍卖参考底价，不具有法律强制性，也不作为成交的直</w:t>
      </w: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接依据，成交与否由双方协商确定。</w:t>
      </w:r>
    </w:p>
    <w:p>
      <w:pPr>
        <w:numPr>
          <w:ilvl w:val="0"/>
          <w:numId w:val="0"/>
        </w:numPr>
        <w:jc w:val="both"/>
        <w:spacing w:lineRule="exact" w:line="400" w:before="0" w:after="0"/>
        <w:ind w:right="0" w:firstLine="551"/>
        <w:rPr>
          <w:b w:val="1"/>
          <w:color w:val="000000"/>
          <w:position w:val="0"/>
          <w:sz w:val="28"/>
          <w:szCs w:val="28"/>
          <w:rFonts w:ascii="仿宋" w:eastAsia="宋体" w:hAnsi="宋体" w:hint="default"/>
        </w:rPr>
        <w:snapToGrid w:val="off"/>
        <w:autoSpaceDE w:val="0"/>
        <w:autoSpaceDN w:val="0"/>
      </w:pP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3、根据委托人提供的《西安市房屋登记薄》记载，第一幢楼房屋总层数</w:t>
      </w: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为24层，经实地查勘，询价对象位于第1幢楼三单元，总层数为15层，本次询</w:t>
      </w:r>
      <w:r>
        <w:rPr>
          <w:b w:val="1"/>
          <w:color w:val="000000"/>
          <w:position w:val="0"/>
          <w:sz w:val="28"/>
          <w:szCs w:val="28"/>
          <w:rFonts w:ascii="仿宋" w:eastAsia="仿宋" w:hAnsi="仿宋" w:hint="default"/>
        </w:rPr>
        <w:t>价以实地查勘为准。</w:t>
      </w:r>
    </w:p>
    <w:p>
      <w:pPr>
        <w:numPr>
          <w:ilvl w:val="0"/>
          <w:numId w:val="0"/>
        </w:numPr>
        <w:jc w:val="both"/>
        <w:spacing w:lineRule="exact" w:line="440" w:before="0" w:after="0"/>
        <w:ind w:right="0" w:firstLine="406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山东中大恒正土地房地产评估有限公司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0"/>
        <w:tabs>
          <w:tab w:val="left" w:pos="5235"/>
        </w:tabs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                            二〇一八年八月二十四日</w:t>
      </w:r>
    </w:p>
    <w:sectPr>
      <w:headerReference w:type="default" r:id="rId5"/>
      <w:pgSz w:w="11906" w:h="16838"/>
      <w:pgMar w:top="851" w:left="1633" w:bottom="851" w:right="1133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japaneseCounting"/>
      <w:start w:val="1"/>
      <w:suff w:val="tab"/>
      <w:pPr>
        <w:ind w:left="861" w:hanging="720"/>
        <w:jc w:val="both"/>
        <w:tabs>
          <w:tab w:val="left" w:pos="861"/>
        </w:tabs>
      </w:pPr>
      <w:rPr>
        <w:rFonts w:ascii="仿宋" w:eastAsia="仿宋" w:hAnsi="仿宋"/>
        <w:b/>
        <w:shd w:val="clear"/>
        <w:sz w:val="30"/>
        <w:szCs w:val="30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rPr>
      <w:rFonts w:ascii="Times New Roman" w:eastAsia="Times New Roman" w:hAnsi="Times New Roman"/>
      <w:shd w:val="clear"/>
      <w:sz w:val="20"/>
      <w:szCs w:val="20"/>
      <w:w w:val="100"/>
    </w:rPr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941</Characters>
  <CharactersWithSpaces>0</CharactersWithSpaces>
  <Company>Microsoft</Company>
  <DocSecurity>0</DocSecurity>
  <HyperlinksChanged>false</HyperlinksChanged>
  <Lines>6</Lines>
  <LinksUpToDate>false</LinksUpToDate>
  <Pages>2</Pages>
  <Paragraphs>1</Paragraphs>
  <Words>140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/>
  <dcterms:modified xsi:type="dcterms:W3CDTF">2018-08-27T02:14:00Z</dcterms:modified>
</cp:coreProperties>
</file>