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szCs w:val="44"/>
          <w:highlight w:val="none"/>
        </w:rPr>
      </w:pPr>
      <w:r>
        <w:rPr>
          <w:b/>
          <w:color w:val="000000" w:themeColor="text1"/>
          <w:sz w:val="44"/>
          <w:szCs w:val="44"/>
          <w:highlight w:val="none"/>
        </w:rPr>
        <w:t>房地产估价报告</w:t>
      </w: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jc w:val="center"/>
        <w:rPr>
          <w:b/>
          <w:color w:val="000000" w:themeColor="text1"/>
          <w:sz w:val="44"/>
          <w:highlight w:val="none"/>
        </w:rPr>
      </w:pPr>
    </w:p>
    <w:p>
      <w:pPr>
        <w:ind w:left="2236" w:leftChars="300" w:hanging="1606" w:hangingChars="500"/>
        <w:rPr>
          <w:rFonts w:eastAsia="楷体_GB2312"/>
          <w:b/>
          <w:color w:val="000000" w:themeColor="text1"/>
          <w:sz w:val="32"/>
          <w:szCs w:val="32"/>
          <w:highlight w:val="none"/>
        </w:rPr>
      </w:pPr>
      <w:r>
        <w:rPr>
          <w:rFonts w:eastAsia="楷体_GB2312"/>
          <w:b/>
          <w:color w:val="000000" w:themeColor="text1"/>
          <w:sz w:val="32"/>
          <w:szCs w:val="32"/>
          <w:highlight w:val="none"/>
        </w:rPr>
        <w:t>估价项目：</w:t>
      </w:r>
      <w:r>
        <w:rPr>
          <w:rFonts w:hint="eastAsia" w:eastAsia="楷体_GB2312"/>
          <w:b/>
          <w:color w:val="000000" w:themeColor="text1"/>
          <w:sz w:val="32"/>
          <w:szCs w:val="32"/>
          <w:highlight w:val="none"/>
          <w:lang w:eastAsia="zh-CN"/>
        </w:rPr>
        <w:t>胶南市海滨十路377号11栋1单元1804房屋</w:t>
      </w:r>
      <w:r>
        <w:rPr>
          <w:rFonts w:eastAsia="楷体_GB2312"/>
          <w:b/>
          <w:color w:val="000000" w:themeColor="text1"/>
          <w:sz w:val="32"/>
          <w:szCs w:val="32"/>
          <w:highlight w:val="none"/>
        </w:rPr>
        <w:t>市场价值评估</w:t>
      </w:r>
    </w:p>
    <w:p>
      <w:pPr>
        <w:ind w:firstLine="723" w:firstLineChars="225"/>
        <w:rPr>
          <w:rFonts w:hint="eastAsia" w:eastAsia="楷体_GB2312"/>
          <w:b/>
          <w:color w:val="000000" w:themeColor="text1"/>
          <w:sz w:val="32"/>
          <w:szCs w:val="32"/>
          <w:highlight w:val="none"/>
          <w:lang w:eastAsia="zh-CN"/>
        </w:rPr>
      </w:pPr>
      <w:r>
        <w:rPr>
          <w:rFonts w:eastAsia="楷体_GB2312"/>
          <w:b/>
          <w:color w:val="000000" w:themeColor="text1"/>
          <w:sz w:val="32"/>
          <w:szCs w:val="32"/>
          <w:highlight w:val="none"/>
        </w:rPr>
        <w:t>估价委托人：</w:t>
      </w:r>
      <w:r>
        <w:rPr>
          <w:rFonts w:hint="eastAsia" w:eastAsia="楷体_GB2312"/>
          <w:b/>
          <w:color w:val="000000" w:themeColor="text1"/>
          <w:sz w:val="32"/>
          <w:szCs w:val="32"/>
          <w:highlight w:val="none"/>
          <w:lang w:eastAsia="zh-CN"/>
        </w:rPr>
        <w:t>青岛市黄岛区人民法院</w:t>
      </w:r>
    </w:p>
    <w:p>
      <w:pPr>
        <w:ind w:firstLine="723" w:firstLineChars="225"/>
        <w:rPr>
          <w:rFonts w:eastAsia="楷体_GB2312"/>
          <w:b/>
          <w:color w:val="000000" w:themeColor="text1"/>
          <w:sz w:val="32"/>
          <w:szCs w:val="32"/>
          <w:highlight w:val="none"/>
        </w:rPr>
      </w:pPr>
      <w:r>
        <w:rPr>
          <w:rFonts w:eastAsia="楷体_GB2312"/>
          <w:b/>
          <w:color w:val="000000" w:themeColor="text1"/>
          <w:sz w:val="32"/>
          <w:szCs w:val="32"/>
          <w:highlight w:val="none"/>
        </w:rPr>
        <w:t>评估机构：青岛恒德房地产土地评估有限公司</w:t>
      </w:r>
    </w:p>
    <w:p>
      <w:pPr>
        <w:ind w:firstLine="803" w:firstLineChars="250"/>
        <w:rPr>
          <w:rFonts w:hint="eastAsia" w:eastAsia="楷体_GB2312"/>
          <w:b/>
          <w:color w:val="000000" w:themeColor="text1"/>
          <w:sz w:val="32"/>
          <w:szCs w:val="32"/>
          <w:highlight w:val="none"/>
          <w:lang w:eastAsia="zh-CN"/>
        </w:rPr>
      </w:pPr>
      <w:r>
        <w:rPr>
          <w:rFonts w:eastAsia="楷体_GB2312"/>
          <w:b/>
          <w:color w:val="000000" w:themeColor="text1"/>
          <w:sz w:val="32"/>
          <w:szCs w:val="32"/>
          <w:highlight w:val="none"/>
        </w:rPr>
        <w:t>注册房地产估价师：</w:t>
      </w:r>
      <w:r>
        <w:rPr>
          <w:rFonts w:hint="eastAsia" w:eastAsia="楷体_GB2312"/>
          <w:b/>
          <w:color w:val="000000" w:themeColor="text1"/>
          <w:sz w:val="32"/>
          <w:szCs w:val="32"/>
          <w:highlight w:val="none"/>
          <w:lang w:eastAsia="zh-CN"/>
        </w:rPr>
        <w:t>陈</w:t>
      </w:r>
      <w:r>
        <w:rPr>
          <w:rFonts w:hint="eastAsia" w:eastAsia="楷体_GB2312"/>
          <w:b/>
          <w:color w:val="000000" w:themeColor="text1"/>
          <w:sz w:val="32"/>
          <w:szCs w:val="32"/>
          <w:highlight w:val="none"/>
          <w:lang w:val="en-US" w:eastAsia="zh-CN"/>
        </w:rPr>
        <w:t xml:space="preserve">  </w:t>
      </w:r>
      <w:r>
        <w:rPr>
          <w:rFonts w:hint="eastAsia" w:eastAsia="楷体_GB2312"/>
          <w:b/>
          <w:color w:val="000000" w:themeColor="text1"/>
          <w:sz w:val="32"/>
          <w:szCs w:val="32"/>
          <w:highlight w:val="none"/>
          <w:lang w:eastAsia="zh-CN"/>
        </w:rPr>
        <w:t>雷</w:t>
      </w:r>
      <w:r>
        <w:rPr>
          <w:rFonts w:eastAsia="楷体_GB2312"/>
          <w:b/>
          <w:color w:val="000000" w:themeColor="text1"/>
          <w:sz w:val="32"/>
          <w:szCs w:val="32"/>
          <w:highlight w:val="none"/>
        </w:rPr>
        <w:t xml:space="preserve">    注册号：</w:t>
      </w:r>
      <w:r>
        <w:rPr>
          <w:rFonts w:hint="eastAsia" w:eastAsia="楷体_GB2312"/>
          <w:b/>
          <w:color w:val="000000" w:themeColor="text1"/>
          <w:sz w:val="32"/>
          <w:szCs w:val="32"/>
          <w:highlight w:val="none"/>
          <w:lang w:eastAsia="zh-CN"/>
        </w:rPr>
        <w:t>3720060157</w:t>
      </w:r>
    </w:p>
    <w:p>
      <w:pPr>
        <w:ind w:firstLine="3752" w:firstLineChars="1168"/>
        <w:rPr>
          <w:rFonts w:eastAsia="楷体_GB2312"/>
          <w:b/>
          <w:color w:val="000000" w:themeColor="text1"/>
          <w:sz w:val="32"/>
          <w:szCs w:val="32"/>
          <w:highlight w:val="none"/>
        </w:rPr>
      </w:pPr>
      <w:r>
        <w:rPr>
          <w:rFonts w:eastAsia="楷体_GB2312"/>
          <w:b/>
          <w:color w:val="000000" w:themeColor="text1"/>
          <w:sz w:val="32"/>
          <w:szCs w:val="32"/>
          <w:highlight w:val="none"/>
        </w:rPr>
        <w:t>黄昱晴    注册号：3719960004</w:t>
      </w:r>
    </w:p>
    <w:p>
      <w:pPr>
        <w:ind w:firstLine="723" w:firstLineChars="225"/>
        <w:rPr>
          <w:rFonts w:hint="eastAsia" w:eastAsia="楷体_GB2312"/>
          <w:b/>
          <w:color w:val="000000" w:themeColor="text1"/>
          <w:sz w:val="28"/>
          <w:highlight w:val="none"/>
          <w:lang w:eastAsia="zh-CN"/>
        </w:rPr>
      </w:pPr>
      <w:r>
        <w:rPr>
          <w:rFonts w:eastAsia="楷体_GB2312"/>
          <w:b/>
          <w:color w:val="000000" w:themeColor="text1"/>
          <w:sz w:val="32"/>
          <w:szCs w:val="32"/>
          <w:highlight w:val="none"/>
        </w:rPr>
        <w:t>价值时点：</w:t>
      </w:r>
      <w:r>
        <w:rPr>
          <w:rFonts w:hint="eastAsia" w:eastAsia="楷体_GB2312"/>
          <w:b/>
          <w:color w:val="000000" w:themeColor="text1"/>
          <w:sz w:val="32"/>
          <w:szCs w:val="32"/>
          <w:highlight w:val="none"/>
          <w:lang w:eastAsia="zh-CN"/>
        </w:rPr>
        <w:t>2018年09月07日</w:t>
      </w:r>
    </w:p>
    <w:p>
      <w:pPr>
        <w:ind w:firstLine="723" w:firstLineChars="225"/>
        <w:rPr>
          <w:rFonts w:hint="eastAsia" w:eastAsia="楷体_GB2312"/>
          <w:b/>
          <w:color w:val="000000" w:themeColor="text1"/>
          <w:sz w:val="32"/>
          <w:szCs w:val="32"/>
          <w:highlight w:val="none"/>
          <w:lang w:eastAsia="zh-CN"/>
        </w:rPr>
      </w:pPr>
      <w:r>
        <w:rPr>
          <w:rFonts w:eastAsia="楷体_GB2312"/>
          <w:b/>
          <w:color w:val="000000" w:themeColor="text1"/>
          <w:sz w:val="32"/>
          <w:szCs w:val="32"/>
          <w:highlight w:val="none"/>
        </w:rPr>
        <w:t>报告出具日期：</w:t>
      </w:r>
      <w:r>
        <w:rPr>
          <w:rFonts w:hint="eastAsia" w:eastAsia="楷体_GB2312"/>
          <w:b/>
          <w:color w:val="000000" w:themeColor="text1"/>
          <w:sz w:val="32"/>
          <w:szCs w:val="32"/>
          <w:highlight w:val="none"/>
          <w:lang w:eastAsia="zh-CN"/>
        </w:rPr>
        <w:t>2018年09月14日</w:t>
      </w:r>
    </w:p>
    <w:p>
      <w:pPr>
        <w:ind w:firstLine="723" w:firstLineChars="225"/>
        <w:rPr>
          <w:rFonts w:hint="eastAsia" w:eastAsia="楷体_GB2312"/>
          <w:b/>
          <w:color w:val="000000" w:themeColor="text1"/>
          <w:sz w:val="32"/>
          <w:szCs w:val="32"/>
          <w:highlight w:val="none"/>
          <w:lang w:eastAsia="zh-CN"/>
        </w:rPr>
      </w:pPr>
      <w:r>
        <w:rPr>
          <w:rFonts w:eastAsia="楷体_GB2312"/>
          <w:b/>
          <w:color w:val="000000" w:themeColor="text1"/>
          <w:sz w:val="32"/>
          <w:szCs w:val="32"/>
          <w:highlight w:val="none"/>
        </w:rPr>
        <w:t>估价报告编号：</w:t>
      </w:r>
      <w:r>
        <w:rPr>
          <w:rFonts w:hint="eastAsia" w:eastAsia="楷体_GB2312"/>
          <w:b/>
          <w:color w:val="000000" w:themeColor="text1"/>
          <w:sz w:val="32"/>
          <w:szCs w:val="32"/>
          <w:highlight w:val="none"/>
          <w:lang w:eastAsia="zh-CN"/>
        </w:rPr>
        <w:t>青恒估字（2018）第496号</w:t>
      </w:r>
    </w:p>
    <w:p>
      <w:pPr>
        <w:rPr>
          <w:rFonts w:eastAsia="黑体"/>
          <w:b/>
          <w:color w:val="000000" w:themeColor="text1"/>
          <w:sz w:val="44"/>
          <w:szCs w:val="44"/>
          <w:highlight w:val="none"/>
        </w:rPr>
      </w:pPr>
    </w:p>
    <w:p>
      <w:pPr>
        <w:spacing w:line="480" w:lineRule="exact"/>
        <w:jc w:val="center"/>
        <w:rPr>
          <w:b/>
          <w:bCs/>
          <w:color w:val="000000" w:themeColor="text1"/>
          <w:sz w:val="32"/>
          <w:szCs w:val="32"/>
          <w:highlight w:val="none"/>
        </w:rPr>
      </w:pPr>
      <w:r>
        <w:rPr>
          <w:b/>
          <w:bCs/>
          <w:color w:val="000000" w:themeColor="text1"/>
          <w:sz w:val="32"/>
          <w:szCs w:val="32"/>
          <w:highlight w:val="none"/>
        </w:rPr>
        <w:t>致估价委托人函</w:t>
      </w:r>
    </w:p>
    <w:p>
      <w:pPr>
        <w:spacing w:line="480" w:lineRule="exact"/>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r>
        <w:rPr>
          <w:rFonts w:hint="eastAsia" w:eastAsia="仿宋_GB2312"/>
          <w:color w:val="000000" w:themeColor="text1"/>
          <w:sz w:val="28"/>
          <w:szCs w:val="28"/>
          <w:highlight w:val="none"/>
          <w:lang w:eastAsia="zh-CN"/>
        </w:rPr>
        <w:t>青岛市黄岛区人民法院</w:t>
      </w:r>
      <w:r>
        <w:rPr>
          <w:rFonts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受贵院的委托，依据</w:t>
      </w:r>
      <w:r>
        <w:rPr>
          <w:rFonts w:hint="eastAsia" w:eastAsia="仿宋_GB2312"/>
          <w:color w:val="000000" w:themeColor="text1"/>
          <w:sz w:val="28"/>
          <w:szCs w:val="28"/>
          <w:highlight w:val="none"/>
          <w:lang w:eastAsia="zh-CN"/>
        </w:rPr>
        <w:t>（2018）黄鉴字392号司法鉴定委托书</w:t>
      </w:r>
      <w:r>
        <w:rPr>
          <w:rFonts w:eastAsia="仿宋_GB2312"/>
          <w:color w:val="000000" w:themeColor="text1"/>
          <w:sz w:val="28"/>
          <w:szCs w:val="28"/>
          <w:highlight w:val="none"/>
        </w:rPr>
        <w:t>，本公司对位于</w:t>
      </w:r>
      <w:r>
        <w:rPr>
          <w:rFonts w:hint="eastAsia" w:eastAsia="仿宋_GB2312"/>
          <w:color w:val="000000" w:themeColor="text1"/>
          <w:sz w:val="28"/>
          <w:szCs w:val="28"/>
          <w:highlight w:val="none"/>
          <w:lang w:eastAsia="zh-CN"/>
        </w:rPr>
        <w:t>胶南市海滨十路377号11栋1单元1804房屋</w:t>
      </w:r>
      <w:r>
        <w:rPr>
          <w:rFonts w:eastAsia="仿宋_GB2312"/>
          <w:color w:val="000000" w:themeColor="text1"/>
          <w:sz w:val="28"/>
          <w:szCs w:val="28"/>
          <w:highlight w:val="none"/>
        </w:rPr>
        <w:t>进行了实地查勘，现将实地查勘日</w:t>
      </w:r>
      <w:r>
        <w:rPr>
          <w:rFonts w:hint="eastAsia" w:eastAsia="仿宋_GB2312"/>
          <w:color w:val="000000" w:themeColor="text1"/>
          <w:sz w:val="28"/>
          <w:szCs w:val="28"/>
          <w:highlight w:val="none"/>
          <w:lang w:eastAsia="zh-CN"/>
        </w:rPr>
        <w:t>2018年09月07日</w:t>
      </w:r>
      <w:r>
        <w:rPr>
          <w:rFonts w:eastAsia="仿宋_GB2312"/>
          <w:color w:val="000000" w:themeColor="text1"/>
          <w:sz w:val="28"/>
          <w:szCs w:val="28"/>
          <w:highlight w:val="none"/>
        </w:rPr>
        <w:t>定为价值时点，估价目的是</w:t>
      </w:r>
      <w:r>
        <w:rPr>
          <w:rFonts w:hint="eastAsia" w:eastAsia="仿宋_GB2312"/>
          <w:color w:val="000000" w:themeColor="text1"/>
          <w:sz w:val="28"/>
          <w:szCs w:val="28"/>
          <w:highlight w:val="none"/>
          <w:lang w:eastAsia="zh-CN"/>
        </w:rPr>
        <w:t>评估该房屋</w:t>
      </w:r>
      <w:r>
        <w:rPr>
          <w:rFonts w:eastAsia="仿宋_GB2312"/>
          <w:color w:val="000000" w:themeColor="text1"/>
          <w:sz w:val="28"/>
          <w:szCs w:val="28"/>
          <w:highlight w:val="none"/>
        </w:rPr>
        <w:t>市场价值，为法院执行案件提供价值参考依据。</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估价对象为</w:t>
      </w:r>
      <w:r>
        <w:rPr>
          <w:rFonts w:hint="eastAsia" w:eastAsia="仿宋_GB2312"/>
          <w:color w:val="000000" w:themeColor="text1"/>
          <w:sz w:val="28"/>
          <w:szCs w:val="28"/>
          <w:highlight w:val="none"/>
          <w:lang w:eastAsia="zh-CN"/>
        </w:rPr>
        <w:t>胶南市海滨十路377号11栋1单元1804房屋</w:t>
      </w:r>
      <w:r>
        <w:rPr>
          <w:rFonts w:eastAsia="仿宋_GB2312"/>
          <w:color w:val="000000" w:themeColor="text1"/>
          <w:sz w:val="28"/>
          <w:szCs w:val="28"/>
          <w:highlight w:val="none"/>
        </w:rPr>
        <w:t>，依据法院移送的</w:t>
      </w:r>
      <w:r>
        <w:rPr>
          <w:rFonts w:hint="eastAsia" w:eastAsia="仿宋_GB2312"/>
          <w:color w:val="000000" w:themeColor="text1"/>
          <w:sz w:val="28"/>
          <w:szCs w:val="28"/>
          <w:highlight w:val="none"/>
          <w:lang w:eastAsia="zh-CN"/>
        </w:rPr>
        <w:t>《青岛市不动产登记信息》（复印件）所载</w:t>
      </w:r>
      <w:r>
        <w:rPr>
          <w:rFonts w:eastAsia="仿宋_GB2312"/>
          <w:color w:val="000000" w:themeColor="text1"/>
          <w:sz w:val="28"/>
          <w:szCs w:val="28"/>
          <w:highlight w:val="none"/>
        </w:rPr>
        <w:t>，</w:t>
      </w:r>
      <w:r>
        <w:rPr>
          <w:rFonts w:hint="eastAsia" w:eastAsia="仿宋_GB2312"/>
          <w:color w:val="000000" w:themeColor="text1"/>
          <w:sz w:val="28"/>
          <w:szCs w:val="28"/>
          <w:highlight w:val="none"/>
          <w:lang w:eastAsia="zh-CN"/>
        </w:rPr>
        <w:t>被限制人为巴兰华</w:t>
      </w:r>
      <w:r>
        <w:rPr>
          <w:rFonts w:eastAsia="仿宋_GB2312"/>
          <w:color w:val="000000" w:themeColor="text1"/>
          <w:sz w:val="28"/>
          <w:szCs w:val="28"/>
          <w:highlight w:val="none"/>
        </w:rPr>
        <w:t>，</w:t>
      </w:r>
      <w:r>
        <w:rPr>
          <w:rFonts w:hint="eastAsia" w:eastAsia="仿宋_GB2312"/>
          <w:color w:val="000000" w:themeColor="text1"/>
          <w:sz w:val="28"/>
          <w:szCs w:val="28"/>
          <w:highlight w:val="none"/>
          <w:lang w:eastAsia="zh-CN"/>
        </w:rPr>
        <w:t>房屋建筑面积102.15平方米</w:t>
      </w:r>
      <w:r>
        <w:rPr>
          <w:rFonts w:eastAsia="仿宋_GB2312"/>
          <w:color w:val="000000" w:themeColor="text1"/>
          <w:sz w:val="28"/>
          <w:szCs w:val="28"/>
          <w:highlight w:val="none"/>
        </w:rPr>
        <w:t>。</w:t>
      </w:r>
    </w:p>
    <w:p>
      <w:pPr>
        <w:pStyle w:val="13"/>
        <w:spacing w:line="480" w:lineRule="exact"/>
        <w:ind w:firstLine="567"/>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经过客观公正的评估，得出以下结论：</w:t>
      </w:r>
    </w:p>
    <w:p>
      <w:pPr>
        <w:pStyle w:val="13"/>
        <w:spacing w:line="480" w:lineRule="exact"/>
        <w:ind w:firstLine="567"/>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lang w:eastAsia="zh-CN"/>
        </w:rPr>
        <w:t>2018年09月07日</w:t>
      </w:r>
      <w:r>
        <w:rPr>
          <w:rFonts w:ascii="Times New Roman" w:hAnsi="Times New Roman" w:eastAsia="仿宋_GB2312"/>
          <w:color w:val="000000" w:themeColor="text1"/>
          <w:sz w:val="28"/>
          <w:szCs w:val="28"/>
          <w:highlight w:val="none"/>
        </w:rPr>
        <w:t>估价对象市场价值：单价</w:t>
      </w:r>
      <w:r>
        <w:rPr>
          <w:rFonts w:hint="eastAsia" w:ascii="Times New Roman" w:hAnsi="Times New Roman" w:eastAsia="仿宋_GB2312"/>
          <w:color w:val="000000" w:themeColor="text1"/>
          <w:sz w:val="28"/>
          <w:szCs w:val="28"/>
          <w:highlight w:val="none"/>
          <w:lang w:eastAsia="zh-CN"/>
        </w:rPr>
        <w:t>RMB16422元/平方米</w:t>
      </w: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lang w:eastAsia="zh-CN"/>
        </w:rPr>
        <w:t>总价RMB167.75万元</w:t>
      </w:r>
      <w:r>
        <w:rPr>
          <w:rFonts w:ascii="Times New Roman" w:hAnsi="Times New Roman" w:eastAsia="仿宋_GB2312"/>
          <w:color w:val="000000" w:themeColor="text1"/>
          <w:sz w:val="28"/>
          <w:szCs w:val="28"/>
          <w:highlight w:val="none"/>
        </w:rPr>
        <w:t>，大写人民币：</w:t>
      </w:r>
      <w:r>
        <w:rPr>
          <w:rFonts w:hint="eastAsia" w:ascii="Times New Roman" w:hAnsi="Times New Roman" w:eastAsia="仿宋_GB2312"/>
          <w:color w:val="000000" w:themeColor="text1"/>
          <w:sz w:val="28"/>
          <w:szCs w:val="28"/>
          <w:highlight w:val="none"/>
          <w:lang w:eastAsia="zh-CN"/>
        </w:rPr>
        <w:t>壹佰陆拾柒万柒仟伍佰元整</w:t>
      </w:r>
      <w:r>
        <w:rPr>
          <w:rFonts w:ascii="Times New Roman" w:hAnsi="Times New Roman" w:eastAsia="仿宋_GB2312"/>
          <w:color w:val="000000" w:themeColor="text1"/>
          <w:sz w:val="28"/>
          <w:szCs w:val="28"/>
          <w:highlight w:val="none"/>
        </w:rPr>
        <w:t>。</w:t>
      </w:r>
    </w:p>
    <w:p>
      <w:pPr>
        <w:spacing w:line="480" w:lineRule="exact"/>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p>
    <w:p>
      <w:pPr>
        <w:spacing w:line="480" w:lineRule="exact"/>
        <w:ind w:firstLine="980" w:firstLineChars="350"/>
        <w:rPr>
          <w:rFonts w:eastAsia="仿宋_GB2312"/>
          <w:color w:val="000000" w:themeColor="text1"/>
          <w:sz w:val="28"/>
          <w:szCs w:val="28"/>
          <w:highlight w:val="none"/>
        </w:rPr>
      </w:pPr>
      <w:r>
        <w:rPr>
          <w:rFonts w:eastAsia="仿宋_GB2312"/>
          <w:color w:val="000000" w:themeColor="text1"/>
          <w:sz w:val="28"/>
          <w:szCs w:val="28"/>
          <w:highlight w:val="none"/>
        </w:rPr>
        <w:t xml:space="preserve">此致 </w:t>
      </w:r>
    </w:p>
    <w:p>
      <w:pPr>
        <w:spacing w:line="480" w:lineRule="exact"/>
        <w:ind w:firstLine="5180" w:firstLineChars="1850"/>
        <w:rPr>
          <w:rFonts w:eastAsia="仿宋_GB2312"/>
          <w:color w:val="000000" w:themeColor="text1"/>
          <w:sz w:val="28"/>
          <w:szCs w:val="28"/>
          <w:highlight w:val="none"/>
        </w:rPr>
      </w:pPr>
    </w:p>
    <w:p>
      <w:pPr>
        <w:spacing w:line="480" w:lineRule="exact"/>
        <w:ind w:firstLine="5460" w:firstLineChars="1950"/>
        <w:rPr>
          <w:rFonts w:eastAsia="仿宋_GB2312"/>
          <w:color w:val="000000" w:themeColor="text1"/>
          <w:sz w:val="28"/>
          <w:szCs w:val="28"/>
          <w:highlight w:val="none"/>
        </w:rPr>
      </w:pPr>
      <w:r>
        <w:rPr>
          <w:rFonts w:eastAsia="仿宋_GB2312"/>
          <w:color w:val="000000" w:themeColor="text1"/>
          <w:sz w:val="28"/>
          <w:szCs w:val="28"/>
          <w:highlight w:val="none"/>
        </w:rPr>
        <w:t>法定代表人：</w:t>
      </w:r>
    </w:p>
    <w:p>
      <w:pPr>
        <w:spacing w:line="480" w:lineRule="exact"/>
        <w:ind w:firstLine="630"/>
        <w:jc w:val="right"/>
        <w:rPr>
          <w:rFonts w:eastAsia="仿宋_GB2312"/>
          <w:color w:val="000000" w:themeColor="text1"/>
          <w:sz w:val="28"/>
          <w:szCs w:val="28"/>
          <w:highlight w:val="none"/>
        </w:rPr>
      </w:pPr>
      <w:r>
        <w:rPr>
          <w:rFonts w:eastAsia="仿宋_GB2312"/>
          <w:color w:val="000000" w:themeColor="text1"/>
          <w:sz w:val="28"/>
          <w:szCs w:val="28"/>
          <w:highlight w:val="none"/>
        </w:rPr>
        <w:t xml:space="preserve"> </w:t>
      </w:r>
    </w:p>
    <w:p>
      <w:pPr>
        <w:spacing w:line="480" w:lineRule="exact"/>
        <w:ind w:firstLine="630"/>
        <w:jc w:val="right"/>
        <w:rPr>
          <w:rFonts w:eastAsia="仿宋_GB2312"/>
          <w:color w:val="000000" w:themeColor="text1"/>
          <w:sz w:val="28"/>
          <w:szCs w:val="28"/>
          <w:highlight w:val="none"/>
        </w:rPr>
      </w:pPr>
      <w:r>
        <w:rPr>
          <w:rFonts w:eastAsia="仿宋_GB2312"/>
          <w:color w:val="000000" w:themeColor="text1"/>
          <w:sz w:val="28"/>
          <w:szCs w:val="28"/>
          <w:highlight w:val="none"/>
        </w:rPr>
        <w:t xml:space="preserve">  青岛恒德房地产土地评估有限公司</w:t>
      </w:r>
    </w:p>
    <w:p>
      <w:pPr>
        <w:ind w:firstLine="5180" w:firstLineChars="1850"/>
        <w:rPr>
          <w:rFonts w:hint="eastAsia" w:eastAsia="仿宋_GB2312"/>
          <w:color w:val="000000" w:themeColor="text1"/>
          <w:sz w:val="28"/>
          <w:szCs w:val="28"/>
          <w:highlight w:val="none"/>
          <w:lang w:eastAsia="zh-CN"/>
        </w:rPr>
      </w:pPr>
      <w:r>
        <w:rPr>
          <w:rFonts w:hint="eastAsia" w:eastAsia="仿宋_GB2312"/>
          <w:color w:val="000000" w:themeColor="text1"/>
          <w:sz w:val="28"/>
          <w:szCs w:val="28"/>
          <w:highlight w:val="none"/>
          <w:lang w:eastAsia="zh-CN"/>
        </w:rPr>
        <w:t>二O一八年九月十四日</w:t>
      </w:r>
    </w:p>
    <w:p>
      <w:pPr>
        <w:ind w:firstLine="5180" w:firstLineChars="1850"/>
        <w:rPr>
          <w:rFonts w:hint="eastAsia" w:eastAsia="仿宋_GB2312"/>
          <w:color w:val="000000" w:themeColor="text1"/>
          <w:sz w:val="28"/>
          <w:szCs w:val="28"/>
          <w:highlight w:val="none"/>
          <w:lang w:eastAsia="zh-CN"/>
        </w:rPr>
      </w:pPr>
    </w:p>
    <w:p>
      <w:pPr>
        <w:ind w:firstLine="5180" w:firstLineChars="1850"/>
        <w:rPr>
          <w:rFonts w:hint="eastAsia" w:eastAsia="仿宋_GB2312"/>
          <w:color w:val="000000" w:themeColor="text1"/>
          <w:sz w:val="28"/>
          <w:szCs w:val="28"/>
          <w:highlight w:val="none"/>
          <w:lang w:eastAsia="zh-CN"/>
        </w:rPr>
      </w:pPr>
    </w:p>
    <w:p>
      <w:pPr>
        <w:rPr>
          <w:rFonts w:eastAsia="仿宋_GB2312"/>
          <w:color w:val="000000" w:themeColor="text1"/>
          <w:sz w:val="28"/>
          <w:szCs w:val="28"/>
          <w:highlight w:val="none"/>
        </w:rPr>
      </w:pPr>
    </w:p>
    <w:p>
      <w:pPr>
        <w:ind w:firstLine="680"/>
        <w:jc w:val="center"/>
        <w:rPr>
          <w:b/>
          <w:color w:val="000000" w:themeColor="text1"/>
          <w:sz w:val="32"/>
          <w:szCs w:val="32"/>
          <w:highlight w:val="none"/>
        </w:rPr>
      </w:pPr>
      <w:r>
        <w:rPr>
          <w:b/>
          <w:color w:val="000000" w:themeColor="text1"/>
          <w:sz w:val="32"/>
          <w:szCs w:val="32"/>
          <w:highlight w:val="none"/>
        </w:rPr>
        <w:t>目        录</w:t>
      </w:r>
    </w:p>
    <w:p>
      <w:pPr>
        <w:ind w:firstLine="680"/>
        <w:jc w:val="center"/>
        <w:rPr>
          <w:rFonts w:eastAsia="黑体"/>
          <w:b/>
          <w:color w:val="000000" w:themeColor="text1"/>
          <w:sz w:val="44"/>
          <w:highlight w:val="none"/>
        </w:rPr>
      </w:pPr>
    </w:p>
    <w:p>
      <w:pPr>
        <w:pStyle w:val="19"/>
        <w:tabs>
          <w:tab w:val="right" w:leader="dot" w:pos="8845"/>
        </w:tabs>
      </w:pPr>
      <w:r>
        <w:rPr>
          <w:rFonts w:eastAsia="仿宋_GB2312"/>
          <w:color w:val="000000" w:themeColor="text1"/>
          <w:sz w:val="28"/>
          <w:szCs w:val="28"/>
          <w:highlight w:val="none"/>
        </w:rPr>
        <w:fldChar w:fldCharType="begin"/>
      </w:r>
      <w:r>
        <w:rPr>
          <w:rFonts w:eastAsia="仿宋_GB2312"/>
          <w:color w:val="000000" w:themeColor="text1"/>
          <w:sz w:val="28"/>
          <w:szCs w:val="28"/>
          <w:highlight w:val="none"/>
        </w:rPr>
        <w:instrText xml:space="preserve"> TOC \o "1-3" \h \z \u </w:instrText>
      </w:r>
      <w:r>
        <w:rPr>
          <w:rFonts w:eastAsia="仿宋_GB2312"/>
          <w:color w:val="000000" w:themeColor="text1"/>
          <w:sz w:val="28"/>
          <w:szCs w:val="28"/>
          <w:highlight w:val="none"/>
        </w:rPr>
        <w:fldChar w:fldCharType="separate"/>
      </w:r>
      <w:r>
        <w:rPr>
          <w:rFonts w:eastAsia="仿宋_GB2312"/>
          <w:color w:val="000000" w:themeColor="text1"/>
          <w:szCs w:val="28"/>
          <w:highlight w:val="none"/>
        </w:rPr>
        <w:fldChar w:fldCharType="begin"/>
      </w:r>
      <w:r>
        <w:rPr>
          <w:rFonts w:eastAsia="仿宋_GB2312"/>
          <w:szCs w:val="28"/>
          <w:highlight w:val="none"/>
        </w:rPr>
        <w:instrText xml:space="preserve"> HYPERLINK \l _Toc7371 </w:instrText>
      </w:r>
      <w:r>
        <w:rPr>
          <w:rFonts w:eastAsia="仿宋_GB2312"/>
          <w:szCs w:val="28"/>
          <w:highlight w:val="none"/>
        </w:rPr>
        <w:fldChar w:fldCharType="separate"/>
      </w:r>
      <w:r>
        <w:rPr>
          <w:szCs w:val="32"/>
          <w:highlight w:val="none"/>
        </w:rPr>
        <w:t>估 价 师 声 明</w:t>
      </w:r>
      <w:r>
        <w:tab/>
      </w:r>
      <w:r>
        <w:fldChar w:fldCharType="begin"/>
      </w:r>
      <w:r>
        <w:instrText xml:space="preserve"> PAGEREF _Toc7371 </w:instrText>
      </w:r>
      <w:r>
        <w:fldChar w:fldCharType="separate"/>
      </w:r>
      <w:r>
        <w:t>4</w:t>
      </w:r>
      <w:r>
        <w:fldChar w:fldCharType="end"/>
      </w:r>
      <w:r>
        <w:rPr>
          <w:rFonts w:eastAsia="仿宋_GB2312"/>
          <w:color w:val="000000" w:themeColor="text1"/>
          <w:szCs w:val="28"/>
          <w:highlight w:val="none"/>
        </w:rPr>
        <w:fldChar w:fldCharType="end"/>
      </w:r>
    </w:p>
    <w:p>
      <w:pPr>
        <w:pStyle w:val="19"/>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_Toc23934 </w:instrText>
      </w:r>
      <w:r>
        <w:rPr>
          <w:rFonts w:eastAsia="仿宋_GB2312"/>
          <w:szCs w:val="28"/>
          <w:highlight w:val="none"/>
        </w:rPr>
        <w:fldChar w:fldCharType="separate"/>
      </w:r>
      <w:r>
        <w:rPr>
          <w:szCs w:val="32"/>
          <w:highlight w:val="none"/>
        </w:rPr>
        <w:t>估价的假设和限制条件</w:t>
      </w:r>
      <w:r>
        <w:tab/>
      </w:r>
      <w:r>
        <w:fldChar w:fldCharType="begin"/>
      </w:r>
      <w:r>
        <w:instrText xml:space="preserve"> PAGEREF _Toc23934 </w:instrText>
      </w:r>
      <w:r>
        <w:fldChar w:fldCharType="separate"/>
      </w:r>
      <w:r>
        <w:t>5</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_Toc5870 </w:instrText>
      </w:r>
      <w:r>
        <w:rPr>
          <w:rFonts w:eastAsia="仿宋_GB2312"/>
          <w:szCs w:val="28"/>
          <w:highlight w:val="none"/>
        </w:rPr>
        <w:fldChar w:fldCharType="separate"/>
      </w:r>
      <w:r>
        <w:rPr>
          <w:kern w:val="44"/>
          <w:highlight w:val="none"/>
        </w:rPr>
        <w:t>一、一般假设</w:t>
      </w:r>
      <w:r>
        <w:tab/>
      </w:r>
      <w:r>
        <w:fldChar w:fldCharType="begin"/>
      </w:r>
      <w:r>
        <w:instrText xml:space="preserve"> PAGEREF _Toc5870 </w:instrText>
      </w:r>
      <w:r>
        <w:fldChar w:fldCharType="separate"/>
      </w:r>
      <w:r>
        <w:t>5</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_Toc12851 </w:instrText>
      </w:r>
      <w:r>
        <w:rPr>
          <w:rFonts w:eastAsia="仿宋_GB2312"/>
          <w:szCs w:val="28"/>
          <w:highlight w:val="none"/>
        </w:rPr>
        <w:fldChar w:fldCharType="separate"/>
      </w:r>
      <w:r>
        <w:rPr>
          <w:kern w:val="44"/>
          <w:highlight w:val="none"/>
        </w:rPr>
        <w:t>二、背离事实假设</w:t>
      </w:r>
      <w:r>
        <w:tab/>
      </w:r>
      <w:r>
        <w:fldChar w:fldCharType="begin"/>
      </w:r>
      <w:r>
        <w:instrText xml:space="preserve"> PAGEREF _Toc12851 </w:instrText>
      </w:r>
      <w:r>
        <w:fldChar w:fldCharType="separate"/>
      </w:r>
      <w:r>
        <w:t>5</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_Toc6932 </w:instrText>
      </w:r>
      <w:r>
        <w:rPr>
          <w:rFonts w:eastAsia="仿宋_GB2312"/>
          <w:szCs w:val="28"/>
          <w:highlight w:val="none"/>
        </w:rPr>
        <w:fldChar w:fldCharType="separate"/>
      </w:r>
      <w:r>
        <w:rPr>
          <w:kern w:val="44"/>
          <w:highlight w:val="none"/>
        </w:rPr>
        <w:t>三、不相一致假设</w:t>
      </w:r>
      <w:r>
        <w:tab/>
      </w:r>
      <w:r>
        <w:fldChar w:fldCharType="begin"/>
      </w:r>
      <w:r>
        <w:instrText xml:space="preserve"> PAGEREF _Toc6932 </w:instrText>
      </w:r>
      <w:r>
        <w:fldChar w:fldCharType="separate"/>
      </w:r>
      <w:r>
        <w:t>5</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_Toc15379 </w:instrText>
      </w:r>
      <w:r>
        <w:rPr>
          <w:rFonts w:eastAsia="仿宋_GB2312"/>
          <w:szCs w:val="28"/>
          <w:highlight w:val="none"/>
        </w:rPr>
        <w:fldChar w:fldCharType="separate"/>
      </w:r>
      <w:r>
        <w:rPr>
          <w:kern w:val="44"/>
          <w:highlight w:val="none"/>
        </w:rPr>
        <w:t>四、依据不足假设</w:t>
      </w:r>
      <w:r>
        <w:tab/>
      </w:r>
      <w:r>
        <w:fldChar w:fldCharType="begin"/>
      </w:r>
      <w:r>
        <w:instrText xml:space="preserve"> PAGEREF _Toc15379 </w:instrText>
      </w:r>
      <w:r>
        <w:fldChar w:fldCharType="separate"/>
      </w:r>
      <w:r>
        <w:t>5</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_Toc25375 </w:instrText>
      </w:r>
      <w:r>
        <w:rPr>
          <w:rFonts w:eastAsia="仿宋_GB2312"/>
          <w:szCs w:val="28"/>
          <w:highlight w:val="none"/>
        </w:rPr>
        <w:fldChar w:fldCharType="separate"/>
      </w:r>
      <w:r>
        <w:rPr>
          <w:kern w:val="44"/>
          <w:highlight w:val="none"/>
        </w:rPr>
        <w:t>五、估价报告使用限制</w:t>
      </w:r>
      <w:r>
        <w:tab/>
      </w:r>
      <w:r>
        <w:fldChar w:fldCharType="begin"/>
      </w:r>
      <w:r>
        <w:instrText xml:space="preserve"> PAGEREF _Toc25375 </w:instrText>
      </w:r>
      <w:r>
        <w:fldChar w:fldCharType="separate"/>
      </w:r>
      <w:r>
        <w:t>6</w:t>
      </w:r>
      <w:r>
        <w:fldChar w:fldCharType="end"/>
      </w:r>
      <w:r>
        <w:rPr>
          <w:rFonts w:eastAsia="仿宋_GB2312"/>
          <w:color w:val="000000" w:themeColor="text1"/>
          <w:szCs w:val="28"/>
          <w:highlight w:val="none"/>
        </w:rPr>
        <w:fldChar w:fldCharType="end"/>
      </w:r>
    </w:p>
    <w:p>
      <w:pPr>
        <w:pStyle w:val="19"/>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_Toc14610 </w:instrText>
      </w:r>
      <w:r>
        <w:rPr>
          <w:rFonts w:eastAsia="仿宋_GB2312"/>
          <w:szCs w:val="28"/>
          <w:highlight w:val="none"/>
        </w:rPr>
        <w:fldChar w:fldCharType="separate"/>
      </w:r>
      <w:r>
        <w:rPr>
          <w:szCs w:val="32"/>
          <w:highlight w:val="none"/>
        </w:rPr>
        <w:t>房地产估价结果报告</w:t>
      </w:r>
      <w:r>
        <w:tab/>
      </w:r>
      <w:r>
        <w:fldChar w:fldCharType="begin"/>
      </w:r>
      <w:r>
        <w:instrText xml:space="preserve"> PAGEREF _Toc14610 </w:instrText>
      </w:r>
      <w:r>
        <w:fldChar w:fldCharType="separate"/>
      </w:r>
      <w:r>
        <w:t>7</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_Toc23141 </w:instrText>
      </w:r>
      <w:r>
        <w:rPr>
          <w:rFonts w:eastAsia="仿宋_GB2312"/>
          <w:szCs w:val="28"/>
          <w:highlight w:val="none"/>
        </w:rPr>
        <w:fldChar w:fldCharType="separate"/>
      </w:r>
      <w:r>
        <w:rPr>
          <w:kern w:val="44"/>
          <w:highlight w:val="none"/>
        </w:rPr>
        <w:t>一、估价委托人</w:t>
      </w:r>
      <w:r>
        <w:tab/>
      </w:r>
      <w:r>
        <w:fldChar w:fldCharType="begin"/>
      </w:r>
      <w:r>
        <w:instrText xml:space="preserve"> PAGEREF _Toc23141 </w:instrText>
      </w:r>
      <w:r>
        <w:fldChar w:fldCharType="separate"/>
      </w:r>
      <w:r>
        <w:t>7</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_Toc16277 </w:instrText>
      </w:r>
      <w:r>
        <w:rPr>
          <w:rFonts w:eastAsia="仿宋_GB2312"/>
          <w:szCs w:val="28"/>
          <w:highlight w:val="none"/>
        </w:rPr>
        <w:fldChar w:fldCharType="separate"/>
      </w:r>
      <w:r>
        <w:rPr>
          <w:kern w:val="44"/>
          <w:highlight w:val="none"/>
        </w:rPr>
        <w:t>二、评估机构</w:t>
      </w:r>
      <w:r>
        <w:tab/>
      </w:r>
      <w:r>
        <w:fldChar w:fldCharType="begin"/>
      </w:r>
      <w:r>
        <w:instrText xml:space="preserve"> PAGEREF _Toc16277 </w:instrText>
      </w:r>
      <w:r>
        <w:fldChar w:fldCharType="separate"/>
      </w:r>
      <w:r>
        <w:t>7</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_Toc23676 </w:instrText>
      </w:r>
      <w:r>
        <w:rPr>
          <w:rFonts w:eastAsia="仿宋_GB2312"/>
          <w:szCs w:val="28"/>
          <w:highlight w:val="none"/>
        </w:rPr>
        <w:fldChar w:fldCharType="separate"/>
      </w:r>
      <w:r>
        <w:rPr>
          <w:kern w:val="44"/>
          <w:highlight w:val="none"/>
        </w:rPr>
        <w:t>三、估价对象</w:t>
      </w:r>
      <w:r>
        <w:tab/>
      </w:r>
      <w:r>
        <w:fldChar w:fldCharType="begin"/>
      </w:r>
      <w:r>
        <w:instrText xml:space="preserve"> PAGEREF _Toc23676 </w:instrText>
      </w:r>
      <w:r>
        <w:fldChar w:fldCharType="separate"/>
      </w:r>
      <w:r>
        <w:t>7</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_Toc26778 </w:instrText>
      </w:r>
      <w:r>
        <w:rPr>
          <w:rFonts w:eastAsia="仿宋_GB2312"/>
          <w:szCs w:val="28"/>
          <w:highlight w:val="none"/>
        </w:rPr>
        <w:fldChar w:fldCharType="separate"/>
      </w:r>
      <w:r>
        <w:rPr>
          <w:kern w:val="44"/>
          <w:highlight w:val="none"/>
        </w:rPr>
        <w:t>四、价值时点</w:t>
      </w:r>
      <w:r>
        <w:tab/>
      </w:r>
      <w:r>
        <w:fldChar w:fldCharType="begin"/>
      </w:r>
      <w:r>
        <w:instrText xml:space="preserve"> PAGEREF _Toc26778 </w:instrText>
      </w:r>
      <w:r>
        <w:fldChar w:fldCharType="separate"/>
      </w:r>
      <w:r>
        <w:t>8</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_Toc822 </w:instrText>
      </w:r>
      <w:r>
        <w:rPr>
          <w:rFonts w:eastAsia="仿宋_GB2312"/>
          <w:szCs w:val="28"/>
          <w:highlight w:val="none"/>
        </w:rPr>
        <w:fldChar w:fldCharType="separate"/>
      </w:r>
      <w:r>
        <w:rPr>
          <w:kern w:val="44"/>
          <w:highlight w:val="none"/>
        </w:rPr>
        <w:t>五、估价目的</w:t>
      </w:r>
      <w:r>
        <w:tab/>
      </w:r>
      <w:r>
        <w:fldChar w:fldCharType="begin"/>
      </w:r>
      <w:r>
        <w:instrText xml:space="preserve"> PAGEREF _Toc822 </w:instrText>
      </w:r>
      <w:r>
        <w:fldChar w:fldCharType="separate"/>
      </w:r>
      <w:r>
        <w:t>8</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_Toc45 </w:instrText>
      </w:r>
      <w:r>
        <w:rPr>
          <w:rFonts w:eastAsia="仿宋_GB2312"/>
          <w:szCs w:val="28"/>
          <w:highlight w:val="none"/>
        </w:rPr>
        <w:fldChar w:fldCharType="separate"/>
      </w:r>
      <w:r>
        <w:rPr>
          <w:kern w:val="44"/>
          <w:highlight w:val="none"/>
        </w:rPr>
        <w:t>六、价值类型</w:t>
      </w:r>
      <w:r>
        <w:tab/>
      </w:r>
      <w:r>
        <w:fldChar w:fldCharType="begin"/>
      </w:r>
      <w:r>
        <w:instrText xml:space="preserve"> PAGEREF _Toc45 </w:instrText>
      </w:r>
      <w:r>
        <w:fldChar w:fldCharType="separate"/>
      </w:r>
      <w:r>
        <w:t>8</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_Toc17877 </w:instrText>
      </w:r>
      <w:r>
        <w:rPr>
          <w:rFonts w:eastAsia="仿宋_GB2312"/>
          <w:szCs w:val="28"/>
          <w:highlight w:val="none"/>
        </w:rPr>
        <w:fldChar w:fldCharType="separate"/>
      </w:r>
      <w:r>
        <w:rPr>
          <w:kern w:val="44"/>
          <w:highlight w:val="none"/>
        </w:rPr>
        <w:t>七、估价原则</w:t>
      </w:r>
      <w:r>
        <w:tab/>
      </w:r>
      <w:r>
        <w:fldChar w:fldCharType="begin"/>
      </w:r>
      <w:r>
        <w:instrText xml:space="preserve"> PAGEREF _Toc17877 </w:instrText>
      </w:r>
      <w:r>
        <w:fldChar w:fldCharType="separate"/>
      </w:r>
      <w:r>
        <w:t>8</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_Toc5737 </w:instrText>
      </w:r>
      <w:r>
        <w:rPr>
          <w:rFonts w:eastAsia="仿宋_GB2312"/>
          <w:szCs w:val="28"/>
          <w:highlight w:val="none"/>
        </w:rPr>
        <w:fldChar w:fldCharType="separate"/>
      </w:r>
      <w:r>
        <w:rPr>
          <w:kern w:val="44"/>
          <w:highlight w:val="none"/>
        </w:rPr>
        <w:t>八、估价依据</w:t>
      </w:r>
      <w:r>
        <w:tab/>
      </w:r>
      <w:r>
        <w:fldChar w:fldCharType="begin"/>
      </w:r>
      <w:r>
        <w:instrText xml:space="preserve"> PAGEREF _Toc5737 </w:instrText>
      </w:r>
      <w:r>
        <w:fldChar w:fldCharType="separate"/>
      </w:r>
      <w:r>
        <w:t>9</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_Toc31352 </w:instrText>
      </w:r>
      <w:r>
        <w:rPr>
          <w:rFonts w:eastAsia="仿宋_GB2312"/>
          <w:szCs w:val="28"/>
          <w:highlight w:val="none"/>
        </w:rPr>
        <w:fldChar w:fldCharType="separate"/>
      </w:r>
      <w:r>
        <w:rPr>
          <w:kern w:val="44"/>
          <w:highlight w:val="none"/>
        </w:rPr>
        <w:t>九、评估方法</w:t>
      </w:r>
      <w:r>
        <w:tab/>
      </w:r>
      <w:r>
        <w:fldChar w:fldCharType="begin"/>
      </w:r>
      <w:r>
        <w:instrText xml:space="preserve"> PAGEREF _Toc31352 </w:instrText>
      </w:r>
      <w:r>
        <w:fldChar w:fldCharType="separate"/>
      </w:r>
      <w:r>
        <w:t>10</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_Toc23957 </w:instrText>
      </w:r>
      <w:r>
        <w:rPr>
          <w:rFonts w:eastAsia="仿宋_GB2312"/>
          <w:szCs w:val="28"/>
          <w:highlight w:val="none"/>
        </w:rPr>
        <w:fldChar w:fldCharType="separate"/>
      </w:r>
      <w:r>
        <w:rPr>
          <w:kern w:val="44"/>
          <w:highlight w:val="none"/>
        </w:rPr>
        <w:t>十、估价结果</w:t>
      </w:r>
      <w:r>
        <w:tab/>
      </w:r>
      <w:r>
        <w:fldChar w:fldCharType="begin"/>
      </w:r>
      <w:r>
        <w:instrText xml:space="preserve"> PAGEREF _Toc23957 </w:instrText>
      </w:r>
      <w:r>
        <w:fldChar w:fldCharType="separate"/>
      </w:r>
      <w:r>
        <w:t>10</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_Toc5200 </w:instrText>
      </w:r>
      <w:r>
        <w:rPr>
          <w:rFonts w:eastAsia="仿宋_GB2312"/>
          <w:szCs w:val="28"/>
          <w:highlight w:val="none"/>
        </w:rPr>
        <w:fldChar w:fldCharType="separate"/>
      </w:r>
      <w:r>
        <w:rPr>
          <w:kern w:val="44"/>
          <w:highlight w:val="none"/>
        </w:rPr>
        <w:t>十一、评估人员</w:t>
      </w:r>
      <w:r>
        <w:tab/>
      </w:r>
      <w:r>
        <w:fldChar w:fldCharType="begin"/>
      </w:r>
      <w:r>
        <w:instrText xml:space="preserve"> PAGEREF _Toc5200 </w:instrText>
      </w:r>
      <w:r>
        <w:fldChar w:fldCharType="separate"/>
      </w:r>
      <w:r>
        <w:t>11</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_Toc26143 </w:instrText>
      </w:r>
      <w:r>
        <w:rPr>
          <w:rFonts w:eastAsia="仿宋_GB2312"/>
          <w:szCs w:val="28"/>
          <w:highlight w:val="none"/>
        </w:rPr>
        <w:fldChar w:fldCharType="separate"/>
      </w:r>
      <w:r>
        <w:rPr>
          <w:kern w:val="44"/>
          <w:highlight w:val="none"/>
        </w:rPr>
        <w:t>十二、估价作业日期</w:t>
      </w:r>
      <w:r>
        <w:tab/>
      </w:r>
      <w:r>
        <w:fldChar w:fldCharType="begin"/>
      </w:r>
      <w:r>
        <w:instrText xml:space="preserve"> PAGEREF _Toc26143 </w:instrText>
      </w:r>
      <w:r>
        <w:fldChar w:fldCharType="separate"/>
      </w:r>
      <w:r>
        <w:t>11</w:t>
      </w:r>
      <w:r>
        <w:fldChar w:fldCharType="end"/>
      </w:r>
      <w:r>
        <w:rPr>
          <w:rFonts w:eastAsia="仿宋_GB2312"/>
          <w:color w:val="000000" w:themeColor="text1"/>
          <w:szCs w:val="28"/>
          <w:highlight w:val="none"/>
        </w:rPr>
        <w:fldChar w:fldCharType="end"/>
      </w:r>
    </w:p>
    <w:p>
      <w:pPr>
        <w:pStyle w:val="12"/>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_Toc3102 </w:instrText>
      </w:r>
      <w:r>
        <w:rPr>
          <w:rFonts w:eastAsia="仿宋_GB2312"/>
          <w:szCs w:val="28"/>
          <w:highlight w:val="none"/>
        </w:rPr>
        <w:fldChar w:fldCharType="separate"/>
      </w:r>
      <w:r>
        <w:rPr>
          <w:highlight w:val="none"/>
        </w:rPr>
        <w:t>十三、估价报告应用有效期</w:t>
      </w:r>
      <w:r>
        <w:tab/>
      </w:r>
      <w:r>
        <w:fldChar w:fldCharType="begin"/>
      </w:r>
      <w:r>
        <w:instrText xml:space="preserve"> PAGEREF _Toc3102 </w:instrText>
      </w:r>
      <w:r>
        <w:fldChar w:fldCharType="separate"/>
      </w:r>
      <w:r>
        <w:t>11</w:t>
      </w:r>
      <w:r>
        <w:fldChar w:fldCharType="end"/>
      </w:r>
      <w:r>
        <w:rPr>
          <w:rFonts w:eastAsia="仿宋_GB2312"/>
          <w:color w:val="000000" w:themeColor="text1"/>
          <w:szCs w:val="28"/>
          <w:highlight w:val="none"/>
        </w:rPr>
        <w:fldChar w:fldCharType="end"/>
      </w:r>
    </w:p>
    <w:p>
      <w:pPr>
        <w:pStyle w:val="19"/>
        <w:tabs>
          <w:tab w:val="right" w:leader="dot" w:pos="8845"/>
        </w:tabs>
      </w:pPr>
      <w:r>
        <w:rPr>
          <w:rFonts w:eastAsia="仿宋_GB2312"/>
          <w:color w:val="000000" w:themeColor="text1"/>
          <w:szCs w:val="28"/>
          <w:highlight w:val="none"/>
        </w:rPr>
        <w:fldChar w:fldCharType="begin"/>
      </w:r>
      <w:r>
        <w:rPr>
          <w:rFonts w:eastAsia="仿宋_GB2312"/>
          <w:szCs w:val="28"/>
          <w:highlight w:val="none"/>
        </w:rPr>
        <w:instrText xml:space="preserve"> HYPERLINK \l _Toc3975 </w:instrText>
      </w:r>
      <w:r>
        <w:rPr>
          <w:rFonts w:eastAsia="仿宋_GB2312"/>
          <w:szCs w:val="28"/>
          <w:highlight w:val="none"/>
        </w:rPr>
        <w:fldChar w:fldCharType="separate"/>
      </w:r>
      <w:r>
        <w:rPr>
          <w:rFonts w:ascii="Times New Roman" w:hAnsi="Times New Roman" w:eastAsia="宋体" w:cs="Times New Roman"/>
          <w:bCs w:val="0"/>
          <w:kern w:val="2"/>
          <w:szCs w:val="44"/>
          <w:highlight w:val="none"/>
          <w:lang w:val="en-US" w:eastAsia="zh-CN" w:bidi="ar-SA"/>
        </w:rPr>
        <w:t>附    件</w:t>
      </w:r>
      <w:r>
        <w:tab/>
      </w:r>
      <w:r>
        <w:fldChar w:fldCharType="begin"/>
      </w:r>
      <w:r>
        <w:instrText xml:space="preserve"> PAGEREF _Toc3975 </w:instrText>
      </w:r>
      <w:r>
        <w:fldChar w:fldCharType="separate"/>
      </w:r>
      <w:r>
        <w:t>12</w:t>
      </w:r>
      <w:r>
        <w:fldChar w:fldCharType="end"/>
      </w:r>
      <w:r>
        <w:rPr>
          <w:rFonts w:eastAsia="仿宋_GB2312"/>
          <w:color w:val="000000" w:themeColor="text1"/>
          <w:szCs w:val="28"/>
          <w:highlight w:val="none"/>
        </w:rPr>
        <w:fldChar w:fldCharType="end"/>
      </w:r>
    </w:p>
    <w:p>
      <w:pPr>
        <w:spacing w:line="320" w:lineRule="atLeast"/>
        <w:rPr>
          <w:rFonts w:eastAsia="仿宋_GB2312"/>
          <w:color w:val="000000" w:themeColor="text1"/>
          <w:sz w:val="24"/>
          <w:szCs w:val="24"/>
          <w:highlight w:val="none"/>
        </w:rPr>
      </w:pPr>
      <w:r>
        <w:rPr>
          <w:rFonts w:eastAsia="仿宋_GB2312"/>
          <w:color w:val="000000" w:themeColor="text1"/>
          <w:szCs w:val="28"/>
          <w:highlight w:val="none"/>
        </w:rPr>
        <w:fldChar w:fldCharType="end"/>
      </w:r>
    </w:p>
    <w:p>
      <w:pPr>
        <w:pStyle w:val="2"/>
        <w:jc w:val="center"/>
        <w:rPr>
          <w:rFonts w:eastAsia="黑体"/>
          <w:b w:val="0"/>
          <w:color w:val="000000" w:themeColor="text1"/>
          <w:highlight w:val="none"/>
        </w:rPr>
        <w:sectPr>
          <w:headerReference r:id="rId3" w:type="default"/>
          <w:footerReference r:id="rId4" w:type="default"/>
          <w:pgSz w:w="11906" w:h="16838"/>
          <w:pgMar w:top="1440" w:right="1247" w:bottom="1440" w:left="1814" w:header="851" w:footer="992" w:gutter="0"/>
          <w:cols w:space="720" w:num="1"/>
          <w:docGrid w:type="lines" w:linePitch="312" w:charSpace="0"/>
        </w:sectPr>
      </w:pPr>
      <w:bookmarkStart w:id="0" w:name="_Toc298240796"/>
    </w:p>
    <w:bookmarkEnd w:id="0"/>
    <w:p>
      <w:pPr>
        <w:pStyle w:val="2"/>
        <w:jc w:val="center"/>
        <w:rPr>
          <w:color w:val="000000" w:themeColor="text1"/>
          <w:sz w:val="32"/>
          <w:szCs w:val="32"/>
          <w:highlight w:val="none"/>
        </w:rPr>
      </w:pPr>
      <w:bookmarkStart w:id="1" w:name="_Toc298240797"/>
      <w:bookmarkStart w:id="2" w:name="_Toc7371"/>
      <w:r>
        <w:rPr>
          <w:color w:val="000000" w:themeColor="text1"/>
          <w:sz w:val="32"/>
          <w:szCs w:val="32"/>
          <w:highlight w:val="none"/>
        </w:rPr>
        <w:t>估 价 师 声 明</w:t>
      </w:r>
      <w:bookmarkEnd w:id="1"/>
      <w:bookmarkEnd w:id="2"/>
    </w:p>
    <w:p>
      <w:pPr>
        <w:spacing w:line="480" w:lineRule="exact"/>
        <w:rPr>
          <w:rFonts w:eastAsia="仿宋_GB2312"/>
          <w:color w:val="000000" w:themeColor="text1"/>
          <w:sz w:val="28"/>
          <w:szCs w:val="28"/>
          <w:highlight w:val="none"/>
        </w:rPr>
      </w:pPr>
      <w:r>
        <w:rPr>
          <w:rFonts w:eastAsia="仿宋_GB2312"/>
          <w:color w:val="000000" w:themeColor="text1"/>
          <w:sz w:val="28"/>
          <w:szCs w:val="28"/>
          <w:highlight w:val="none"/>
        </w:rPr>
        <w:t>注册房地产估价师</w:t>
      </w:r>
      <w:r>
        <w:rPr>
          <w:rFonts w:hint="eastAsia" w:eastAsia="仿宋_GB2312"/>
          <w:color w:val="000000" w:themeColor="text1"/>
          <w:sz w:val="28"/>
          <w:szCs w:val="28"/>
          <w:highlight w:val="none"/>
          <w:lang w:eastAsia="zh-CN"/>
        </w:rPr>
        <w:t>陈雷</w:t>
      </w:r>
      <w:r>
        <w:rPr>
          <w:rFonts w:eastAsia="仿宋_GB2312"/>
          <w:color w:val="000000" w:themeColor="text1"/>
          <w:sz w:val="28"/>
          <w:szCs w:val="28"/>
          <w:highlight w:val="none"/>
        </w:rPr>
        <w:t>、黄昱晴郑重说明：</w:t>
      </w:r>
    </w:p>
    <w:p>
      <w:pPr>
        <w:spacing w:line="480" w:lineRule="exact"/>
        <w:rPr>
          <w:rFonts w:eastAsia="仿宋_GB2312"/>
          <w:color w:val="000000" w:themeColor="text1"/>
          <w:sz w:val="28"/>
          <w:szCs w:val="28"/>
          <w:highlight w:val="none"/>
        </w:rPr>
      </w:pPr>
      <w:r>
        <w:rPr>
          <w:rFonts w:eastAsia="仿宋_GB2312"/>
          <w:color w:val="000000" w:themeColor="text1"/>
          <w:sz w:val="28"/>
          <w:szCs w:val="28"/>
          <w:highlight w:val="none"/>
        </w:rPr>
        <w:t xml:space="preserve">    1、我们在本估价报告中陈述的事实是真实的和准确的。</w:t>
      </w:r>
    </w:p>
    <w:p>
      <w:pPr>
        <w:spacing w:line="480" w:lineRule="exact"/>
        <w:rPr>
          <w:rFonts w:eastAsia="仿宋_GB2312"/>
          <w:color w:val="000000" w:themeColor="text1"/>
          <w:sz w:val="28"/>
          <w:szCs w:val="28"/>
          <w:highlight w:val="none"/>
        </w:rPr>
      </w:pPr>
      <w:r>
        <w:rPr>
          <w:rFonts w:eastAsia="仿宋_GB2312"/>
          <w:color w:val="000000" w:themeColor="text1"/>
          <w:sz w:val="28"/>
          <w:szCs w:val="28"/>
          <w:highlight w:val="none"/>
        </w:rPr>
        <w:t xml:space="preserve">    2、本评估报告中的分析、意见和结论是我们自己公正的专业分析、意见和结论，但受到本评估报告中已说明的假设和限制条件的限制。</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3、我们与本估价报告中的估价对象没有利害关系，也与有关当事人没有个人利害关系或偏见。</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4、我们依照中华人民共和国国家标准《房地产估价规范》（GB/50291-2015)、《房地产估价基本术语标准》（GB/50899-2013)，进行分析，形成意见和结论，撰写本估价报告。</w:t>
      </w: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rPr>
          <w:rFonts w:eastAsia="仿宋_GB2312"/>
          <w:b/>
          <w:color w:val="000000" w:themeColor="text1"/>
          <w:sz w:val="28"/>
          <w:szCs w:val="28"/>
          <w:highlight w:val="none"/>
        </w:rPr>
      </w:pPr>
    </w:p>
    <w:p>
      <w:pPr>
        <w:spacing w:line="480" w:lineRule="exact"/>
        <w:ind w:firstLine="1750" w:firstLineChars="625"/>
        <w:jc w:val="left"/>
        <w:rPr>
          <w:rFonts w:eastAsia="仿宋_GB2312"/>
          <w:color w:val="000000" w:themeColor="text1"/>
          <w:sz w:val="28"/>
          <w:szCs w:val="28"/>
          <w:highlight w:val="none"/>
        </w:rPr>
      </w:pPr>
    </w:p>
    <w:p>
      <w:pPr>
        <w:spacing w:line="480" w:lineRule="exact"/>
        <w:ind w:firstLine="1750" w:firstLineChars="625"/>
        <w:jc w:val="left"/>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r>
        <w:rPr>
          <w:rFonts w:eastAsia="仿宋_GB2312"/>
          <w:b/>
          <w:color w:val="000000" w:themeColor="text1"/>
          <w:sz w:val="28"/>
          <w:szCs w:val="28"/>
          <w:highlight w:val="none"/>
        </w:rPr>
        <w:t xml:space="preserve">    </w:t>
      </w:r>
      <w:r>
        <w:rPr>
          <w:rFonts w:eastAsia="仿宋_GB2312"/>
          <w:color w:val="000000" w:themeColor="text1"/>
          <w:sz w:val="28"/>
          <w:szCs w:val="28"/>
          <w:highlight w:val="none"/>
        </w:rPr>
        <w:t xml:space="preserve">                            </w:t>
      </w:r>
    </w:p>
    <w:p>
      <w:pPr>
        <w:spacing w:line="480" w:lineRule="exact"/>
        <w:ind w:firstLine="840" w:firstLineChars="300"/>
        <w:jc w:val="left"/>
        <w:rPr>
          <w:rFonts w:hint="eastAsia" w:eastAsia="仿宋_GB2312"/>
          <w:color w:val="000000" w:themeColor="text1"/>
          <w:sz w:val="28"/>
          <w:szCs w:val="28"/>
          <w:highlight w:val="none"/>
          <w:lang w:eastAsia="zh-CN"/>
        </w:rPr>
      </w:pPr>
      <w:r>
        <w:rPr>
          <w:rFonts w:hint="eastAsia" w:eastAsia="仿宋_GB2312"/>
          <w:color w:val="000000" w:themeColor="text1"/>
          <w:sz w:val="28"/>
          <w:szCs w:val="28"/>
          <w:highlight w:val="none"/>
          <w:lang w:eastAsia="zh-CN"/>
        </w:rPr>
        <w:t>陈</w:t>
      </w:r>
      <w:r>
        <w:rPr>
          <w:rFonts w:hint="eastAsia" w:eastAsia="仿宋_GB2312"/>
          <w:color w:val="000000" w:themeColor="text1"/>
          <w:sz w:val="28"/>
          <w:szCs w:val="28"/>
          <w:highlight w:val="none"/>
          <w:lang w:val="en-US" w:eastAsia="zh-CN"/>
        </w:rPr>
        <w:t xml:space="preserve">  </w:t>
      </w:r>
      <w:r>
        <w:rPr>
          <w:rFonts w:hint="eastAsia" w:eastAsia="仿宋_GB2312"/>
          <w:color w:val="000000" w:themeColor="text1"/>
          <w:sz w:val="28"/>
          <w:szCs w:val="28"/>
          <w:highlight w:val="none"/>
          <w:lang w:eastAsia="zh-CN"/>
        </w:rPr>
        <w:t>雷</w:t>
      </w:r>
      <w:r>
        <w:rPr>
          <w:rFonts w:eastAsia="仿宋_GB2312"/>
          <w:color w:val="000000" w:themeColor="text1"/>
          <w:sz w:val="28"/>
          <w:szCs w:val="28"/>
          <w:highlight w:val="none"/>
        </w:rPr>
        <w:t xml:space="preserve">      房地产估价师注册号：</w:t>
      </w:r>
      <w:r>
        <w:rPr>
          <w:rFonts w:hint="eastAsia" w:eastAsia="仿宋_GB2312"/>
          <w:color w:val="000000" w:themeColor="text1"/>
          <w:sz w:val="28"/>
          <w:szCs w:val="28"/>
          <w:highlight w:val="none"/>
          <w:lang w:eastAsia="zh-CN"/>
        </w:rPr>
        <w:t>3720060157</w:t>
      </w:r>
    </w:p>
    <w:p>
      <w:pPr>
        <w:spacing w:line="480" w:lineRule="exact"/>
        <w:jc w:val="center"/>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p>
    <w:p>
      <w:pPr>
        <w:spacing w:line="480" w:lineRule="exact"/>
        <w:ind w:firstLine="840" w:firstLineChars="300"/>
        <w:jc w:val="left"/>
        <w:rPr>
          <w:rFonts w:eastAsia="仿宋_GB2312"/>
          <w:color w:val="000000" w:themeColor="text1"/>
          <w:sz w:val="28"/>
          <w:szCs w:val="28"/>
          <w:highlight w:val="none"/>
        </w:rPr>
      </w:pPr>
      <w:r>
        <w:rPr>
          <w:rFonts w:eastAsia="仿宋_GB2312"/>
          <w:color w:val="000000" w:themeColor="text1"/>
          <w:sz w:val="28"/>
          <w:szCs w:val="28"/>
          <w:highlight w:val="none"/>
        </w:rPr>
        <w:t>黄昱晴      房地产估价师注册号：3719960004</w:t>
      </w:r>
    </w:p>
    <w:p>
      <w:pPr>
        <w:spacing w:line="480" w:lineRule="exact"/>
        <w:jc w:val="center"/>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p>
    <w:p>
      <w:pPr>
        <w:spacing w:line="480" w:lineRule="exact"/>
        <w:jc w:val="center"/>
        <w:rPr>
          <w:rFonts w:eastAsia="仿宋_GB2312"/>
          <w:color w:val="000000" w:themeColor="text1"/>
          <w:sz w:val="28"/>
          <w:szCs w:val="28"/>
          <w:highlight w:val="none"/>
        </w:rPr>
      </w:pPr>
    </w:p>
    <w:p>
      <w:pPr>
        <w:pStyle w:val="2"/>
        <w:jc w:val="center"/>
        <w:rPr>
          <w:color w:val="000000" w:themeColor="text1"/>
          <w:sz w:val="32"/>
          <w:szCs w:val="32"/>
          <w:highlight w:val="none"/>
        </w:rPr>
      </w:pPr>
      <w:bookmarkStart w:id="3" w:name="_Toc298240798"/>
      <w:bookmarkStart w:id="4" w:name="_Toc23934"/>
      <w:r>
        <w:rPr>
          <w:color w:val="000000" w:themeColor="text1"/>
          <w:sz w:val="32"/>
          <w:szCs w:val="32"/>
          <w:highlight w:val="none"/>
        </w:rPr>
        <w:t>估价的假设和限制条件</w:t>
      </w:r>
      <w:bookmarkEnd w:id="3"/>
      <w:bookmarkEnd w:id="4"/>
    </w:p>
    <w:p>
      <w:pPr>
        <w:pStyle w:val="5"/>
        <w:spacing w:before="240" w:after="240" w:line="520" w:lineRule="exact"/>
        <w:rPr>
          <w:color w:val="000000" w:themeColor="text1"/>
          <w:kern w:val="44"/>
          <w:highlight w:val="none"/>
        </w:rPr>
      </w:pPr>
      <w:bookmarkStart w:id="5" w:name="_Toc451514930"/>
      <w:bookmarkStart w:id="6" w:name="_Toc5870"/>
      <w:bookmarkStart w:id="7" w:name="_Toc459706568"/>
      <w:bookmarkStart w:id="8" w:name="_Toc453058685"/>
      <w:bookmarkStart w:id="9" w:name="_Toc450286957"/>
      <w:bookmarkStart w:id="10" w:name="_Toc451859428"/>
      <w:bookmarkStart w:id="11" w:name="_Toc298240802"/>
      <w:r>
        <w:rPr>
          <w:color w:val="000000" w:themeColor="text1"/>
          <w:kern w:val="44"/>
          <w:highlight w:val="none"/>
        </w:rPr>
        <w:t>一、一般假设</w:t>
      </w:r>
      <w:bookmarkEnd w:id="5"/>
      <w:bookmarkEnd w:id="6"/>
      <w:bookmarkEnd w:id="7"/>
      <w:bookmarkEnd w:id="8"/>
      <w:bookmarkEnd w:id="9"/>
      <w:bookmarkEnd w:id="10"/>
    </w:p>
    <w:p>
      <w:pPr>
        <w:pStyle w:val="13"/>
        <w:spacing w:line="480" w:lineRule="exact"/>
        <w:ind w:firstLine="560" w:firstLineChars="200"/>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1、本次估价所依据的估价对象的权属等资料由法院移送，在无理由怀疑其合法性、真实性、准确性和完整性且未予以核实的情况下，假定法院移送的资料合法、真实、准确和完整。</w:t>
      </w:r>
    </w:p>
    <w:p>
      <w:pPr>
        <w:pStyle w:val="13"/>
        <w:spacing w:line="480" w:lineRule="exact"/>
        <w:ind w:firstLine="560" w:firstLineChars="200"/>
        <w:rPr>
          <w:rFonts w:ascii="Times New Roman" w:hAnsi="Times New Roman" w:eastAsia="仿宋_GB2312"/>
          <w:color w:val="000000" w:themeColor="text1"/>
          <w:sz w:val="28"/>
          <w:szCs w:val="28"/>
          <w:highlight w:val="none"/>
        </w:rPr>
      </w:pPr>
      <w:r>
        <w:rPr>
          <w:rFonts w:ascii="Times New Roman" w:hAnsi="Times New Roman" w:eastAsia="仿宋_GB2312"/>
          <w:color w:val="000000" w:themeColor="text1"/>
          <w:sz w:val="28"/>
          <w:szCs w:val="28"/>
          <w:highlight w:val="none"/>
        </w:rPr>
        <w:t>2、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pPr>
        <w:pStyle w:val="5"/>
        <w:spacing w:before="240" w:after="240" w:line="520" w:lineRule="exact"/>
        <w:rPr>
          <w:color w:val="000000" w:themeColor="text1"/>
          <w:kern w:val="44"/>
          <w:highlight w:val="none"/>
        </w:rPr>
      </w:pPr>
      <w:bookmarkStart w:id="12" w:name="_Toc453058687"/>
      <w:bookmarkStart w:id="13" w:name="_Toc12851"/>
      <w:bookmarkStart w:id="14" w:name="_Toc450286959"/>
      <w:bookmarkStart w:id="15" w:name="_Toc451514932"/>
      <w:bookmarkStart w:id="16" w:name="_Toc459706570"/>
      <w:bookmarkStart w:id="17" w:name="_Toc451859430"/>
      <w:r>
        <w:rPr>
          <w:color w:val="000000" w:themeColor="text1"/>
          <w:kern w:val="44"/>
          <w:highlight w:val="none"/>
        </w:rPr>
        <w:t>二、背离事实假设</w:t>
      </w:r>
      <w:bookmarkEnd w:id="12"/>
      <w:bookmarkEnd w:id="13"/>
      <w:bookmarkEnd w:id="14"/>
      <w:bookmarkEnd w:id="15"/>
      <w:bookmarkEnd w:id="16"/>
      <w:bookmarkEnd w:id="17"/>
    </w:p>
    <w:p>
      <w:pPr>
        <w:pStyle w:val="13"/>
        <w:spacing w:line="480" w:lineRule="exact"/>
        <w:ind w:firstLine="560" w:firstLineChars="200"/>
        <w:rPr>
          <w:rFonts w:ascii="Times New Roman" w:hAnsi="Times New Roman" w:eastAsia="仿宋_GB2312"/>
          <w:color w:val="000000" w:themeColor="text1"/>
          <w:sz w:val="28"/>
          <w:szCs w:val="28"/>
          <w:highlight w:val="none"/>
        </w:rPr>
      </w:pPr>
      <w:bookmarkStart w:id="18" w:name="_Toc451514933"/>
      <w:bookmarkStart w:id="19" w:name="_Toc459706571"/>
      <w:bookmarkStart w:id="20" w:name="_Toc451859431"/>
      <w:bookmarkStart w:id="21" w:name="_Toc453058688"/>
      <w:r>
        <w:rPr>
          <w:rFonts w:ascii="Times New Roman" w:hAnsi="Times New Roman" w:eastAsia="仿宋_GB2312"/>
          <w:color w:val="000000" w:themeColor="text1"/>
          <w:sz w:val="28"/>
          <w:szCs w:val="28"/>
          <w:highlight w:val="none"/>
        </w:rPr>
        <w:t>根据评估目的，本次估价对象价值定义为待估房地产在价值时点的市场价值，不考虑估价对象被查封及房地产上原有的担保物权和其他优先受偿权等因素对评估价值的影响。</w:t>
      </w:r>
    </w:p>
    <w:p>
      <w:pPr>
        <w:pStyle w:val="5"/>
        <w:spacing w:before="240" w:after="240" w:line="520" w:lineRule="exact"/>
        <w:rPr>
          <w:color w:val="000000" w:themeColor="text1"/>
          <w:kern w:val="44"/>
          <w:highlight w:val="none"/>
        </w:rPr>
      </w:pPr>
      <w:bookmarkStart w:id="22" w:name="_Toc6932"/>
      <w:r>
        <w:rPr>
          <w:color w:val="000000" w:themeColor="text1"/>
          <w:kern w:val="44"/>
          <w:highlight w:val="none"/>
        </w:rPr>
        <w:t>三、不相一致假设</w:t>
      </w:r>
      <w:bookmarkEnd w:id="18"/>
      <w:bookmarkEnd w:id="19"/>
      <w:bookmarkEnd w:id="20"/>
      <w:bookmarkEnd w:id="21"/>
      <w:bookmarkEnd w:id="22"/>
    </w:p>
    <w:p>
      <w:pPr>
        <w:pStyle w:val="13"/>
        <w:spacing w:line="480" w:lineRule="exact"/>
        <w:ind w:firstLine="560" w:firstLineChars="200"/>
        <w:rPr>
          <w:rFonts w:ascii="Times New Roman" w:hAnsi="Times New Roman" w:eastAsia="仿宋_GB2312"/>
          <w:color w:val="000000" w:themeColor="text1"/>
          <w:sz w:val="28"/>
          <w:szCs w:val="28"/>
          <w:highlight w:val="none"/>
        </w:rPr>
      </w:pPr>
      <w:bookmarkStart w:id="23" w:name="_Toc451514934"/>
      <w:bookmarkStart w:id="24" w:name="_Toc451859432"/>
      <w:r>
        <w:rPr>
          <w:rFonts w:ascii="Times New Roman" w:hAnsi="Times New Roman" w:eastAsia="仿宋_GB2312"/>
          <w:color w:val="000000" w:themeColor="text1"/>
          <w:sz w:val="28"/>
          <w:szCs w:val="28"/>
          <w:highlight w:val="none"/>
        </w:rPr>
        <w:t>估价对象的实际用途、房屋登记用途、设计用途等用途一致，房地产权属证明的权利人一致，估价对象名称一致，无不相一致假设。</w:t>
      </w:r>
    </w:p>
    <w:bookmarkEnd w:id="23"/>
    <w:bookmarkEnd w:id="24"/>
    <w:p>
      <w:pPr>
        <w:pStyle w:val="5"/>
        <w:spacing w:before="240" w:after="240" w:line="520" w:lineRule="exact"/>
        <w:rPr>
          <w:color w:val="000000" w:themeColor="text1"/>
          <w:kern w:val="44"/>
          <w:highlight w:val="none"/>
        </w:rPr>
      </w:pPr>
      <w:bookmarkStart w:id="25" w:name="_Toc15379"/>
      <w:bookmarkStart w:id="26" w:name="_Toc459706573"/>
      <w:bookmarkStart w:id="27" w:name="_Toc451514935"/>
      <w:bookmarkStart w:id="28" w:name="_Toc453058690"/>
      <w:bookmarkStart w:id="29" w:name="_Toc451859433"/>
      <w:r>
        <w:rPr>
          <w:color w:val="000000" w:themeColor="text1"/>
          <w:kern w:val="44"/>
          <w:highlight w:val="none"/>
        </w:rPr>
        <w:t>四、依据不足假设</w:t>
      </w:r>
      <w:bookmarkEnd w:id="25"/>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在对估价对象进行实地查勘时被</w:t>
      </w:r>
      <w:r>
        <w:rPr>
          <w:rFonts w:hint="eastAsia" w:eastAsia="仿宋_GB2312"/>
          <w:color w:val="000000" w:themeColor="text1"/>
          <w:sz w:val="28"/>
          <w:szCs w:val="28"/>
          <w:highlight w:val="none"/>
          <w:lang w:eastAsia="zh-CN"/>
        </w:rPr>
        <w:t>申请人</w:t>
      </w:r>
      <w:r>
        <w:rPr>
          <w:rFonts w:eastAsia="仿宋_GB2312"/>
          <w:color w:val="000000" w:themeColor="text1"/>
          <w:sz w:val="28"/>
          <w:szCs w:val="28"/>
          <w:highlight w:val="none"/>
        </w:rPr>
        <w:t>未到场，未能进入估价对象室内查勘，</w:t>
      </w:r>
      <w:r>
        <w:rPr>
          <w:rFonts w:eastAsia="仿宋_GB2312"/>
          <w:color w:val="000000" w:themeColor="text1"/>
          <w:kern w:val="1"/>
          <w:sz w:val="28"/>
          <w:szCs w:val="28"/>
          <w:highlight w:val="none"/>
        </w:rPr>
        <w:t>经过调查</w:t>
      </w:r>
      <w:r>
        <w:rPr>
          <w:rFonts w:hint="eastAsia" w:eastAsia="仿宋_GB2312"/>
          <w:color w:val="000000" w:themeColor="text1"/>
          <w:kern w:val="1"/>
          <w:sz w:val="28"/>
          <w:szCs w:val="28"/>
          <w:highlight w:val="none"/>
          <w:lang w:eastAsia="zh-CN"/>
        </w:rPr>
        <w:t>询问该小区售楼中心及物业，</w:t>
      </w:r>
      <w:r>
        <w:rPr>
          <w:rFonts w:eastAsia="仿宋_GB2312"/>
          <w:color w:val="000000" w:themeColor="text1"/>
          <w:kern w:val="1"/>
          <w:sz w:val="28"/>
          <w:szCs w:val="28"/>
          <w:highlight w:val="none"/>
        </w:rPr>
        <w:t>确认估价对象平面布局为</w:t>
      </w:r>
      <w:r>
        <w:rPr>
          <w:rFonts w:hint="eastAsia" w:eastAsia="仿宋_GB2312"/>
          <w:color w:val="000000" w:themeColor="text1"/>
          <w:kern w:val="1"/>
          <w:sz w:val="28"/>
          <w:szCs w:val="28"/>
          <w:highlight w:val="none"/>
          <w:lang w:eastAsia="zh-CN"/>
        </w:rPr>
        <w:t>套二厅</w:t>
      </w:r>
      <w:r>
        <w:rPr>
          <w:rFonts w:eastAsia="仿宋_GB2312"/>
          <w:color w:val="000000" w:themeColor="text1"/>
          <w:kern w:val="1"/>
          <w:sz w:val="28"/>
          <w:szCs w:val="28"/>
          <w:highlight w:val="none"/>
        </w:rPr>
        <w:t>，朝向为南北向，对于估价对象室内装修情况，</w:t>
      </w:r>
      <w:r>
        <w:rPr>
          <w:rFonts w:hint="eastAsia" w:eastAsia="仿宋_GB2312"/>
          <w:color w:val="000000" w:themeColor="text1"/>
          <w:sz w:val="28"/>
          <w:szCs w:val="28"/>
          <w:highlight w:val="none"/>
          <w:lang w:eastAsia="zh-CN"/>
        </w:rPr>
        <w:t>通过咨询售楼中心，确定估价对象室内装修为统一装修</w:t>
      </w:r>
      <w:r>
        <w:rPr>
          <w:rFonts w:eastAsia="仿宋_GB2312"/>
          <w:color w:val="000000" w:themeColor="text1"/>
          <w:sz w:val="28"/>
          <w:szCs w:val="28"/>
          <w:highlight w:val="none"/>
        </w:rPr>
        <w:t>。如不符，导致结果较大偏差，应重新评估，由此产生的一切后果与本估</w:t>
      </w:r>
      <w:r>
        <w:rPr>
          <w:rFonts w:eastAsia="仿宋_GB2312"/>
          <w:color w:val="000000" w:themeColor="text1"/>
          <w:kern w:val="1"/>
          <w:sz w:val="28"/>
          <w:szCs w:val="28"/>
          <w:highlight w:val="none"/>
        </w:rPr>
        <w:t>价</w:t>
      </w:r>
      <w:r>
        <w:rPr>
          <w:rFonts w:eastAsia="仿宋_GB2312"/>
          <w:color w:val="000000" w:themeColor="text1"/>
          <w:sz w:val="28"/>
          <w:szCs w:val="28"/>
          <w:highlight w:val="none"/>
        </w:rPr>
        <w:t>机构无关。</w:t>
      </w:r>
    </w:p>
    <w:p>
      <w:pPr>
        <w:pStyle w:val="5"/>
        <w:spacing w:before="240" w:after="240" w:line="520" w:lineRule="exact"/>
        <w:rPr>
          <w:color w:val="000000" w:themeColor="text1"/>
          <w:kern w:val="44"/>
          <w:highlight w:val="none"/>
        </w:rPr>
      </w:pPr>
      <w:bookmarkStart w:id="30" w:name="_Toc25375"/>
      <w:r>
        <w:rPr>
          <w:color w:val="000000" w:themeColor="text1"/>
          <w:kern w:val="44"/>
          <w:highlight w:val="none"/>
        </w:rPr>
        <w:t>五、估价报告使用限制</w:t>
      </w:r>
      <w:bookmarkEnd w:id="26"/>
      <w:bookmarkEnd w:id="27"/>
      <w:bookmarkEnd w:id="28"/>
      <w:bookmarkEnd w:id="29"/>
      <w:bookmarkEnd w:id="30"/>
    </w:p>
    <w:p>
      <w:pPr>
        <w:spacing w:line="480" w:lineRule="exact"/>
        <w:ind w:firstLine="560"/>
        <w:rPr>
          <w:rFonts w:eastAsia="仿宋_GB2312"/>
          <w:color w:val="000000" w:themeColor="text1"/>
          <w:sz w:val="28"/>
          <w:szCs w:val="28"/>
          <w:highlight w:val="none"/>
        </w:rPr>
      </w:pPr>
      <w:r>
        <w:rPr>
          <w:rFonts w:eastAsia="仿宋_GB2312"/>
          <w:color w:val="000000" w:themeColor="text1"/>
          <w:sz w:val="28"/>
          <w:szCs w:val="28"/>
          <w:highlight w:val="none"/>
        </w:rPr>
        <w:t>1、本估价报告使用期限自估价报告出具之日起为壹年（自</w:t>
      </w:r>
      <w:r>
        <w:rPr>
          <w:rFonts w:hint="eastAsia" w:eastAsia="仿宋_GB2312"/>
          <w:color w:val="000000" w:themeColor="text1"/>
          <w:sz w:val="28"/>
          <w:szCs w:val="28"/>
          <w:highlight w:val="none"/>
          <w:lang w:eastAsia="zh-CN"/>
        </w:rPr>
        <w:t>2018年09月14日</w:t>
      </w:r>
      <w:r>
        <w:rPr>
          <w:rFonts w:eastAsia="仿宋_GB2312"/>
          <w:color w:val="000000" w:themeColor="text1"/>
          <w:sz w:val="28"/>
          <w:szCs w:val="28"/>
          <w:highlight w:val="none"/>
        </w:rPr>
        <w:t>至</w:t>
      </w:r>
      <w:r>
        <w:rPr>
          <w:rFonts w:hint="eastAsia" w:eastAsia="仿宋_GB2312"/>
          <w:color w:val="000000" w:themeColor="text1"/>
          <w:sz w:val="28"/>
          <w:szCs w:val="28"/>
          <w:highlight w:val="none"/>
          <w:lang w:eastAsia="zh-CN"/>
        </w:rPr>
        <w:t>2019年09月13日</w:t>
      </w:r>
      <w:r>
        <w:rPr>
          <w:rFonts w:eastAsia="仿宋_GB2312"/>
          <w:color w:val="000000" w:themeColor="text1"/>
          <w:sz w:val="28"/>
          <w:szCs w:val="28"/>
          <w:highlight w:val="none"/>
        </w:rPr>
        <w:t>止）。若报告使用期限内，房地产市场或估价对象状况发生重大变化，估价结果需做相应调整或委托估价机构重新估价。</w:t>
      </w:r>
    </w:p>
    <w:p>
      <w:pPr>
        <w:spacing w:line="480" w:lineRule="exact"/>
        <w:ind w:firstLine="560"/>
        <w:rPr>
          <w:rFonts w:eastAsia="仿宋_GB2312"/>
          <w:color w:val="000000" w:themeColor="text1"/>
          <w:sz w:val="28"/>
          <w:szCs w:val="28"/>
          <w:highlight w:val="none"/>
        </w:rPr>
      </w:pPr>
      <w:r>
        <w:rPr>
          <w:rFonts w:eastAsia="仿宋_GB2312"/>
          <w:color w:val="000000" w:themeColor="text1"/>
          <w:sz w:val="28"/>
          <w:szCs w:val="28"/>
          <w:highlight w:val="none"/>
        </w:rPr>
        <w:t>2、本估价报告估价结果为法院确定房屋价值提供依据，按照既定目的提供给估价委托人使用。若改变估价目的及使用条件，需向本公司咨询后作必要调整甚至重新估价。</w:t>
      </w:r>
    </w:p>
    <w:p>
      <w:pPr>
        <w:spacing w:line="480" w:lineRule="exact"/>
        <w:ind w:firstLine="560"/>
        <w:rPr>
          <w:rFonts w:eastAsia="仿宋_GB2312"/>
          <w:color w:val="000000" w:themeColor="text1"/>
          <w:sz w:val="28"/>
          <w:szCs w:val="28"/>
          <w:highlight w:val="none"/>
        </w:rPr>
      </w:pPr>
      <w:r>
        <w:rPr>
          <w:rFonts w:eastAsia="仿宋_GB2312"/>
          <w:color w:val="000000" w:themeColor="text1"/>
          <w:sz w:val="28"/>
          <w:szCs w:val="28"/>
          <w:highlight w:val="none"/>
        </w:rPr>
        <w:t>3、本估价报告分为“估价结果报告”和“估价技术报告”两部分。“估价结果报告”按照估价委托合同的约定提供给估价委托人，“估价技术报告”由估价机构按照规定存档。</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4、本估价报告的全部或部分内容未经本评估机构同意，不得发表于任何公开媒体上。</w:t>
      </w: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ind w:firstLine="560" w:firstLineChars="200"/>
        <w:rPr>
          <w:rFonts w:eastAsia="仿宋_GB2312"/>
          <w:color w:val="000000" w:themeColor="text1"/>
          <w:sz w:val="28"/>
          <w:szCs w:val="28"/>
          <w:highlight w:val="none"/>
        </w:rPr>
      </w:pPr>
    </w:p>
    <w:p>
      <w:pPr>
        <w:spacing w:line="480" w:lineRule="exact"/>
        <w:rPr>
          <w:rFonts w:eastAsia="仿宋_GB2312"/>
          <w:color w:val="000000" w:themeColor="text1"/>
          <w:sz w:val="28"/>
          <w:szCs w:val="28"/>
          <w:highlight w:val="none"/>
        </w:rPr>
      </w:pPr>
    </w:p>
    <w:p>
      <w:pPr>
        <w:pStyle w:val="2"/>
        <w:jc w:val="center"/>
        <w:rPr>
          <w:color w:val="000000" w:themeColor="text1"/>
          <w:sz w:val="32"/>
          <w:szCs w:val="32"/>
          <w:highlight w:val="none"/>
        </w:rPr>
      </w:pPr>
      <w:bookmarkStart w:id="31" w:name="_Toc14610"/>
      <w:r>
        <w:rPr>
          <w:color w:val="000000" w:themeColor="text1"/>
          <w:sz w:val="32"/>
          <w:szCs w:val="32"/>
          <w:highlight w:val="none"/>
        </w:rPr>
        <w:t>房地产估价结果报告</w:t>
      </w:r>
      <w:bookmarkEnd w:id="11"/>
      <w:bookmarkEnd w:id="31"/>
    </w:p>
    <w:p>
      <w:pPr>
        <w:pStyle w:val="5"/>
        <w:spacing w:before="240" w:after="240" w:line="520" w:lineRule="exact"/>
        <w:rPr>
          <w:color w:val="000000" w:themeColor="text1"/>
          <w:kern w:val="44"/>
          <w:highlight w:val="none"/>
        </w:rPr>
      </w:pPr>
      <w:bookmarkStart w:id="32" w:name="_Toc23141"/>
      <w:bookmarkStart w:id="33" w:name="_Toc298240803"/>
      <w:r>
        <w:rPr>
          <w:color w:val="000000" w:themeColor="text1"/>
          <w:kern w:val="44"/>
          <w:highlight w:val="none"/>
        </w:rPr>
        <w:t>一、估价委托人</w:t>
      </w:r>
      <w:bookmarkEnd w:id="32"/>
      <w:bookmarkEnd w:id="33"/>
    </w:p>
    <w:p>
      <w:pPr>
        <w:rPr>
          <w:rFonts w:hint="eastAsia" w:eastAsia="仿宋_GB2312"/>
          <w:color w:val="000000" w:themeColor="text1"/>
          <w:sz w:val="28"/>
          <w:szCs w:val="28"/>
          <w:highlight w:val="none"/>
          <w:lang w:eastAsia="zh-CN"/>
        </w:rPr>
      </w:pPr>
      <w:r>
        <w:rPr>
          <w:color w:val="000000" w:themeColor="text1"/>
          <w:highlight w:val="none"/>
        </w:rPr>
        <w:t xml:space="preserve">  </w:t>
      </w:r>
      <w:r>
        <w:rPr>
          <w:rFonts w:eastAsia="仿宋_GB2312"/>
          <w:color w:val="000000" w:themeColor="text1"/>
          <w:sz w:val="32"/>
          <w:szCs w:val="32"/>
          <w:highlight w:val="none"/>
        </w:rPr>
        <w:t xml:space="preserve"> </w:t>
      </w:r>
      <w:r>
        <w:rPr>
          <w:rFonts w:eastAsia="仿宋_GB2312"/>
          <w:color w:val="000000" w:themeColor="text1"/>
          <w:sz w:val="28"/>
          <w:szCs w:val="28"/>
          <w:highlight w:val="none"/>
        </w:rPr>
        <w:t xml:space="preserve">  </w:t>
      </w:r>
      <w:r>
        <w:rPr>
          <w:rFonts w:hint="eastAsia" w:eastAsia="仿宋_GB2312"/>
          <w:color w:val="000000" w:themeColor="text1"/>
          <w:sz w:val="28"/>
          <w:szCs w:val="28"/>
          <w:highlight w:val="none"/>
          <w:lang w:eastAsia="zh-CN"/>
        </w:rPr>
        <w:t>青岛市黄岛区人民法院</w:t>
      </w:r>
    </w:p>
    <w:p>
      <w:pPr>
        <w:pStyle w:val="5"/>
        <w:spacing w:before="240" w:after="240" w:line="520" w:lineRule="exact"/>
        <w:rPr>
          <w:color w:val="000000" w:themeColor="text1"/>
          <w:kern w:val="44"/>
          <w:highlight w:val="none"/>
        </w:rPr>
      </w:pPr>
      <w:bookmarkStart w:id="34" w:name="_Toc16277"/>
      <w:bookmarkStart w:id="35" w:name="_Toc298240804"/>
      <w:r>
        <w:rPr>
          <w:color w:val="000000" w:themeColor="text1"/>
          <w:kern w:val="44"/>
          <w:highlight w:val="none"/>
        </w:rPr>
        <w:t>二、评估机构</w:t>
      </w:r>
      <w:bookmarkEnd w:id="34"/>
      <w:bookmarkEnd w:id="35"/>
    </w:p>
    <w:p>
      <w:pPr>
        <w:spacing w:line="480" w:lineRule="exact"/>
        <w:ind w:firstLine="560" w:firstLineChars="200"/>
        <w:rPr>
          <w:rFonts w:eastAsia="仿宋_GB2312"/>
          <w:color w:val="000000" w:themeColor="text1"/>
          <w:sz w:val="28"/>
          <w:szCs w:val="28"/>
          <w:highlight w:val="none"/>
        </w:rPr>
      </w:pPr>
      <w:bookmarkStart w:id="36" w:name="_Toc298240805"/>
      <w:r>
        <w:rPr>
          <w:rFonts w:eastAsia="仿宋_GB2312"/>
          <w:color w:val="000000" w:themeColor="text1"/>
          <w:sz w:val="28"/>
          <w:szCs w:val="28"/>
          <w:highlight w:val="none"/>
        </w:rPr>
        <w:t>机构名称：青岛恒德房地产土地评估有限公司</w:t>
      </w:r>
    </w:p>
    <w:p>
      <w:pPr>
        <w:spacing w:line="480" w:lineRule="exact"/>
        <w:ind w:firstLine="560" w:firstLineChars="200"/>
        <w:rPr>
          <w:rFonts w:eastAsia="仿宋_GB2312"/>
          <w:color w:val="000000" w:themeColor="text1"/>
          <w:sz w:val="36"/>
          <w:szCs w:val="36"/>
          <w:highlight w:val="none"/>
        </w:rPr>
      </w:pPr>
      <w:r>
        <w:rPr>
          <w:rFonts w:eastAsia="仿宋_GB2312"/>
          <w:color w:val="000000" w:themeColor="text1"/>
          <w:sz w:val="28"/>
          <w:szCs w:val="28"/>
          <w:highlight w:val="none"/>
        </w:rPr>
        <w:t>法定代表人：黄昱晴</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单位地址：山东省青岛市市北区阜新路12号508室</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房地产估价资质：一级</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资质证书编号：建房估证字【2012】072号</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土地评估资质备案编号：2018370091</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联系电话：0532－82681026</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企业邮箱：qingdaohengde@yeah.net</w:t>
      </w:r>
    </w:p>
    <w:p>
      <w:pPr>
        <w:pStyle w:val="5"/>
        <w:spacing w:before="240" w:after="240" w:line="520" w:lineRule="exact"/>
        <w:rPr>
          <w:color w:val="000000" w:themeColor="text1"/>
          <w:kern w:val="44"/>
          <w:highlight w:val="none"/>
        </w:rPr>
      </w:pPr>
      <w:bookmarkStart w:id="37" w:name="_Toc23676"/>
      <w:r>
        <w:rPr>
          <w:color w:val="000000" w:themeColor="text1"/>
          <w:kern w:val="44"/>
          <w:highlight w:val="none"/>
        </w:rPr>
        <w:t>三、估价对象</w:t>
      </w:r>
      <w:bookmarkEnd w:id="36"/>
      <w:bookmarkEnd w:id="37"/>
    </w:p>
    <w:p>
      <w:pPr>
        <w:spacing w:line="480" w:lineRule="exact"/>
        <w:ind w:firstLine="560" w:firstLineChars="200"/>
        <w:rPr>
          <w:rFonts w:eastAsia="仿宋_GB2312"/>
          <w:color w:val="000000" w:themeColor="text1"/>
          <w:sz w:val="28"/>
          <w:szCs w:val="28"/>
          <w:highlight w:val="none"/>
        </w:rPr>
      </w:pPr>
      <w:bookmarkStart w:id="38" w:name="_Toc298240806"/>
      <w:r>
        <w:rPr>
          <w:rFonts w:eastAsia="仿宋_GB2312"/>
          <w:color w:val="000000" w:themeColor="text1"/>
          <w:sz w:val="28"/>
          <w:szCs w:val="28"/>
          <w:highlight w:val="none"/>
        </w:rPr>
        <w:t>1、本次评估的评估范围包括建筑物及其占用范围内分摊的出让国有土地使用权。</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2、估价对象基本状况</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（1）名称：</w:t>
      </w:r>
      <w:r>
        <w:rPr>
          <w:rFonts w:hint="eastAsia" w:eastAsia="仿宋_GB2312"/>
          <w:color w:val="000000" w:themeColor="text1"/>
          <w:sz w:val="28"/>
          <w:szCs w:val="28"/>
          <w:highlight w:val="none"/>
          <w:lang w:eastAsia="zh-CN"/>
        </w:rPr>
        <w:t>胶南市海滨十路377号11栋1单元1804</w:t>
      </w:r>
      <w:r>
        <w:rPr>
          <w:rFonts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（2）规模：</w:t>
      </w:r>
      <w:r>
        <w:rPr>
          <w:rFonts w:hint="eastAsia" w:eastAsia="仿宋_GB2312"/>
          <w:color w:val="000000" w:themeColor="text1"/>
          <w:sz w:val="28"/>
          <w:szCs w:val="28"/>
          <w:highlight w:val="none"/>
          <w:lang w:eastAsia="zh-CN"/>
        </w:rPr>
        <w:t>房屋建筑面积102.15平方米</w:t>
      </w:r>
      <w:r>
        <w:rPr>
          <w:rFonts w:hint="eastAsia"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（4）权属：</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依据委托方提供的</w:t>
      </w:r>
      <w:r>
        <w:rPr>
          <w:rFonts w:hint="eastAsia" w:eastAsia="仿宋_GB2312"/>
          <w:color w:val="000000" w:themeColor="text1"/>
          <w:sz w:val="28"/>
          <w:szCs w:val="28"/>
          <w:highlight w:val="none"/>
          <w:lang w:eastAsia="zh-CN"/>
        </w:rPr>
        <w:t>《青岛市不动产登记信息》（复印件）</w:t>
      </w:r>
      <w:r>
        <w:rPr>
          <w:rFonts w:eastAsia="仿宋_GB2312"/>
          <w:color w:val="000000" w:themeColor="text1"/>
          <w:sz w:val="28"/>
          <w:szCs w:val="28"/>
          <w:highlight w:val="none"/>
        </w:rPr>
        <w:t>所载，</w:t>
      </w:r>
      <w:r>
        <w:rPr>
          <w:rFonts w:hint="eastAsia" w:eastAsia="仿宋_GB2312"/>
          <w:color w:val="000000" w:themeColor="text1"/>
          <w:sz w:val="28"/>
          <w:szCs w:val="28"/>
          <w:highlight w:val="none"/>
          <w:lang w:eastAsia="zh-CN"/>
        </w:rPr>
        <w:t>被限制人为巴兰华</w:t>
      </w:r>
      <w:r>
        <w:rPr>
          <w:rFonts w:eastAsia="仿宋_GB2312"/>
          <w:color w:val="000000" w:themeColor="text1"/>
          <w:sz w:val="28"/>
          <w:szCs w:val="28"/>
          <w:highlight w:val="none"/>
        </w:rPr>
        <w:t>，</w:t>
      </w:r>
      <w:r>
        <w:rPr>
          <w:rFonts w:hint="eastAsia" w:eastAsia="仿宋_GB2312"/>
          <w:color w:val="000000" w:themeColor="text1"/>
          <w:sz w:val="28"/>
          <w:szCs w:val="28"/>
          <w:highlight w:val="none"/>
          <w:lang w:eastAsia="zh-CN"/>
        </w:rPr>
        <w:t>权证或证明号为市201484010597</w:t>
      </w:r>
      <w:r>
        <w:rPr>
          <w:rFonts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3、建筑物基本状况：</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（1）竣工日期：</w:t>
      </w:r>
      <w:r>
        <w:rPr>
          <w:rFonts w:hint="eastAsia" w:eastAsia="仿宋_GB2312"/>
          <w:color w:val="000000" w:themeColor="text1"/>
          <w:sz w:val="28"/>
          <w:szCs w:val="28"/>
          <w:highlight w:val="none"/>
          <w:lang w:eastAsia="zh-CN"/>
        </w:rPr>
        <w:t>2012年</w:t>
      </w:r>
      <w:r>
        <w:rPr>
          <w:rFonts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（2）建筑结构：</w:t>
      </w:r>
      <w:r>
        <w:rPr>
          <w:rFonts w:hint="eastAsia" w:eastAsia="仿宋_GB2312"/>
          <w:color w:val="000000" w:themeColor="text1"/>
          <w:sz w:val="28"/>
          <w:szCs w:val="28"/>
          <w:highlight w:val="none"/>
          <w:lang w:eastAsia="zh-CN"/>
        </w:rPr>
        <w:t>钢混结构</w:t>
      </w:r>
      <w:r>
        <w:rPr>
          <w:rFonts w:eastAsia="仿宋_GB2312"/>
          <w:color w:val="000000" w:themeColor="text1"/>
          <w:sz w:val="28"/>
          <w:szCs w:val="28"/>
          <w:highlight w:val="none"/>
        </w:rPr>
        <w:t>。</w:t>
      </w:r>
    </w:p>
    <w:p>
      <w:pPr>
        <w:spacing w:line="480" w:lineRule="exact"/>
        <w:ind w:firstLine="560" w:firstLineChars="200"/>
        <w:rPr>
          <w:rFonts w:hint="eastAsia" w:eastAsia="仿宋_GB2312"/>
          <w:color w:val="000000" w:themeColor="text1"/>
          <w:sz w:val="28"/>
          <w:szCs w:val="28"/>
          <w:highlight w:val="none"/>
          <w:lang w:eastAsia="zh-CN"/>
        </w:rPr>
      </w:pPr>
      <w:r>
        <w:rPr>
          <w:rFonts w:eastAsia="仿宋_GB2312"/>
          <w:color w:val="000000" w:themeColor="text1"/>
          <w:sz w:val="28"/>
          <w:szCs w:val="28"/>
          <w:highlight w:val="none"/>
        </w:rPr>
        <w:t>（3）设施设备：水电齐全</w:t>
      </w:r>
      <w:r>
        <w:rPr>
          <w:rFonts w:hint="eastAsia" w:eastAsia="仿宋_GB2312"/>
          <w:color w:val="000000" w:themeColor="text1"/>
          <w:sz w:val="28"/>
          <w:szCs w:val="28"/>
          <w:highlight w:val="none"/>
          <w:lang w:eastAsia="zh-CN"/>
        </w:rPr>
        <w:t>，有管道燃气和地暖。</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（4）装饰装修：</w:t>
      </w:r>
      <w:r>
        <w:rPr>
          <w:rFonts w:hint="eastAsia" w:eastAsia="仿宋_GB2312"/>
          <w:color w:val="000000" w:themeColor="text1"/>
          <w:sz w:val="28"/>
          <w:szCs w:val="28"/>
          <w:highlight w:val="none"/>
          <w:lang w:eastAsia="zh-CN"/>
        </w:rPr>
        <w:t>统一装修</w:t>
      </w:r>
      <w:r>
        <w:rPr>
          <w:rFonts w:eastAsia="仿宋_GB2312"/>
          <w:color w:val="000000" w:themeColor="text1"/>
          <w:sz w:val="28"/>
          <w:szCs w:val="28"/>
          <w:highlight w:val="none"/>
        </w:rPr>
        <w:t>。</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（5）维护状况：</w:t>
      </w:r>
      <w:r>
        <w:rPr>
          <w:rFonts w:hint="eastAsia" w:eastAsia="仿宋_GB2312"/>
          <w:color w:val="000000" w:themeColor="text1"/>
          <w:sz w:val="28"/>
          <w:szCs w:val="28"/>
          <w:highlight w:val="none"/>
          <w:lang w:eastAsia="zh-CN"/>
        </w:rPr>
        <w:t>一般</w:t>
      </w:r>
      <w:r>
        <w:rPr>
          <w:rFonts w:eastAsia="仿宋_GB2312"/>
          <w:color w:val="000000" w:themeColor="text1"/>
          <w:sz w:val="28"/>
          <w:szCs w:val="28"/>
          <w:highlight w:val="none"/>
        </w:rPr>
        <w:t>。</w:t>
      </w:r>
    </w:p>
    <w:p>
      <w:pPr>
        <w:pStyle w:val="5"/>
        <w:spacing w:before="240" w:after="240" w:line="520" w:lineRule="exact"/>
        <w:rPr>
          <w:color w:val="000000" w:themeColor="text1"/>
          <w:kern w:val="44"/>
          <w:highlight w:val="none"/>
        </w:rPr>
      </w:pPr>
      <w:bookmarkStart w:id="39" w:name="_Toc26778"/>
      <w:r>
        <w:rPr>
          <w:color w:val="000000" w:themeColor="text1"/>
          <w:kern w:val="44"/>
          <w:highlight w:val="none"/>
        </w:rPr>
        <w:t>四、价值时点</w:t>
      </w:r>
      <w:bookmarkEnd w:id="38"/>
      <w:bookmarkEnd w:id="39"/>
    </w:p>
    <w:p>
      <w:pPr>
        <w:spacing w:line="520" w:lineRule="exact"/>
        <w:ind w:firstLine="560" w:firstLineChars="200"/>
        <w:rPr>
          <w:rFonts w:eastAsia="仿宋_GB2312"/>
          <w:color w:val="000000"/>
          <w:sz w:val="28"/>
          <w:szCs w:val="28"/>
        </w:rPr>
      </w:pPr>
      <w:r>
        <w:rPr>
          <w:rFonts w:eastAsia="仿宋_GB2312"/>
          <w:color w:val="000000"/>
          <w:sz w:val="28"/>
          <w:szCs w:val="28"/>
        </w:rPr>
        <w:t>将实地查勘日</w:t>
      </w:r>
      <w:r>
        <w:rPr>
          <w:rFonts w:hint="eastAsia" w:eastAsia="仿宋_GB2312"/>
          <w:color w:val="000000" w:themeColor="text1"/>
          <w:sz w:val="28"/>
          <w:szCs w:val="28"/>
          <w:highlight w:val="none"/>
          <w:lang w:eastAsia="zh-CN"/>
        </w:rPr>
        <w:t>2018年09月07日</w:t>
      </w:r>
      <w:r>
        <w:rPr>
          <w:rFonts w:eastAsia="仿宋_GB2312"/>
          <w:color w:val="000000"/>
          <w:sz w:val="28"/>
          <w:szCs w:val="28"/>
        </w:rPr>
        <w:t>作为价值时点。</w:t>
      </w:r>
    </w:p>
    <w:p>
      <w:pPr>
        <w:pStyle w:val="5"/>
        <w:spacing w:before="240" w:after="240" w:line="520" w:lineRule="exact"/>
        <w:rPr>
          <w:color w:val="000000" w:themeColor="text1"/>
          <w:kern w:val="44"/>
          <w:highlight w:val="none"/>
        </w:rPr>
      </w:pPr>
      <w:bookmarkStart w:id="40" w:name="_Toc822"/>
      <w:bookmarkStart w:id="41" w:name="_Toc298240807"/>
      <w:r>
        <w:rPr>
          <w:color w:val="000000" w:themeColor="text1"/>
          <w:kern w:val="44"/>
          <w:highlight w:val="none"/>
        </w:rPr>
        <w:t>五、估价目的</w:t>
      </w:r>
      <w:bookmarkEnd w:id="40"/>
      <w:bookmarkEnd w:id="41"/>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为法院执行案件提供价值参考依据。</w:t>
      </w:r>
    </w:p>
    <w:p>
      <w:pPr>
        <w:pStyle w:val="5"/>
        <w:spacing w:before="240" w:after="240" w:line="520" w:lineRule="exact"/>
        <w:rPr>
          <w:color w:val="000000" w:themeColor="text1"/>
          <w:kern w:val="44"/>
          <w:highlight w:val="none"/>
        </w:rPr>
      </w:pPr>
      <w:bookmarkStart w:id="42" w:name="_Toc298240808"/>
      <w:bookmarkStart w:id="43" w:name="_Toc45"/>
      <w:r>
        <w:rPr>
          <w:color w:val="000000" w:themeColor="text1"/>
          <w:kern w:val="44"/>
          <w:highlight w:val="none"/>
        </w:rPr>
        <w:t>六、价值</w:t>
      </w:r>
      <w:bookmarkEnd w:id="42"/>
      <w:r>
        <w:rPr>
          <w:color w:val="000000" w:themeColor="text1"/>
          <w:kern w:val="44"/>
          <w:highlight w:val="none"/>
        </w:rPr>
        <w:t>类型</w:t>
      </w:r>
      <w:bookmarkEnd w:id="43"/>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针对估价对象的特点和估价目的，本报告所评估房地产</w:t>
      </w:r>
      <w:r>
        <w:rPr>
          <w:rFonts w:hint="eastAsia" w:eastAsia="仿宋_GB2312"/>
          <w:color w:val="000000" w:themeColor="text1"/>
          <w:sz w:val="28"/>
          <w:szCs w:val="28"/>
          <w:highlight w:val="none"/>
          <w:lang w:eastAsia="zh-CN"/>
        </w:rPr>
        <w:t>2018年09月07日</w:t>
      </w:r>
      <w:r>
        <w:rPr>
          <w:rFonts w:eastAsia="仿宋_GB2312"/>
          <w:color w:val="000000" w:themeColor="text1"/>
          <w:sz w:val="28"/>
          <w:szCs w:val="28"/>
          <w:highlight w:val="none"/>
        </w:rPr>
        <w:t>的价值，采用公开市场价值标准。</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公开市场价值是指在公开市场上最可能形成的价格，采用公开市场价值标准时，要求评估的客观合理价格或价值应是公开市场价值。</w:t>
      </w:r>
    </w:p>
    <w:p>
      <w:pPr>
        <w:pStyle w:val="5"/>
        <w:spacing w:before="240" w:after="240" w:line="520" w:lineRule="exact"/>
        <w:rPr>
          <w:color w:val="000000" w:themeColor="text1"/>
          <w:kern w:val="44"/>
          <w:highlight w:val="none"/>
        </w:rPr>
      </w:pPr>
      <w:bookmarkStart w:id="44" w:name="_Toc519856890"/>
      <w:bookmarkStart w:id="45" w:name="_Toc17877"/>
      <w:bookmarkStart w:id="46" w:name="_Toc298240809"/>
      <w:bookmarkStart w:id="47" w:name="_Toc298240811"/>
      <w:r>
        <w:rPr>
          <w:color w:val="000000" w:themeColor="text1"/>
          <w:kern w:val="44"/>
          <w:highlight w:val="none"/>
        </w:rPr>
        <w:t>七、估价原则</w:t>
      </w:r>
      <w:bookmarkEnd w:id="44"/>
      <w:bookmarkEnd w:id="45"/>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根据估价对象用途、现状条件和估价目的，按照独立、客观、公正的原则，遵循合法原则、最高最佳使用原则、替代原则、价值时点原则对该处房地产进行估价。</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（一）独立、客观、公正原则</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要求站在中立的立场上，实事求是、公平公正地评估出对各方估价利害关系人均是公平合理的价值或价格的原则。</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（二）合法原则</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要求估价结果是在依法判定的估价对象状况下的价值或价格的原则。</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（三）最高最佳利用原则</w:t>
      </w:r>
    </w:p>
    <w:p>
      <w:pPr>
        <w:spacing w:line="52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（四）价值时点原则</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要求估价结果是在根据估价目的确定的某一特定时间的价值或价格的原则。</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（五）替代原则</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要求估价结果与估价对象的类似房地产在同等条件下的价值或价格偏差在合理范围内的原则。</w:t>
      </w:r>
    </w:p>
    <w:bookmarkEnd w:id="46"/>
    <w:p>
      <w:pPr>
        <w:pStyle w:val="5"/>
        <w:spacing w:before="240" w:after="240" w:line="520" w:lineRule="exact"/>
        <w:rPr>
          <w:color w:val="000000" w:themeColor="text1"/>
          <w:kern w:val="44"/>
          <w:highlight w:val="none"/>
        </w:rPr>
      </w:pPr>
      <w:bookmarkStart w:id="48" w:name="_Toc298240810"/>
      <w:bookmarkStart w:id="49" w:name="_Toc5737"/>
      <w:bookmarkStart w:id="50" w:name="_Toc519856891"/>
      <w:r>
        <w:rPr>
          <w:color w:val="000000" w:themeColor="text1"/>
          <w:kern w:val="44"/>
          <w:highlight w:val="none"/>
        </w:rPr>
        <w:t>八、</w:t>
      </w:r>
      <w:bookmarkEnd w:id="48"/>
      <w:r>
        <w:rPr>
          <w:color w:val="000000" w:themeColor="text1"/>
          <w:kern w:val="44"/>
          <w:highlight w:val="none"/>
        </w:rPr>
        <w:t>估价依据</w:t>
      </w:r>
      <w:bookmarkEnd w:id="49"/>
      <w:bookmarkEnd w:id="50"/>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（一）法律、法规及相关政策</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1、《中华人民共和国城市房地产管理法》；</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2、《中华人民共和国土地管理法》；</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highlight w:val="none"/>
        </w:rPr>
        <w:t>3、《中华人民共和国物权法》；</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4、《中华人民共和国资产评估法》；</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5、《最高人民法院关于人民法院民事执行中拍卖、变卖财产的规定》。</w:t>
      </w:r>
    </w:p>
    <w:p>
      <w:pPr>
        <w:spacing w:line="480" w:lineRule="exact"/>
        <w:ind w:firstLine="660"/>
        <w:rPr>
          <w:rFonts w:eastAsia="仿宋_GB2312"/>
          <w:color w:val="000000" w:themeColor="text1"/>
          <w:sz w:val="28"/>
          <w:szCs w:val="28"/>
          <w:highlight w:val="none"/>
        </w:rPr>
      </w:pPr>
      <w:r>
        <w:rPr>
          <w:rFonts w:eastAsia="仿宋_GB2312"/>
          <w:color w:val="000000" w:themeColor="text1"/>
          <w:sz w:val="28"/>
          <w:szCs w:val="28"/>
          <w:highlight w:val="none"/>
        </w:rPr>
        <w:t>（二）技术规程</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1、 中华人民共和国国家标准《房地产估价规范》（GB/T 50291—2015）；</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2、中华人民共和国国家标准《城镇土地估价规程》（GB/T 18508-2014）；</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3、《房地产估价基本术语标准》（GB/T 50899—2013）；</w:t>
      </w:r>
    </w:p>
    <w:p>
      <w:pPr>
        <w:spacing w:line="480" w:lineRule="exact"/>
        <w:ind w:firstLine="645"/>
        <w:rPr>
          <w:rFonts w:eastAsia="仿宋_GB2312"/>
          <w:color w:val="000000" w:themeColor="text1"/>
          <w:sz w:val="28"/>
          <w:szCs w:val="28"/>
          <w:highlight w:val="none"/>
        </w:rPr>
      </w:pPr>
      <w:r>
        <w:rPr>
          <w:rFonts w:eastAsia="仿宋_GB2312"/>
          <w:color w:val="000000" w:themeColor="text1"/>
          <w:sz w:val="28"/>
          <w:szCs w:val="28"/>
          <w:highlight w:val="none"/>
        </w:rPr>
        <w:t>4、青岛市《房地产估价司法鉴定流程管理和相关文书技术规范》。</w:t>
      </w:r>
    </w:p>
    <w:p>
      <w:pPr>
        <w:spacing w:line="480" w:lineRule="exact"/>
        <w:ind w:firstLine="660"/>
        <w:rPr>
          <w:rFonts w:eastAsia="仿宋_GB2312"/>
          <w:color w:val="000000" w:themeColor="text1"/>
          <w:sz w:val="28"/>
          <w:szCs w:val="28"/>
          <w:highlight w:val="none"/>
        </w:rPr>
      </w:pPr>
      <w:r>
        <w:rPr>
          <w:rFonts w:eastAsia="仿宋_GB2312"/>
          <w:color w:val="000000" w:themeColor="text1"/>
          <w:sz w:val="28"/>
          <w:szCs w:val="28"/>
          <w:highlight w:val="none"/>
        </w:rPr>
        <w:t>（三）估价法院移送的材料</w:t>
      </w:r>
    </w:p>
    <w:p>
      <w:pPr>
        <w:spacing w:line="480" w:lineRule="exact"/>
        <w:ind w:firstLine="645"/>
        <w:rPr>
          <w:rFonts w:hint="eastAsia" w:eastAsia="仿宋_GB2312"/>
          <w:color w:val="000000" w:themeColor="text1"/>
          <w:sz w:val="28"/>
          <w:szCs w:val="28"/>
          <w:highlight w:val="none"/>
        </w:rPr>
      </w:pPr>
      <w:r>
        <w:rPr>
          <w:rFonts w:hint="eastAsia" w:eastAsia="仿宋_GB2312"/>
          <w:color w:val="000000" w:themeColor="text1"/>
          <w:sz w:val="28"/>
          <w:szCs w:val="28"/>
          <w:highlight w:val="none"/>
          <w:lang w:val="en-US" w:eastAsia="zh-CN"/>
        </w:rPr>
        <w:t>1</w:t>
      </w:r>
      <w:r>
        <w:rPr>
          <w:rFonts w:eastAsia="仿宋_GB2312"/>
          <w:color w:val="000000" w:themeColor="text1"/>
          <w:sz w:val="28"/>
          <w:szCs w:val="28"/>
          <w:highlight w:val="none"/>
        </w:rPr>
        <w:t>、《</w:t>
      </w:r>
      <w:r>
        <w:rPr>
          <w:rFonts w:hint="eastAsia" w:eastAsia="仿宋_GB2312"/>
          <w:color w:val="000000" w:themeColor="text1"/>
          <w:sz w:val="28"/>
          <w:szCs w:val="28"/>
          <w:highlight w:val="none"/>
          <w:lang w:eastAsia="zh-CN"/>
        </w:rPr>
        <w:t>青岛市黄岛区人民法院司法鉴定委托书</w:t>
      </w:r>
      <w:r>
        <w:rPr>
          <w:rFonts w:eastAsia="仿宋_GB2312"/>
          <w:color w:val="000000" w:themeColor="text1"/>
          <w:sz w:val="28"/>
          <w:szCs w:val="28"/>
          <w:highlight w:val="none"/>
        </w:rPr>
        <w:t>》；</w:t>
      </w:r>
    </w:p>
    <w:p>
      <w:pPr>
        <w:spacing w:line="480" w:lineRule="exact"/>
        <w:ind w:firstLine="645"/>
        <w:rPr>
          <w:rFonts w:hint="eastAsia" w:eastAsia="仿宋_GB2312"/>
          <w:color w:val="000000" w:themeColor="text1"/>
          <w:sz w:val="28"/>
          <w:szCs w:val="28"/>
          <w:highlight w:val="none"/>
          <w:lang w:eastAsia="zh-CN"/>
        </w:rPr>
      </w:pPr>
      <w:r>
        <w:rPr>
          <w:rFonts w:hint="eastAsia" w:eastAsia="仿宋_GB2312"/>
          <w:color w:val="000000" w:themeColor="text1"/>
          <w:sz w:val="28"/>
          <w:szCs w:val="28"/>
          <w:highlight w:val="none"/>
          <w:lang w:val="en-US" w:eastAsia="zh-CN"/>
        </w:rPr>
        <w:t>2</w:t>
      </w:r>
      <w:r>
        <w:rPr>
          <w:rFonts w:hint="eastAsia" w:eastAsia="仿宋_GB2312"/>
          <w:color w:val="000000" w:themeColor="text1"/>
          <w:sz w:val="28"/>
          <w:szCs w:val="28"/>
          <w:highlight w:val="none"/>
        </w:rPr>
        <w:t>、</w:t>
      </w:r>
      <w:r>
        <w:rPr>
          <w:rFonts w:eastAsia="仿宋_GB2312"/>
          <w:color w:val="000000" w:themeColor="text1"/>
          <w:sz w:val="28"/>
          <w:szCs w:val="28"/>
          <w:highlight w:val="none"/>
        </w:rPr>
        <w:t>《青岛市不动产登记信息》（复印件）</w:t>
      </w:r>
      <w:r>
        <w:rPr>
          <w:rFonts w:hint="eastAsia" w:eastAsia="仿宋_GB2312"/>
          <w:color w:val="000000" w:themeColor="text1"/>
          <w:sz w:val="28"/>
          <w:szCs w:val="28"/>
          <w:highlight w:val="none"/>
          <w:lang w:eastAsia="zh-CN"/>
        </w:rPr>
        <w:t>。</w:t>
      </w:r>
    </w:p>
    <w:p>
      <w:pPr>
        <w:spacing w:line="480" w:lineRule="exact"/>
        <w:ind w:firstLine="645"/>
        <w:rPr>
          <w:rFonts w:eastAsia="黑体"/>
          <w:b/>
          <w:color w:val="000000" w:themeColor="text1"/>
          <w:sz w:val="28"/>
          <w:szCs w:val="28"/>
          <w:highlight w:val="none"/>
        </w:rPr>
      </w:pPr>
      <w:r>
        <w:rPr>
          <w:rFonts w:eastAsia="仿宋_GB2312"/>
          <w:color w:val="000000" w:themeColor="text1"/>
          <w:sz w:val="28"/>
          <w:szCs w:val="28"/>
          <w:highlight w:val="none"/>
        </w:rPr>
        <w:t>（四）评估人员现场勘查时收集的资料及实地勘察记录</w:t>
      </w:r>
    </w:p>
    <w:p>
      <w:pPr>
        <w:pStyle w:val="5"/>
        <w:spacing w:before="240" w:after="240" w:line="520" w:lineRule="exact"/>
        <w:rPr>
          <w:color w:val="000000" w:themeColor="text1"/>
          <w:kern w:val="44"/>
          <w:highlight w:val="none"/>
        </w:rPr>
      </w:pPr>
      <w:bookmarkStart w:id="51" w:name="_Toc31352"/>
      <w:r>
        <w:rPr>
          <w:color w:val="000000" w:themeColor="text1"/>
          <w:kern w:val="44"/>
          <w:highlight w:val="none"/>
        </w:rPr>
        <w:t>九、评估方法</w:t>
      </w:r>
      <w:bookmarkEnd w:id="47"/>
      <w:bookmarkEnd w:id="51"/>
    </w:p>
    <w:p>
      <w:pPr>
        <w:spacing w:line="480" w:lineRule="exact"/>
        <w:ind w:firstLine="560" w:firstLineChars="200"/>
        <w:rPr>
          <w:rFonts w:eastAsia="仿宋_GB2312"/>
          <w:color w:val="000000" w:themeColor="text1"/>
          <w:sz w:val="28"/>
          <w:szCs w:val="28"/>
          <w:highlight w:val="none"/>
        </w:rPr>
      </w:pPr>
      <w:bookmarkStart w:id="52" w:name="_Toc298240812"/>
      <w:r>
        <w:rPr>
          <w:rFonts w:eastAsia="仿宋_GB2312"/>
          <w:color w:val="000000" w:themeColor="text1"/>
          <w:sz w:val="28"/>
          <w:szCs w:val="28"/>
          <w:highlight w:val="none"/>
        </w:rPr>
        <w:t>房地产评估方法主要有比较法、收益法、成本法、假设开发法等。</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比较法一般适用于同一供求圈内存在较多类似交易实例的房地产项目，技术路线为针对估价对象、价值时点和估价目的，选取一定数量的可比实例，建立可比价格，进行交易情况、市场状况、房地产状况修正，求取比准价格，最终确定估价对象的价值</w:t>
      </w:r>
      <w:r>
        <w:rPr>
          <w:color w:val="000000" w:themeColor="text1"/>
          <w:sz w:val="28"/>
          <w:szCs w:val="28"/>
          <w:highlight w:val="none"/>
        </w:rPr>
        <w:t>，</w:t>
      </w:r>
      <w:r>
        <w:rPr>
          <w:rFonts w:eastAsia="仿宋_GB2312"/>
          <w:color w:val="000000" w:themeColor="text1"/>
          <w:sz w:val="28"/>
          <w:szCs w:val="28"/>
          <w:highlight w:val="none"/>
        </w:rPr>
        <w:t>估价对象所处区域类似房地产交易活跃，较易取得交易信息，因此可以采用比较法进行评估。</w:t>
      </w:r>
    </w:p>
    <w:p>
      <w:pPr>
        <w:spacing w:line="480" w:lineRule="exact"/>
        <w:ind w:firstLine="560" w:firstLineChars="200"/>
        <w:rPr>
          <w:rFonts w:eastAsia="仿宋_GB2312"/>
          <w:b/>
          <w:color w:val="000000" w:themeColor="text1"/>
          <w:sz w:val="28"/>
          <w:szCs w:val="28"/>
          <w:highlight w:val="none"/>
        </w:rPr>
      </w:pPr>
      <w:r>
        <w:rPr>
          <w:rFonts w:eastAsia="仿宋_GB2312"/>
          <w:color w:val="000000" w:themeColor="text1"/>
          <w:sz w:val="28"/>
          <w:szCs w:val="28"/>
          <w:highlight w:val="none"/>
        </w:rPr>
        <w:t>收益法一般适用于收益和风险能够较准确地量化的房地产，技术路线为通过对估价对象所在区域类似房地产市场状况的调查，确定该房地产客观年总收益和总费用，进而求得该房地产的客观年净收益，再根据其用途选择适当合理的资本化率，并结合估价对象的使用年限，估算其价值，估价对象位于</w:t>
      </w:r>
      <w:r>
        <w:rPr>
          <w:rFonts w:hint="eastAsia" w:eastAsia="仿宋_GB2312"/>
          <w:color w:val="000000" w:themeColor="text1"/>
          <w:sz w:val="28"/>
          <w:szCs w:val="28"/>
          <w:highlight w:val="none"/>
          <w:lang w:eastAsia="zh-CN"/>
        </w:rPr>
        <w:t>胶南市海滨十路377号</w:t>
      </w:r>
      <w:r>
        <w:rPr>
          <w:rFonts w:eastAsia="仿宋_GB2312"/>
          <w:color w:val="000000" w:themeColor="text1"/>
          <w:sz w:val="28"/>
          <w:szCs w:val="28"/>
          <w:highlight w:val="none"/>
        </w:rPr>
        <w:t>，该区域类似房屋出租情况较多，相关收益资料能够收集，因而可以采用收益法进行评估。</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成本法主要适用于那些很少发生市场交易又无经济收益或没有潜在收益的房地产，技术路线为通过对估价对象房地产的价格组成部分进行分解，了解各价格组成部分的正常价格，再累加（积算）作为估价对象的正常价格</w:t>
      </w:r>
      <w:r>
        <w:rPr>
          <w:color w:val="000000" w:themeColor="text1"/>
          <w:sz w:val="28"/>
          <w:szCs w:val="28"/>
          <w:highlight w:val="none"/>
        </w:rPr>
        <w:t>，</w:t>
      </w:r>
      <w:r>
        <w:rPr>
          <w:rFonts w:eastAsia="仿宋_GB2312"/>
          <w:color w:val="000000" w:themeColor="text1"/>
          <w:sz w:val="28"/>
          <w:szCs w:val="28"/>
          <w:highlight w:val="none"/>
        </w:rPr>
        <w:t>而估价对象类似房地产既有市场交易又有收益，故不适宜采用成本法进行评估。</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假设开发法一般适用于具有投资开发或再开发潜力的房地产的估价，技术路线为预测其未来开发完成后的价值，减去后续开发建设的必要支出及应得利润来求取估价对象的价值。待估对象当前为最高最佳利用，暂时不具有再开发潜力，因此本次评估亦不采用假设开发法进行评估。</w:t>
      </w:r>
    </w:p>
    <w:p>
      <w:pPr>
        <w:spacing w:line="480" w:lineRule="exact"/>
        <w:ind w:firstLine="560" w:firstLineChars="200"/>
        <w:rPr>
          <w:rFonts w:eastAsia="仿宋_GB2312"/>
          <w:color w:val="000000" w:themeColor="text1"/>
          <w:sz w:val="28"/>
          <w:szCs w:val="28"/>
          <w:highlight w:val="none"/>
        </w:rPr>
      </w:pPr>
      <w:r>
        <w:rPr>
          <w:rFonts w:eastAsia="仿宋_GB2312"/>
          <w:color w:val="000000" w:themeColor="text1"/>
          <w:sz w:val="28"/>
          <w:szCs w:val="28"/>
          <w:highlight w:val="none"/>
        </w:rPr>
        <w:t>综上，根据本项目的特点和估价目的，本次评估采用比较法和收益法进行评估。</w:t>
      </w:r>
    </w:p>
    <w:p>
      <w:pPr>
        <w:pStyle w:val="5"/>
        <w:spacing w:before="240" w:after="240" w:line="520" w:lineRule="exact"/>
        <w:rPr>
          <w:color w:val="000000" w:themeColor="text1"/>
          <w:kern w:val="44"/>
          <w:highlight w:val="none"/>
        </w:rPr>
      </w:pPr>
      <w:bookmarkStart w:id="53" w:name="_Toc23957"/>
      <w:r>
        <w:rPr>
          <w:color w:val="000000" w:themeColor="text1"/>
          <w:kern w:val="44"/>
          <w:highlight w:val="none"/>
        </w:rPr>
        <w:t>十、估价结果</w:t>
      </w:r>
      <w:bookmarkEnd w:id="52"/>
      <w:bookmarkEnd w:id="53"/>
    </w:p>
    <w:p>
      <w:pPr>
        <w:pStyle w:val="13"/>
        <w:spacing w:line="480" w:lineRule="exact"/>
        <w:ind w:firstLine="567"/>
        <w:rPr>
          <w:rFonts w:ascii="Times New Roman" w:hAnsi="Times New Roman" w:eastAsia="仿宋_GB2312"/>
          <w:color w:val="000000" w:themeColor="text1"/>
          <w:sz w:val="28"/>
          <w:szCs w:val="28"/>
          <w:highlight w:val="none"/>
        </w:rPr>
      </w:pPr>
      <w:bookmarkStart w:id="54" w:name="_Toc298240813"/>
      <w:r>
        <w:rPr>
          <w:rFonts w:ascii="Times New Roman" w:hAnsi="Times New Roman" w:eastAsia="仿宋_GB2312"/>
          <w:color w:val="000000" w:themeColor="text1"/>
          <w:sz w:val="28"/>
          <w:szCs w:val="28"/>
          <w:highlight w:val="none"/>
        </w:rPr>
        <w:t>经过客观公正的评估，得出以下结论：</w:t>
      </w:r>
    </w:p>
    <w:p>
      <w:pPr>
        <w:pStyle w:val="13"/>
        <w:spacing w:line="480" w:lineRule="exact"/>
        <w:ind w:firstLine="567"/>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lang w:eastAsia="zh-CN"/>
        </w:rPr>
        <w:t>2018年09月07日</w:t>
      </w:r>
      <w:r>
        <w:rPr>
          <w:rFonts w:ascii="Times New Roman" w:hAnsi="Times New Roman" w:eastAsia="仿宋_GB2312"/>
          <w:color w:val="000000" w:themeColor="text1"/>
          <w:sz w:val="28"/>
          <w:szCs w:val="28"/>
          <w:highlight w:val="none"/>
        </w:rPr>
        <w:t>估价对象市场价值：单价</w:t>
      </w:r>
      <w:r>
        <w:rPr>
          <w:rFonts w:hint="eastAsia" w:ascii="Times New Roman" w:hAnsi="Times New Roman" w:eastAsia="仿宋_GB2312"/>
          <w:color w:val="000000" w:themeColor="text1"/>
          <w:sz w:val="28"/>
          <w:szCs w:val="28"/>
          <w:highlight w:val="none"/>
          <w:lang w:eastAsia="zh-CN"/>
        </w:rPr>
        <w:t>RMB16422元/平方米</w:t>
      </w:r>
      <w:r>
        <w:rPr>
          <w:rFonts w:ascii="Times New Roman" w:hAnsi="Times New Roman" w:eastAsia="仿宋_GB2312"/>
          <w:color w:val="000000" w:themeColor="text1"/>
          <w:sz w:val="28"/>
          <w:szCs w:val="28"/>
          <w:highlight w:val="none"/>
        </w:rPr>
        <w:t>，</w:t>
      </w:r>
      <w:r>
        <w:rPr>
          <w:rFonts w:hint="eastAsia" w:ascii="Times New Roman" w:hAnsi="Times New Roman" w:eastAsia="仿宋_GB2312"/>
          <w:color w:val="000000" w:themeColor="text1"/>
          <w:sz w:val="28"/>
          <w:szCs w:val="28"/>
          <w:highlight w:val="none"/>
          <w:lang w:eastAsia="zh-CN"/>
        </w:rPr>
        <w:t>总价RMB167.75万元</w:t>
      </w:r>
      <w:r>
        <w:rPr>
          <w:rFonts w:ascii="Times New Roman" w:hAnsi="Times New Roman" w:eastAsia="仿宋_GB2312"/>
          <w:color w:val="000000" w:themeColor="text1"/>
          <w:sz w:val="28"/>
          <w:szCs w:val="28"/>
          <w:highlight w:val="none"/>
        </w:rPr>
        <w:t>，大写人民币：</w:t>
      </w:r>
      <w:r>
        <w:rPr>
          <w:rFonts w:hint="eastAsia" w:ascii="Times New Roman" w:hAnsi="Times New Roman" w:eastAsia="仿宋_GB2312"/>
          <w:color w:val="000000" w:themeColor="text1"/>
          <w:sz w:val="28"/>
          <w:szCs w:val="28"/>
          <w:highlight w:val="none"/>
          <w:lang w:eastAsia="zh-CN"/>
        </w:rPr>
        <w:t>壹佰陆拾柒万柒仟伍佰元整</w:t>
      </w:r>
      <w:r>
        <w:rPr>
          <w:rFonts w:ascii="Times New Roman" w:hAnsi="Times New Roman" w:eastAsia="仿宋_GB2312"/>
          <w:color w:val="000000" w:themeColor="text1"/>
          <w:sz w:val="28"/>
          <w:szCs w:val="28"/>
          <w:highlight w:val="none"/>
        </w:rPr>
        <w:t>。</w:t>
      </w:r>
    </w:p>
    <w:p>
      <w:pPr>
        <w:pStyle w:val="5"/>
        <w:spacing w:before="240" w:after="240" w:line="520" w:lineRule="exact"/>
        <w:rPr>
          <w:color w:val="000000" w:themeColor="text1"/>
          <w:kern w:val="44"/>
          <w:highlight w:val="none"/>
        </w:rPr>
      </w:pPr>
      <w:bookmarkStart w:id="55" w:name="_Toc5200"/>
      <w:r>
        <w:rPr>
          <w:color w:val="000000" w:themeColor="text1"/>
          <w:kern w:val="44"/>
          <w:highlight w:val="none"/>
        </w:rPr>
        <w:t>十一、评估人员</w:t>
      </w:r>
      <w:bookmarkEnd w:id="54"/>
      <w:bookmarkEnd w:id="55"/>
    </w:p>
    <w:tbl>
      <w:tblPr>
        <w:tblStyle w:val="2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24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7" w:hRule="atLeast"/>
          <w:jc w:val="center"/>
        </w:trPr>
        <w:tc>
          <w:tcPr>
            <w:tcW w:w="1668" w:type="dxa"/>
          </w:tcPr>
          <w:p>
            <w:pPr>
              <w:pStyle w:val="14"/>
              <w:spacing w:line="600" w:lineRule="exact"/>
              <w:jc w:val="center"/>
              <w:rPr>
                <w:rFonts w:ascii="Times New Roman" w:hAnsi="Times New Roman"/>
                <w:color w:val="000000" w:themeColor="text1"/>
                <w:sz w:val="28"/>
                <w:szCs w:val="28"/>
                <w:highlight w:val="none"/>
              </w:rPr>
            </w:pPr>
            <w:bookmarkStart w:id="56" w:name="_Toc298240814"/>
            <w:r>
              <w:rPr>
                <w:rFonts w:ascii="Times New Roman" w:hAnsi="Times New Roman"/>
                <w:color w:val="000000" w:themeColor="text1"/>
                <w:sz w:val="28"/>
                <w:szCs w:val="28"/>
                <w:highlight w:val="none"/>
              </w:rPr>
              <w:t>姓名</w:t>
            </w:r>
          </w:p>
        </w:tc>
        <w:tc>
          <w:tcPr>
            <w:tcW w:w="2409" w:type="dxa"/>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注册号</w:t>
            </w:r>
          </w:p>
        </w:tc>
        <w:tc>
          <w:tcPr>
            <w:tcW w:w="2410" w:type="dxa"/>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签名</w:t>
            </w:r>
          </w:p>
        </w:tc>
        <w:tc>
          <w:tcPr>
            <w:tcW w:w="2574" w:type="dxa"/>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68" w:type="dxa"/>
            <w:vAlign w:val="center"/>
          </w:tcPr>
          <w:p>
            <w:pPr>
              <w:pStyle w:val="14"/>
              <w:spacing w:line="600" w:lineRule="exact"/>
              <w:jc w:val="center"/>
              <w:rPr>
                <w:rFonts w:hint="eastAsia" w:ascii="Times New Roman" w:hAnsi="Times New Roman" w:eastAsia="仿宋_GB2312"/>
                <w:color w:val="000000" w:themeColor="text1"/>
                <w:sz w:val="28"/>
                <w:szCs w:val="28"/>
                <w:highlight w:val="none"/>
                <w:lang w:eastAsia="zh-CN"/>
              </w:rPr>
            </w:pPr>
            <w:r>
              <w:rPr>
                <w:rFonts w:hint="eastAsia" w:ascii="Times New Roman" w:hAnsi="Times New Roman"/>
                <w:color w:val="000000" w:themeColor="text1"/>
                <w:sz w:val="28"/>
                <w:szCs w:val="28"/>
                <w:highlight w:val="none"/>
                <w:lang w:eastAsia="zh-CN"/>
              </w:rPr>
              <w:t>陈</w:t>
            </w:r>
            <w:r>
              <w:rPr>
                <w:rFonts w:hint="eastAsia" w:ascii="Times New Roman" w:hAnsi="Times New Roman"/>
                <w:color w:val="000000" w:themeColor="text1"/>
                <w:sz w:val="28"/>
                <w:szCs w:val="28"/>
                <w:highlight w:val="none"/>
                <w:lang w:val="en-US" w:eastAsia="zh-CN"/>
              </w:rPr>
              <w:t xml:space="preserve">  </w:t>
            </w:r>
            <w:r>
              <w:rPr>
                <w:rFonts w:hint="eastAsia" w:ascii="Times New Roman" w:hAnsi="Times New Roman"/>
                <w:color w:val="000000" w:themeColor="text1"/>
                <w:sz w:val="28"/>
                <w:szCs w:val="28"/>
                <w:highlight w:val="none"/>
                <w:lang w:eastAsia="zh-CN"/>
              </w:rPr>
              <w:t>雷</w:t>
            </w:r>
          </w:p>
        </w:tc>
        <w:tc>
          <w:tcPr>
            <w:tcW w:w="2409" w:type="dxa"/>
            <w:vAlign w:val="center"/>
          </w:tcPr>
          <w:p>
            <w:pPr>
              <w:pStyle w:val="14"/>
              <w:spacing w:line="600" w:lineRule="exact"/>
              <w:jc w:val="center"/>
              <w:rPr>
                <w:rFonts w:hint="eastAsia" w:ascii="Times New Roman" w:hAnsi="Times New Roman" w:eastAsia="仿宋_GB2312"/>
                <w:color w:val="000000" w:themeColor="text1"/>
                <w:sz w:val="28"/>
                <w:szCs w:val="28"/>
                <w:highlight w:val="none"/>
                <w:lang w:eastAsia="zh-CN"/>
              </w:rPr>
            </w:pPr>
            <w:r>
              <w:rPr>
                <w:rFonts w:hint="eastAsia" w:ascii="Times New Roman" w:hAnsi="Times New Roman"/>
                <w:color w:val="000000" w:themeColor="text1"/>
                <w:sz w:val="28"/>
                <w:szCs w:val="28"/>
                <w:highlight w:val="none"/>
                <w:lang w:eastAsia="zh-CN"/>
              </w:rPr>
              <w:t>3720060157</w:t>
            </w:r>
          </w:p>
        </w:tc>
        <w:tc>
          <w:tcPr>
            <w:tcW w:w="2410" w:type="dxa"/>
            <w:vAlign w:val="center"/>
          </w:tcPr>
          <w:p>
            <w:pPr>
              <w:pStyle w:val="14"/>
              <w:spacing w:line="600" w:lineRule="exact"/>
              <w:jc w:val="center"/>
              <w:rPr>
                <w:rFonts w:ascii="Times New Roman" w:hAnsi="Times New Roman"/>
                <w:color w:val="000000" w:themeColor="text1"/>
                <w:sz w:val="28"/>
                <w:szCs w:val="28"/>
                <w:highlight w:val="none"/>
              </w:rPr>
            </w:pPr>
          </w:p>
        </w:tc>
        <w:tc>
          <w:tcPr>
            <w:tcW w:w="2574" w:type="dxa"/>
            <w:vAlign w:val="center"/>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黄昱晴</w:t>
            </w:r>
          </w:p>
        </w:tc>
        <w:tc>
          <w:tcPr>
            <w:tcW w:w="2409" w:type="dxa"/>
            <w:vAlign w:val="center"/>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3719960004</w:t>
            </w:r>
          </w:p>
        </w:tc>
        <w:tc>
          <w:tcPr>
            <w:tcW w:w="2410" w:type="dxa"/>
            <w:vAlign w:val="center"/>
          </w:tcPr>
          <w:p>
            <w:pPr>
              <w:pStyle w:val="14"/>
              <w:spacing w:line="600" w:lineRule="exact"/>
              <w:jc w:val="center"/>
              <w:rPr>
                <w:rFonts w:ascii="Times New Roman" w:hAnsi="Times New Roman"/>
                <w:color w:val="000000" w:themeColor="text1"/>
                <w:sz w:val="28"/>
                <w:szCs w:val="28"/>
                <w:highlight w:val="none"/>
              </w:rPr>
            </w:pPr>
          </w:p>
        </w:tc>
        <w:tc>
          <w:tcPr>
            <w:tcW w:w="2574" w:type="dxa"/>
            <w:vAlign w:val="center"/>
          </w:tcPr>
          <w:p>
            <w:pPr>
              <w:pStyle w:val="14"/>
              <w:spacing w:line="600" w:lineRule="exact"/>
              <w:jc w:val="center"/>
              <w:rPr>
                <w:rFonts w:ascii="Times New Roman" w:hAnsi="Times New Roman"/>
                <w:color w:val="000000" w:themeColor="text1"/>
                <w:sz w:val="28"/>
                <w:szCs w:val="28"/>
                <w:highlight w:val="none"/>
              </w:rPr>
            </w:pPr>
            <w:r>
              <w:rPr>
                <w:rFonts w:ascii="Times New Roman" w:hAnsi="Times New Roman"/>
                <w:color w:val="000000" w:themeColor="text1"/>
                <w:sz w:val="28"/>
                <w:szCs w:val="28"/>
                <w:highlight w:val="none"/>
              </w:rPr>
              <w:t xml:space="preserve">    年   月   日</w:t>
            </w:r>
          </w:p>
        </w:tc>
      </w:tr>
    </w:tbl>
    <w:p>
      <w:pPr>
        <w:pStyle w:val="5"/>
        <w:spacing w:before="240" w:after="240" w:line="520" w:lineRule="exact"/>
        <w:rPr>
          <w:color w:val="000000" w:themeColor="text1"/>
          <w:kern w:val="44"/>
          <w:highlight w:val="none"/>
        </w:rPr>
      </w:pPr>
      <w:bookmarkStart w:id="57" w:name="_Toc26143"/>
      <w:r>
        <w:rPr>
          <w:color w:val="000000" w:themeColor="text1"/>
          <w:kern w:val="44"/>
          <w:highlight w:val="none"/>
        </w:rPr>
        <w:t>十二、估价作业日期</w:t>
      </w:r>
      <w:bookmarkEnd w:id="56"/>
      <w:bookmarkEnd w:id="57"/>
    </w:p>
    <w:p>
      <w:pPr>
        <w:spacing w:line="600" w:lineRule="exact"/>
        <w:rPr>
          <w:rFonts w:hint="eastAsia" w:eastAsia="仿宋_GB2312"/>
          <w:color w:val="000000" w:themeColor="text1"/>
          <w:sz w:val="28"/>
          <w:szCs w:val="28"/>
          <w:highlight w:val="none"/>
          <w:lang w:eastAsia="zh-CN"/>
        </w:rPr>
      </w:pPr>
      <w:r>
        <w:rPr>
          <w:rFonts w:eastAsia="楷体_GB2312"/>
          <w:color w:val="000000" w:themeColor="text1"/>
          <w:sz w:val="28"/>
          <w:szCs w:val="28"/>
          <w:highlight w:val="none"/>
        </w:rPr>
        <w:t xml:space="preserve">   </w:t>
      </w:r>
      <w:r>
        <w:rPr>
          <w:rFonts w:hint="eastAsia" w:eastAsia="仿宋_GB2312"/>
          <w:color w:val="000000" w:themeColor="text1"/>
          <w:sz w:val="28"/>
          <w:szCs w:val="28"/>
          <w:highlight w:val="none"/>
          <w:lang w:eastAsia="zh-CN"/>
        </w:rPr>
        <w:t>2018年09月07日</w:t>
      </w:r>
      <w:r>
        <w:rPr>
          <w:rFonts w:eastAsia="仿宋_GB2312"/>
          <w:color w:val="000000" w:themeColor="text1"/>
          <w:sz w:val="28"/>
          <w:szCs w:val="28"/>
          <w:highlight w:val="none"/>
        </w:rPr>
        <w:t>—</w:t>
      </w:r>
      <w:r>
        <w:rPr>
          <w:rFonts w:hint="eastAsia" w:eastAsia="仿宋_GB2312"/>
          <w:color w:val="000000" w:themeColor="text1"/>
          <w:sz w:val="28"/>
          <w:szCs w:val="28"/>
          <w:highlight w:val="none"/>
          <w:lang w:eastAsia="zh-CN"/>
        </w:rPr>
        <w:t>2018年09月14日</w:t>
      </w:r>
    </w:p>
    <w:p>
      <w:pPr>
        <w:pStyle w:val="5"/>
        <w:spacing w:before="240" w:after="240" w:line="520" w:lineRule="exact"/>
        <w:rPr>
          <w:color w:val="000000" w:themeColor="text1"/>
          <w:highlight w:val="none"/>
        </w:rPr>
      </w:pPr>
      <w:bookmarkStart w:id="58" w:name="_Toc298240815"/>
      <w:bookmarkStart w:id="59" w:name="_Toc3102"/>
      <w:r>
        <w:rPr>
          <w:color w:val="000000" w:themeColor="text1"/>
          <w:highlight w:val="none"/>
        </w:rPr>
        <w:t>十三、估价报告应用有效期</w:t>
      </w:r>
      <w:bookmarkEnd w:id="58"/>
      <w:bookmarkEnd w:id="59"/>
    </w:p>
    <w:p>
      <w:pPr>
        <w:spacing w:line="600" w:lineRule="exact"/>
        <w:rPr>
          <w:rFonts w:hint="eastAsia" w:eastAsia="仿宋_GB2312"/>
          <w:b w:val="0"/>
          <w:color w:val="000000" w:themeColor="text1"/>
          <w:highlight w:val="none"/>
          <w:lang w:val="en-US" w:eastAsia="zh-CN"/>
        </w:rPr>
        <w:sectPr>
          <w:headerReference r:id="rId5" w:type="default"/>
          <w:pgSz w:w="11906" w:h="16838"/>
          <w:pgMar w:top="1440" w:right="1247" w:bottom="1440" w:left="1814" w:header="851" w:footer="992" w:gutter="0"/>
          <w:cols w:space="720" w:num="1"/>
          <w:docGrid w:type="lines" w:linePitch="312" w:charSpace="0"/>
        </w:sectPr>
      </w:pPr>
      <w:r>
        <w:rPr>
          <w:rFonts w:eastAsia="楷体_GB2312"/>
          <w:color w:val="000000" w:themeColor="text1"/>
          <w:sz w:val="28"/>
          <w:szCs w:val="28"/>
          <w:highlight w:val="none"/>
        </w:rPr>
        <w:t xml:space="preserve"> </w:t>
      </w:r>
      <w:r>
        <w:rPr>
          <w:rFonts w:eastAsia="仿宋_GB2312"/>
          <w:color w:val="000000" w:themeColor="text1"/>
          <w:sz w:val="28"/>
          <w:szCs w:val="28"/>
          <w:highlight w:val="none"/>
        </w:rPr>
        <w:t xml:space="preserve"> 自</w:t>
      </w:r>
      <w:r>
        <w:rPr>
          <w:rFonts w:hint="eastAsia" w:eastAsia="仿宋_GB2312"/>
          <w:color w:val="000000" w:themeColor="text1"/>
          <w:sz w:val="28"/>
          <w:szCs w:val="28"/>
          <w:highlight w:val="none"/>
          <w:lang w:eastAsia="zh-CN"/>
        </w:rPr>
        <w:t>2018年09月14日</w:t>
      </w:r>
      <w:r>
        <w:rPr>
          <w:rFonts w:eastAsia="仿宋_GB2312"/>
          <w:color w:val="000000" w:themeColor="text1"/>
          <w:sz w:val="28"/>
          <w:szCs w:val="28"/>
          <w:highlight w:val="none"/>
        </w:rPr>
        <w:t>至</w:t>
      </w:r>
      <w:r>
        <w:rPr>
          <w:rFonts w:hint="eastAsia" w:eastAsia="仿宋_GB2312"/>
          <w:color w:val="000000" w:themeColor="text1"/>
          <w:sz w:val="28"/>
          <w:szCs w:val="28"/>
          <w:highlight w:val="none"/>
          <w:lang w:eastAsia="zh-CN"/>
        </w:rPr>
        <w:t>2019年09月13</w:t>
      </w:r>
      <w:bookmarkStart w:id="60" w:name="_Toc298240818"/>
      <w:r>
        <w:rPr>
          <w:rFonts w:hint="eastAsia" w:eastAsia="仿宋_GB2312"/>
          <w:color w:val="000000" w:themeColor="text1"/>
          <w:sz w:val="28"/>
          <w:szCs w:val="28"/>
          <w:highlight w:val="none"/>
          <w:lang w:eastAsia="zh-CN"/>
        </w:rPr>
        <w:t>日止</w:t>
      </w:r>
    </w:p>
    <w:bookmarkEnd w:id="60"/>
    <w:p>
      <w:pPr>
        <w:pStyle w:val="2"/>
        <w:jc w:val="center"/>
        <w:rPr>
          <w:rFonts w:ascii="Times New Roman" w:hAnsi="Times New Roman" w:eastAsia="宋体" w:cs="Times New Roman"/>
          <w:b/>
          <w:bCs w:val="0"/>
          <w:color w:val="000000" w:themeColor="text1"/>
          <w:kern w:val="2"/>
          <w:sz w:val="44"/>
          <w:szCs w:val="44"/>
          <w:highlight w:val="none"/>
          <w:lang w:val="en-US" w:eastAsia="zh-CN" w:bidi="ar-SA"/>
        </w:rPr>
      </w:pPr>
      <w:bookmarkStart w:id="61" w:name="_Toc3975"/>
      <w:r>
        <w:rPr>
          <w:rFonts w:ascii="Times New Roman" w:hAnsi="Times New Roman" w:eastAsia="宋体" w:cs="Times New Roman"/>
          <w:b/>
          <w:bCs w:val="0"/>
          <w:color w:val="000000" w:themeColor="text1"/>
          <w:kern w:val="2"/>
          <w:sz w:val="44"/>
          <w:szCs w:val="44"/>
          <w:highlight w:val="none"/>
          <w:lang w:val="en-US" w:eastAsia="zh-CN" w:bidi="ar-SA"/>
        </w:rPr>
        <w:t>附    件</w:t>
      </w:r>
      <w:bookmarkEnd w:id="61"/>
    </w:p>
    <w:p>
      <w:pPr>
        <w:pStyle w:val="13"/>
        <w:spacing w:line="600" w:lineRule="exact"/>
        <w:ind w:firstLine="567"/>
        <w:rPr>
          <w:rFonts w:ascii="Times New Roman" w:hAnsi="Times New Roman" w:eastAsia="仿宋_GB2312"/>
          <w:color w:val="000000" w:themeColor="text1"/>
          <w:sz w:val="28"/>
          <w:szCs w:val="28"/>
          <w:highlight w:val="none"/>
        </w:rPr>
      </w:pPr>
      <w:bookmarkStart w:id="62" w:name="_Toc263956864"/>
      <w:bookmarkStart w:id="63" w:name="_Toc298240825"/>
      <w:r>
        <w:rPr>
          <w:rFonts w:ascii="Times New Roman" w:hAnsi="Times New Roman" w:eastAsia="仿宋_GB2312"/>
          <w:color w:val="000000" w:themeColor="text1"/>
          <w:sz w:val="28"/>
          <w:szCs w:val="28"/>
          <w:highlight w:val="none"/>
        </w:rPr>
        <w:t>1. 估价对象现状照片</w:t>
      </w:r>
      <w:bookmarkEnd w:id="62"/>
      <w:bookmarkEnd w:id="63"/>
    </w:p>
    <w:p>
      <w:pPr>
        <w:pStyle w:val="13"/>
        <w:spacing w:line="600" w:lineRule="exact"/>
        <w:ind w:firstLine="567"/>
        <w:rPr>
          <w:rFonts w:hint="eastAsia" w:ascii="Times New Roman" w:hAnsi="Times New Roman" w:eastAsia="仿宋_GB2312"/>
          <w:color w:val="000000" w:themeColor="text1"/>
          <w:sz w:val="28"/>
          <w:szCs w:val="28"/>
          <w:highlight w:val="none"/>
          <w:lang w:val="en-US" w:eastAsia="zh-CN"/>
        </w:rPr>
      </w:pPr>
      <w:r>
        <w:rPr>
          <w:rFonts w:hint="eastAsia" w:ascii="Times New Roman" w:hAnsi="Times New Roman" w:eastAsia="仿宋_GB2312"/>
          <w:color w:val="000000" w:themeColor="text1"/>
          <w:sz w:val="28"/>
          <w:szCs w:val="28"/>
          <w:highlight w:val="none"/>
          <w:lang w:val="en-US" w:eastAsia="zh-CN"/>
        </w:rPr>
        <w:t xml:space="preserve">2. </w:t>
      </w:r>
      <w:r>
        <w:rPr>
          <w:rFonts w:hint="eastAsia" w:ascii="Times New Roman" w:hAnsi="Times New Roman" w:eastAsia="仿宋_GB2312"/>
          <w:color w:val="000000" w:themeColor="text1"/>
          <w:sz w:val="28"/>
          <w:szCs w:val="28"/>
          <w:highlight w:val="none"/>
          <w:lang w:eastAsia="zh-CN"/>
        </w:rPr>
        <w:t>青岛市黄岛区人民法院司法鉴定委托书（复印件）</w:t>
      </w:r>
    </w:p>
    <w:p>
      <w:pPr>
        <w:pStyle w:val="13"/>
        <w:spacing w:line="600" w:lineRule="exact"/>
        <w:ind w:firstLine="567"/>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lang w:val="en-US" w:eastAsia="zh-CN"/>
        </w:rPr>
        <w:t>3. 青岛市不动产登记信息</w:t>
      </w:r>
      <w:r>
        <w:rPr>
          <w:rFonts w:ascii="Times New Roman" w:hAnsi="Times New Roman" w:eastAsia="仿宋_GB2312"/>
          <w:color w:val="000000" w:themeColor="text1"/>
          <w:sz w:val="28"/>
          <w:szCs w:val="28"/>
          <w:highlight w:val="none"/>
        </w:rPr>
        <w:t>（复印件）</w:t>
      </w:r>
    </w:p>
    <w:p>
      <w:pPr>
        <w:pStyle w:val="13"/>
        <w:spacing w:line="600" w:lineRule="exact"/>
        <w:ind w:firstLine="567"/>
        <w:rPr>
          <w:rFonts w:ascii="Times New Roman" w:hAnsi="Times New Roman" w:eastAsia="仿宋_GB2312"/>
          <w:color w:val="000000" w:themeColor="text1"/>
          <w:sz w:val="28"/>
          <w:szCs w:val="28"/>
          <w:highlight w:val="none"/>
        </w:rPr>
      </w:pPr>
      <w:r>
        <w:rPr>
          <w:rFonts w:hint="eastAsia" w:ascii="Times New Roman" w:hAnsi="Times New Roman" w:eastAsia="仿宋_GB2312"/>
          <w:color w:val="000000" w:themeColor="text1"/>
          <w:sz w:val="28"/>
          <w:szCs w:val="28"/>
          <w:highlight w:val="none"/>
          <w:lang w:val="en-US" w:eastAsia="zh-CN"/>
        </w:rPr>
        <w:t>5</w:t>
      </w:r>
      <w:r>
        <w:rPr>
          <w:rFonts w:ascii="Times New Roman" w:hAnsi="Times New Roman" w:eastAsia="仿宋_GB2312"/>
          <w:color w:val="000000" w:themeColor="text1"/>
          <w:sz w:val="28"/>
          <w:szCs w:val="28"/>
          <w:highlight w:val="none"/>
        </w:rPr>
        <w:t>. 注册房地产估价师注册资格证书（复印件）</w:t>
      </w:r>
    </w:p>
    <w:p>
      <w:pPr>
        <w:pStyle w:val="13"/>
        <w:spacing w:line="600" w:lineRule="exact"/>
        <w:ind w:firstLine="567"/>
        <w:rPr>
          <w:rFonts w:ascii="Times New Roman" w:hAnsi="Times New Roman" w:eastAsia="仿宋_GB2312"/>
          <w:color w:val="000000" w:themeColor="text1"/>
          <w:sz w:val="28"/>
          <w:szCs w:val="28"/>
          <w:highlight w:val="none"/>
        </w:rPr>
      </w:pPr>
      <w:bookmarkStart w:id="64" w:name="_Toc263956869"/>
      <w:bookmarkStart w:id="65" w:name="_Toc298240828"/>
      <w:r>
        <w:rPr>
          <w:rFonts w:hint="eastAsia" w:ascii="Times New Roman" w:hAnsi="Times New Roman" w:eastAsia="仿宋_GB2312"/>
          <w:color w:val="000000" w:themeColor="text1"/>
          <w:sz w:val="28"/>
          <w:szCs w:val="28"/>
          <w:highlight w:val="none"/>
          <w:lang w:val="en-US" w:eastAsia="zh-CN"/>
        </w:rPr>
        <w:t>6</w:t>
      </w:r>
      <w:r>
        <w:rPr>
          <w:rFonts w:ascii="Times New Roman" w:hAnsi="Times New Roman" w:eastAsia="仿宋_GB2312"/>
          <w:color w:val="000000" w:themeColor="text1"/>
          <w:sz w:val="28"/>
          <w:szCs w:val="28"/>
          <w:highlight w:val="none"/>
        </w:rPr>
        <w:t xml:space="preserve">. </w:t>
      </w:r>
      <w:bookmarkEnd w:id="64"/>
      <w:bookmarkEnd w:id="65"/>
      <w:r>
        <w:rPr>
          <w:rFonts w:ascii="Times New Roman" w:hAnsi="Times New Roman" w:eastAsia="仿宋_GB2312"/>
          <w:color w:val="000000" w:themeColor="text1"/>
          <w:sz w:val="28"/>
          <w:szCs w:val="28"/>
          <w:highlight w:val="none"/>
        </w:rPr>
        <w:t>估价机构营业执照及资质证书（复印件）</w:t>
      </w:r>
    </w:p>
    <w:p>
      <w:pPr>
        <w:pStyle w:val="13"/>
        <w:spacing w:line="600" w:lineRule="exact"/>
        <w:ind w:firstLine="567"/>
        <w:rPr>
          <w:rFonts w:ascii="Times New Roman" w:hAnsi="Times New Roman" w:eastAsia="仿宋_GB2312"/>
          <w:color w:val="000000" w:themeColor="text1"/>
          <w:sz w:val="28"/>
          <w:szCs w:val="28"/>
          <w:highlight w:val="none"/>
        </w:rPr>
      </w:pPr>
    </w:p>
    <w:p>
      <w:pPr>
        <w:rPr>
          <w:color w:val="000000" w:themeColor="text1"/>
          <w:highlight w:val="none"/>
        </w:rPr>
      </w:pPr>
      <w:bookmarkStart w:id="66" w:name="_GoBack"/>
      <w:bookmarkEnd w:id="66"/>
    </w:p>
    <w:sectPr>
      <w:pgSz w:w="11906" w:h="16838"/>
      <w:pgMar w:top="1440" w:right="124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20</w:t>
    </w:r>
    <w:r>
      <w:fldChar w:fldCharType="end"/>
    </w:r>
  </w:p>
  <w:p>
    <w:pPr>
      <w:pStyle w:val="17"/>
      <w:ind w:right="360"/>
      <w:jc w:val="right"/>
    </w:pPr>
    <w:r>
      <w:rPr>
        <w:kern w:val="0"/>
        <w:sz w:val="20"/>
      </w:rPr>
      <w:pict>
        <v:line id="_x0000_s4097" o:spid="_x0000_s4097" o:spt="20" style="position:absolute;left:0pt;margin-left:0pt;margin-top:2.5pt;height:0pt;width:0.05pt;z-index:251658240;mso-width-relative:page;mso-height-relative:page;" coordsize="21600,21600">
          <v:path arrowok="t"/>
          <v:fill focussize="0,0"/>
          <v:stroke/>
          <v:imagedata o:title=""/>
          <o:lock v:ext="edit"/>
        </v:line>
      </w:pict>
    </w:r>
    <w:r>
      <w:rPr>
        <w:kern w:val="0"/>
        <w:sz w:val="20"/>
      </w:rPr>
      <w:pict>
        <v:line id="_x0000_s4098" o:spid="_x0000_s4098" o:spt="20" style="position:absolute;left:0pt;margin-left:0pt;margin-top:-5.3pt;height:0pt;width:0.05pt;z-index:251657216;mso-width-relative:page;mso-height-relative:page;" coordsize="21600,21600">
          <v:path arrowok="t"/>
          <v:fill focussize="0,0"/>
          <v:stroke/>
          <v:imagedata o:title=""/>
          <o:lock v:ext="edit"/>
        </v:line>
      </w:pict>
    </w:r>
    <w:r>
      <w:rPr>
        <w:rFonts w:hint="eastAsia"/>
        <w:kern w:val="0"/>
        <w:sz w:val="20"/>
      </w:rPr>
      <w:t xml:space="preserve">                                 恒德评估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w:t>
    </w:r>
    <w:r>
      <w:rPr>
        <w:rFonts w:hint="eastAsia"/>
        <w:szCs w:val="18"/>
        <w:lang w:eastAsia="zh-CN"/>
      </w:rPr>
      <w:t>青岛市黄岛区人民法院</w:t>
    </w:r>
    <w:r>
      <w:rPr>
        <w:rFonts w:hint="eastAsia"/>
        <w:szCs w:val="18"/>
      </w:rPr>
      <w:t>委托对</w:t>
    </w:r>
    <w:r>
      <w:rPr>
        <w:rFonts w:hint="eastAsia"/>
        <w:szCs w:val="18"/>
        <w:lang w:eastAsia="zh-CN"/>
      </w:rPr>
      <w:t>胶南市海滨十路377号11栋1单元1804房屋</w:t>
    </w:r>
    <w:r>
      <w:rPr>
        <w:rFonts w:hint="eastAsia"/>
        <w:szCs w:val="18"/>
      </w:rPr>
      <w:t>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w:t>
    </w:r>
    <w:r>
      <w:rPr>
        <w:rFonts w:hint="eastAsia"/>
        <w:szCs w:val="18"/>
        <w:lang w:eastAsia="zh-CN"/>
      </w:rPr>
      <w:t>青岛市黄岛区人民法院</w:t>
    </w:r>
    <w:r>
      <w:rPr>
        <w:rFonts w:hint="eastAsia"/>
        <w:szCs w:val="18"/>
      </w:rPr>
      <w:t>委托对</w:t>
    </w:r>
    <w:r>
      <w:rPr>
        <w:rFonts w:hint="eastAsia"/>
        <w:szCs w:val="18"/>
        <w:lang w:eastAsia="zh-CN"/>
      </w:rPr>
      <w:t>胶南市海滨十路377号11栋1单元1804房屋</w:t>
    </w:r>
    <w:r>
      <w:rPr>
        <w:rFonts w:hint="eastAsia"/>
        <w:szCs w:val="18"/>
      </w:rPr>
      <w:t>价值评估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7112D"/>
    <w:multiLevelType w:val="singleLevel"/>
    <w:tmpl w:val="3E87112D"/>
    <w:lvl w:ilvl="0" w:tentative="0">
      <w:start w:val="1"/>
      <w:numFmt w:val="none"/>
      <w:pStyle w:val="3"/>
      <w:lvlText w:val=""/>
      <w:lvlJc w:val="left"/>
      <w:pPr>
        <w:tabs>
          <w:tab w:val="left" w:pos="1080"/>
        </w:tabs>
        <w:ind w:left="1080" w:hanging="4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C55"/>
    <w:rsid w:val="000025A4"/>
    <w:rsid w:val="000039DB"/>
    <w:rsid w:val="00005D9F"/>
    <w:rsid w:val="00006A47"/>
    <w:rsid w:val="000125B5"/>
    <w:rsid w:val="00013C83"/>
    <w:rsid w:val="00013D58"/>
    <w:rsid w:val="00013DBE"/>
    <w:rsid w:val="00014B09"/>
    <w:rsid w:val="00015DF8"/>
    <w:rsid w:val="00015E4D"/>
    <w:rsid w:val="000171C3"/>
    <w:rsid w:val="00017DF8"/>
    <w:rsid w:val="000202FD"/>
    <w:rsid w:val="0002132F"/>
    <w:rsid w:val="00022076"/>
    <w:rsid w:val="00022805"/>
    <w:rsid w:val="00022BEB"/>
    <w:rsid w:val="00023FFD"/>
    <w:rsid w:val="0003290A"/>
    <w:rsid w:val="00032B72"/>
    <w:rsid w:val="000331E6"/>
    <w:rsid w:val="00035C55"/>
    <w:rsid w:val="00037938"/>
    <w:rsid w:val="00040A86"/>
    <w:rsid w:val="0004108A"/>
    <w:rsid w:val="00041C12"/>
    <w:rsid w:val="00042801"/>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74D8"/>
    <w:rsid w:val="00070360"/>
    <w:rsid w:val="000706D7"/>
    <w:rsid w:val="000714BD"/>
    <w:rsid w:val="00073D24"/>
    <w:rsid w:val="000755F0"/>
    <w:rsid w:val="000772CB"/>
    <w:rsid w:val="000773D9"/>
    <w:rsid w:val="000800CA"/>
    <w:rsid w:val="000822F8"/>
    <w:rsid w:val="00082C6B"/>
    <w:rsid w:val="00083714"/>
    <w:rsid w:val="00083FCE"/>
    <w:rsid w:val="00084228"/>
    <w:rsid w:val="0009080C"/>
    <w:rsid w:val="00092062"/>
    <w:rsid w:val="00093268"/>
    <w:rsid w:val="00093C3A"/>
    <w:rsid w:val="00095D2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6FDD"/>
    <w:rsid w:val="000B7479"/>
    <w:rsid w:val="000B7C81"/>
    <w:rsid w:val="000C0941"/>
    <w:rsid w:val="000C0BF4"/>
    <w:rsid w:val="000C0D78"/>
    <w:rsid w:val="000C62A3"/>
    <w:rsid w:val="000C750F"/>
    <w:rsid w:val="000D029A"/>
    <w:rsid w:val="000D038E"/>
    <w:rsid w:val="000D370E"/>
    <w:rsid w:val="000D52EF"/>
    <w:rsid w:val="000D7566"/>
    <w:rsid w:val="000D7D15"/>
    <w:rsid w:val="000E0E6E"/>
    <w:rsid w:val="000E0F4A"/>
    <w:rsid w:val="000E24B0"/>
    <w:rsid w:val="000E2C48"/>
    <w:rsid w:val="000E3240"/>
    <w:rsid w:val="000E354B"/>
    <w:rsid w:val="000E3B72"/>
    <w:rsid w:val="000F1102"/>
    <w:rsid w:val="000F2BAE"/>
    <w:rsid w:val="000F3577"/>
    <w:rsid w:val="000F6112"/>
    <w:rsid w:val="000F693D"/>
    <w:rsid w:val="000F7346"/>
    <w:rsid w:val="000F75CF"/>
    <w:rsid w:val="000F7834"/>
    <w:rsid w:val="001016F8"/>
    <w:rsid w:val="00103409"/>
    <w:rsid w:val="001053BC"/>
    <w:rsid w:val="00110AFC"/>
    <w:rsid w:val="00111B81"/>
    <w:rsid w:val="00112DB4"/>
    <w:rsid w:val="0011459C"/>
    <w:rsid w:val="00115226"/>
    <w:rsid w:val="00122C04"/>
    <w:rsid w:val="001254C8"/>
    <w:rsid w:val="00125A99"/>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AFB"/>
    <w:rsid w:val="00147CB7"/>
    <w:rsid w:val="00151878"/>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1FF8"/>
    <w:rsid w:val="001932B6"/>
    <w:rsid w:val="00196C73"/>
    <w:rsid w:val="001A053B"/>
    <w:rsid w:val="001A2124"/>
    <w:rsid w:val="001A2902"/>
    <w:rsid w:val="001A2924"/>
    <w:rsid w:val="001A5369"/>
    <w:rsid w:val="001A5D3A"/>
    <w:rsid w:val="001A5F8C"/>
    <w:rsid w:val="001A6E8E"/>
    <w:rsid w:val="001A7367"/>
    <w:rsid w:val="001B30B4"/>
    <w:rsid w:val="001B50CC"/>
    <w:rsid w:val="001B52B1"/>
    <w:rsid w:val="001B5CAC"/>
    <w:rsid w:val="001B6AB9"/>
    <w:rsid w:val="001C3088"/>
    <w:rsid w:val="001C41D4"/>
    <w:rsid w:val="001C524D"/>
    <w:rsid w:val="001C5EED"/>
    <w:rsid w:val="001C6D2E"/>
    <w:rsid w:val="001C742C"/>
    <w:rsid w:val="001C74A6"/>
    <w:rsid w:val="001D0EAD"/>
    <w:rsid w:val="001D14DA"/>
    <w:rsid w:val="001D78C7"/>
    <w:rsid w:val="001E13E8"/>
    <w:rsid w:val="001E2E4B"/>
    <w:rsid w:val="001E3CEB"/>
    <w:rsid w:val="001E5187"/>
    <w:rsid w:val="001E6A59"/>
    <w:rsid w:val="001F44CF"/>
    <w:rsid w:val="001F44F4"/>
    <w:rsid w:val="001F47DE"/>
    <w:rsid w:val="001F59E3"/>
    <w:rsid w:val="001F754C"/>
    <w:rsid w:val="001F7F56"/>
    <w:rsid w:val="00200356"/>
    <w:rsid w:val="00204F86"/>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37804"/>
    <w:rsid w:val="00244508"/>
    <w:rsid w:val="0024475A"/>
    <w:rsid w:val="00247AE4"/>
    <w:rsid w:val="00247B42"/>
    <w:rsid w:val="00250F3D"/>
    <w:rsid w:val="0025558D"/>
    <w:rsid w:val="00256A36"/>
    <w:rsid w:val="00260603"/>
    <w:rsid w:val="00260B7F"/>
    <w:rsid w:val="00262896"/>
    <w:rsid w:val="00264DD9"/>
    <w:rsid w:val="00264E1E"/>
    <w:rsid w:val="0026602F"/>
    <w:rsid w:val="002665D0"/>
    <w:rsid w:val="002678ED"/>
    <w:rsid w:val="002710E9"/>
    <w:rsid w:val="002715EB"/>
    <w:rsid w:val="00271DE6"/>
    <w:rsid w:val="00272589"/>
    <w:rsid w:val="002730C2"/>
    <w:rsid w:val="002743C7"/>
    <w:rsid w:val="00276B63"/>
    <w:rsid w:val="00276C6F"/>
    <w:rsid w:val="0027754B"/>
    <w:rsid w:val="002802CF"/>
    <w:rsid w:val="0028203C"/>
    <w:rsid w:val="00282617"/>
    <w:rsid w:val="0028488B"/>
    <w:rsid w:val="00284C54"/>
    <w:rsid w:val="00284C5A"/>
    <w:rsid w:val="00286103"/>
    <w:rsid w:val="00287554"/>
    <w:rsid w:val="00287950"/>
    <w:rsid w:val="00287D46"/>
    <w:rsid w:val="00290A1E"/>
    <w:rsid w:val="00290B7F"/>
    <w:rsid w:val="00292B8C"/>
    <w:rsid w:val="00293E21"/>
    <w:rsid w:val="00296B60"/>
    <w:rsid w:val="00297BB7"/>
    <w:rsid w:val="002A09CA"/>
    <w:rsid w:val="002A231F"/>
    <w:rsid w:val="002A302D"/>
    <w:rsid w:val="002A388E"/>
    <w:rsid w:val="002A769F"/>
    <w:rsid w:val="002B0DED"/>
    <w:rsid w:val="002B0E52"/>
    <w:rsid w:val="002B331E"/>
    <w:rsid w:val="002B3A28"/>
    <w:rsid w:val="002B3BE8"/>
    <w:rsid w:val="002B423B"/>
    <w:rsid w:val="002B571C"/>
    <w:rsid w:val="002B5D16"/>
    <w:rsid w:val="002B6887"/>
    <w:rsid w:val="002B6FFE"/>
    <w:rsid w:val="002B7A83"/>
    <w:rsid w:val="002C022E"/>
    <w:rsid w:val="002C0573"/>
    <w:rsid w:val="002C104B"/>
    <w:rsid w:val="002C1786"/>
    <w:rsid w:val="002C1F2B"/>
    <w:rsid w:val="002C231C"/>
    <w:rsid w:val="002C7006"/>
    <w:rsid w:val="002D0423"/>
    <w:rsid w:val="002D2CB4"/>
    <w:rsid w:val="002D345C"/>
    <w:rsid w:val="002D49BF"/>
    <w:rsid w:val="002D4BD9"/>
    <w:rsid w:val="002D5399"/>
    <w:rsid w:val="002D5A36"/>
    <w:rsid w:val="002D6170"/>
    <w:rsid w:val="002D7FDD"/>
    <w:rsid w:val="002E0A43"/>
    <w:rsid w:val="002E3D9B"/>
    <w:rsid w:val="002F0803"/>
    <w:rsid w:val="002F1005"/>
    <w:rsid w:val="002F21E7"/>
    <w:rsid w:val="002F258B"/>
    <w:rsid w:val="002F6043"/>
    <w:rsid w:val="00303ED8"/>
    <w:rsid w:val="0030474F"/>
    <w:rsid w:val="0030542F"/>
    <w:rsid w:val="00306276"/>
    <w:rsid w:val="00310EE9"/>
    <w:rsid w:val="003140CA"/>
    <w:rsid w:val="00315FAE"/>
    <w:rsid w:val="00316449"/>
    <w:rsid w:val="00317358"/>
    <w:rsid w:val="0032031B"/>
    <w:rsid w:val="0032263A"/>
    <w:rsid w:val="0032402C"/>
    <w:rsid w:val="00324413"/>
    <w:rsid w:val="003305E4"/>
    <w:rsid w:val="0033159F"/>
    <w:rsid w:val="00331769"/>
    <w:rsid w:val="00331856"/>
    <w:rsid w:val="00331A43"/>
    <w:rsid w:val="00333BA4"/>
    <w:rsid w:val="00335A4D"/>
    <w:rsid w:val="00336CE0"/>
    <w:rsid w:val="00342B6A"/>
    <w:rsid w:val="0034386C"/>
    <w:rsid w:val="00343C4B"/>
    <w:rsid w:val="0034414F"/>
    <w:rsid w:val="00344472"/>
    <w:rsid w:val="003473BE"/>
    <w:rsid w:val="00347F33"/>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B08"/>
    <w:rsid w:val="00385941"/>
    <w:rsid w:val="00385EB0"/>
    <w:rsid w:val="00390B04"/>
    <w:rsid w:val="00390B92"/>
    <w:rsid w:val="003916C2"/>
    <w:rsid w:val="00392100"/>
    <w:rsid w:val="003940CC"/>
    <w:rsid w:val="00394BE7"/>
    <w:rsid w:val="0039513B"/>
    <w:rsid w:val="003952CE"/>
    <w:rsid w:val="003964F2"/>
    <w:rsid w:val="003A2525"/>
    <w:rsid w:val="003A2780"/>
    <w:rsid w:val="003A3DA5"/>
    <w:rsid w:val="003A4612"/>
    <w:rsid w:val="003A597E"/>
    <w:rsid w:val="003A6183"/>
    <w:rsid w:val="003A74E4"/>
    <w:rsid w:val="003A7B3B"/>
    <w:rsid w:val="003B0D7D"/>
    <w:rsid w:val="003B10C6"/>
    <w:rsid w:val="003B17C8"/>
    <w:rsid w:val="003B1F87"/>
    <w:rsid w:val="003B58CE"/>
    <w:rsid w:val="003B656D"/>
    <w:rsid w:val="003C08AF"/>
    <w:rsid w:val="003C091D"/>
    <w:rsid w:val="003C2B1B"/>
    <w:rsid w:val="003C4E76"/>
    <w:rsid w:val="003C507A"/>
    <w:rsid w:val="003C55F6"/>
    <w:rsid w:val="003C589D"/>
    <w:rsid w:val="003C5EFB"/>
    <w:rsid w:val="003C603A"/>
    <w:rsid w:val="003C6FF5"/>
    <w:rsid w:val="003C721F"/>
    <w:rsid w:val="003D0902"/>
    <w:rsid w:val="003D1A09"/>
    <w:rsid w:val="003D7719"/>
    <w:rsid w:val="003E0790"/>
    <w:rsid w:val="003E0BA6"/>
    <w:rsid w:val="003E1702"/>
    <w:rsid w:val="003E678C"/>
    <w:rsid w:val="003E6A08"/>
    <w:rsid w:val="003F0225"/>
    <w:rsid w:val="003F13BF"/>
    <w:rsid w:val="003F1F78"/>
    <w:rsid w:val="003F2DF3"/>
    <w:rsid w:val="003F2FCD"/>
    <w:rsid w:val="003F3CDB"/>
    <w:rsid w:val="003F44C9"/>
    <w:rsid w:val="003F61A2"/>
    <w:rsid w:val="003F61F2"/>
    <w:rsid w:val="003F6AA2"/>
    <w:rsid w:val="004027E2"/>
    <w:rsid w:val="0040440E"/>
    <w:rsid w:val="0040631F"/>
    <w:rsid w:val="00407E9B"/>
    <w:rsid w:val="0041008B"/>
    <w:rsid w:val="00410506"/>
    <w:rsid w:val="00410B38"/>
    <w:rsid w:val="0041284B"/>
    <w:rsid w:val="00412C94"/>
    <w:rsid w:val="00412E1E"/>
    <w:rsid w:val="00413B33"/>
    <w:rsid w:val="00413F68"/>
    <w:rsid w:val="00414191"/>
    <w:rsid w:val="00417014"/>
    <w:rsid w:val="00417673"/>
    <w:rsid w:val="00422B38"/>
    <w:rsid w:val="00425484"/>
    <w:rsid w:val="00427734"/>
    <w:rsid w:val="00431176"/>
    <w:rsid w:val="00432571"/>
    <w:rsid w:val="00432AF1"/>
    <w:rsid w:val="00433CE4"/>
    <w:rsid w:val="0043625B"/>
    <w:rsid w:val="00436850"/>
    <w:rsid w:val="004406C3"/>
    <w:rsid w:val="004418C0"/>
    <w:rsid w:val="00447847"/>
    <w:rsid w:val="00451CB1"/>
    <w:rsid w:val="00453132"/>
    <w:rsid w:val="00453E30"/>
    <w:rsid w:val="00454642"/>
    <w:rsid w:val="0046023D"/>
    <w:rsid w:val="00460FCE"/>
    <w:rsid w:val="004613BA"/>
    <w:rsid w:val="00461B76"/>
    <w:rsid w:val="0046263A"/>
    <w:rsid w:val="00463BF4"/>
    <w:rsid w:val="004641A7"/>
    <w:rsid w:val="004655AA"/>
    <w:rsid w:val="00466D1F"/>
    <w:rsid w:val="0047080B"/>
    <w:rsid w:val="00471E61"/>
    <w:rsid w:val="004725A2"/>
    <w:rsid w:val="00472843"/>
    <w:rsid w:val="004740FD"/>
    <w:rsid w:val="004765A6"/>
    <w:rsid w:val="004769BD"/>
    <w:rsid w:val="004807C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B7FCC"/>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16DF"/>
    <w:rsid w:val="004F20EA"/>
    <w:rsid w:val="004F2F82"/>
    <w:rsid w:val="004F48C4"/>
    <w:rsid w:val="004F6840"/>
    <w:rsid w:val="005016B3"/>
    <w:rsid w:val="00502CF7"/>
    <w:rsid w:val="005030FD"/>
    <w:rsid w:val="0050421C"/>
    <w:rsid w:val="00504714"/>
    <w:rsid w:val="00506927"/>
    <w:rsid w:val="00506FF4"/>
    <w:rsid w:val="005101A4"/>
    <w:rsid w:val="005112A8"/>
    <w:rsid w:val="00513420"/>
    <w:rsid w:val="00513F14"/>
    <w:rsid w:val="00515BE8"/>
    <w:rsid w:val="0051710E"/>
    <w:rsid w:val="0051780C"/>
    <w:rsid w:val="00517EC8"/>
    <w:rsid w:val="005200AD"/>
    <w:rsid w:val="005225B0"/>
    <w:rsid w:val="00524E18"/>
    <w:rsid w:val="0052612E"/>
    <w:rsid w:val="00526D4F"/>
    <w:rsid w:val="00531B9F"/>
    <w:rsid w:val="00533D21"/>
    <w:rsid w:val="005345BE"/>
    <w:rsid w:val="00537357"/>
    <w:rsid w:val="005402B7"/>
    <w:rsid w:val="00541F2B"/>
    <w:rsid w:val="0054254D"/>
    <w:rsid w:val="00544ABD"/>
    <w:rsid w:val="005454CF"/>
    <w:rsid w:val="00545912"/>
    <w:rsid w:val="00545F8D"/>
    <w:rsid w:val="0054736D"/>
    <w:rsid w:val="00547379"/>
    <w:rsid w:val="00557C5A"/>
    <w:rsid w:val="00560E94"/>
    <w:rsid w:val="005634AC"/>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5431"/>
    <w:rsid w:val="005957F9"/>
    <w:rsid w:val="00595DF3"/>
    <w:rsid w:val="0059608E"/>
    <w:rsid w:val="005973BA"/>
    <w:rsid w:val="00597AC8"/>
    <w:rsid w:val="00597DB5"/>
    <w:rsid w:val="005A0BC0"/>
    <w:rsid w:val="005A1E1F"/>
    <w:rsid w:val="005A57CE"/>
    <w:rsid w:val="005A7020"/>
    <w:rsid w:val="005B01FA"/>
    <w:rsid w:val="005B1B03"/>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215E"/>
    <w:rsid w:val="005D222F"/>
    <w:rsid w:val="005D3125"/>
    <w:rsid w:val="005D4E58"/>
    <w:rsid w:val="005D57CF"/>
    <w:rsid w:val="005D6DD6"/>
    <w:rsid w:val="005D7230"/>
    <w:rsid w:val="005D7682"/>
    <w:rsid w:val="005E1288"/>
    <w:rsid w:val="005E71F0"/>
    <w:rsid w:val="005F0D25"/>
    <w:rsid w:val="005F2B6B"/>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084"/>
    <w:rsid w:val="006338BB"/>
    <w:rsid w:val="0063462F"/>
    <w:rsid w:val="0063560F"/>
    <w:rsid w:val="006374BA"/>
    <w:rsid w:val="0064386A"/>
    <w:rsid w:val="00643C2C"/>
    <w:rsid w:val="0064432B"/>
    <w:rsid w:val="00644A6A"/>
    <w:rsid w:val="006455E5"/>
    <w:rsid w:val="00645DAE"/>
    <w:rsid w:val="00646289"/>
    <w:rsid w:val="00646470"/>
    <w:rsid w:val="006473B3"/>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12DD"/>
    <w:rsid w:val="006A3A3A"/>
    <w:rsid w:val="006A5A98"/>
    <w:rsid w:val="006A5B98"/>
    <w:rsid w:val="006A6390"/>
    <w:rsid w:val="006B1286"/>
    <w:rsid w:val="006B1341"/>
    <w:rsid w:val="006B1F67"/>
    <w:rsid w:val="006B3D26"/>
    <w:rsid w:val="006B5CCA"/>
    <w:rsid w:val="006B6989"/>
    <w:rsid w:val="006B6A83"/>
    <w:rsid w:val="006B6B3B"/>
    <w:rsid w:val="006C1294"/>
    <w:rsid w:val="006C1DC6"/>
    <w:rsid w:val="006C6C09"/>
    <w:rsid w:val="006C766D"/>
    <w:rsid w:val="006C783A"/>
    <w:rsid w:val="006D1052"/>
    <w:rsid w:val="006D1A61"/>
    <w:rsid w:val="006D288C"/>
    <w:rsid w:val="006D3A96"/>
    <w:rsid w:val="006D5247"/>
    <w:rsid w:val="006E1011"/>
    <w:rsid w:val="006E33B5"/>
    <w:rsid w:val="006E4C5E"/>
    <w:rsid w:val="006E6719"/>
    <w:rsid w:val="006E674E"/>
    <w:rsid w:val="006E6780"/>
    <w:rsid w:val="006E6796"/>
    <w:rsid w:val="006E79DD"/>
    <w:rsid w:val="006F2150"/>
    <w:rsid w:val="006F285B"/>
    <w:rsid w:val="006F2F73"/>
    <w:rsid w:val="006F3F32"/>
    <w:rsid w:val="006F42AF"/>
    <w:rsid w:val="006F42D3"/>
    <w:rsid w:val="006F5CB7"/>
    <w:rsid w:val="006F68E1"/>
    <w:rsid w:val="006F69CF"/>
    <w:rsid w:val="006F7041"/>
    <w:rsid w:val="006F7B99"/>
    <w:rsid w:val="007011FD"/>
    <w:rsid w:val="007035D0"/>
    <w:rsid w:val="0070372E"/>
    <w:rsid w:val="007037C0"/>
    <w:rsid w:val="007070AF"/>
    <w:rsid w:val="00710F55"/>
    <w:rsid w:val="007118FD"/>
    <w:rsid w:val="007126A9"/>
    <w:rsid w:val="00722471"/>
    <w:rsid w:val="00723770"/>
    <w:rsid w:val="00724513"/>
    <w:rsid w:val="0072460A"/>
    <w:rsid w:val="00724B5F"/>
    <w:rsid w:val="00725C53"/>
    <w:rsid w:val="00725CC7"/>
    <w:rsid w:val="00726CE7"/>
    <w:rsid w:val="007279B8"/>
    <w:rsid w:val="00730B07"/>
    <w:rsid w:val="007310D0"/>
    <w:rsid w:val="00732BBD"/>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20F7"/>
    <w:rsid w:val="0076269A"/>
    <w:rsid w:val="00764008"/>
    <w:rsid w:val="00764AC8"/>
    <w:rsid w:val="00764BDC"/>
    <w:rsid w:val="00765733"/>
    <w:rsid w:val="00765E23"/>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5429"/>
    <w:rsid w:val="007B7D7E"/>
    <w:rsid w:val="007C019F"/>
    <w:rsid w:val="007C0459"/>
    <w:rsid w:val="007C0D16"/>
    <w:rsid w:val="007C2A6F"/>
    <w:rsid w:val="007C2F74"/>
    <w:rsid w:val="007C3B7A"/>
    <w:rsid w:val="007C3CDF"/>
    <w:rsid w:val="007C6253"/>
    <w:rsid w:val="007C7828"/>
    <w:rsid w:val="007C78EA"/>
    <w:rsid w:val="007D0CAA"/>
    <w:rsid w:val="007D1C57"/>
    <w:rsid w:val="007D34A4"/>
    <w:rsid w:val="007D6885"/>
    <w:rsid w:val="007E13B2"/>
    <w:rsid w:val="007E1538"/>
    <w:rsid w:val="007E4AE1"/>
    <w:rsid w:val="007E5979"/>
    <w:rsid w:val="007E7860"/>
    <w:rsid w:val="007F0009"/>
    <w:rsid w:val="007F01A0"/>
    <w:rsid w:val="007F0473"/>
    <w:rsid w:val="007F19FC"/>
    <w:rsid w:val="007F20BD"/>
    <w:rsid w:val="007F2237"/>
    <w:rsid w:val="007F2697"/>
    <w:rsid w:val="007F2CD1"/>
    <w:rsid w:val="007F35E0"/>
    <w:rsid w:val="007F3ACD"/>
    <w:rsid w:val="007F63F4"/>
    <w:rsid w:val="007F6852"/>
    <w:rsid w:val="007F7826"/>
    <w:rsid w:val="00802E14"/>
    <w:rsid w:val="00804145"/>
    <w:rsid w:val="00804450"/>
    <w:rsid w:val="00807635"/>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42DD"/>
    <w:rsid w:val="00834576"/>
    <w:rsid w:val="008355E4"/>
    <w:rsid w:val="008358DD"/>
    <w:rsid w:val="008411FE"/>
    <w:rsid w:val="008433A2"/>
    <w:rsid w:val="00846588"/>
    <w:rsid w:val="00850CA7"/>
    <w:rsid w:val="008514B9"/>
    <w:rsid w:val="00851CC7"/>
    <w:rsid w:val="00852263"/>
    <w:rsid w:val="00852E7A"/>
    <w:rsid w:val="00853764"/>
    <w:rsid w:val="0085655E"/>
    <w:rsid w:val="00856C7F"/>
    <w:rsid w:val="00860455"/>
    <w:rsid w:val="00860801"/>
    <w:rsid w:val="00861B25"/>
    <w:rsid w:val="00862974"/>
    <w:rsid w:val="00863513"/>
    <w:rsid w:val="00863BFB"/>
    <w:rsid w:val="00865FE1"/>
    <w:rsid w:val="00866E21"/>
    <w:rsid w:val="0087106E"/>
    <w:rsid w:val="0087277F"/>
    <w:rsid w:val="008745BB"/>
    <w:rsid w:val="00877A04"/>
    <w:rsid w:val="0088072B"/>
    <w:rsid w:val="008824C9"/>
    <w:rsid w:val="00882D2A"/>
    <w:rsid w:val="00882D51"/>
    <w:rsid w:val="00884128"/>
    <w:rsid w:val="008847B0"/>
    <w:rsid w:val="00885F05"/>
    <w:rsid w:val="0088697F"/>
    <w:rsid w:val="00887006"/>
    <w:rsid w:val="00890584"/>
    <w:rsid w:val="00895623"/>
    <w:rsid w:val="00895E44"/>
    <w:rsid w:val="008967E3"/>
    <w:rsid w:val="008A162B"/>
    <w:rsid w:val="008A4E70"/>
    <w:rsid w:val="008A6114"/>
    <w:rsid w:val="008A780D"/>
    <w:rsid w:val="008A7ACA"/>
    <w:rsid w:val="008A7C44"/>
    <w:rsid w:val="008B0BE8"/>
    <w:rsid w:val="008B1E35"/>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4899"/>
    <w:rsid w:val="008E5627"/>
    <w:rsid w:val="008E6572"/>
    <w:rsid w:val="008E6A0D"/>
    <w:rsid w:val="008E6ACA"/>
    <w:rsid w:val="008E6F4A"/>
    <w:rsid w:val="008E7322"/>
    <w:rsid w:val="008F10E2"/>
    <w:rsid w:val="008F178B"/>
    <w:rsid w:val="008F30DF"/>
    <w:rsid w:val="008F4384"/>
    <w:rsid w:val="008F585B"/>
    <w:rsid w:val="008F66E2"/>
    <w:rsid w:val="008F6D68"/>
    <w:rsid w:val="009008FE"/>
    <w:rsid w:val="009017F2"/>
    <w:rsid w:val="00902760"/>
    <w:rsid w:val="0090474B"/>
    <w:rsid w:val="00906C74"/>
    <w:rsid w:val="00920BD4"/>
    <w:rsid w:val="00920D83"/>
    <w:rsid w:val="00921DB0"/>
    <w:rsid w:val="00923247"/>
    <w:rsid w:val="00923BC8"/>
    <w:rsid w:val="00923F71"/>
    <w:rsid w:val="00924DF8"/>
    <w:rsid w:val="00925172"/>
    <w:rsid w:val="00925209"/>
    <w:rsid w:val="00927EB2"/>
    <w:rsid w:val="00930A39"/>
    <w:rsid w:val="00930DA0"/>
    <w:rsid w:val="00931123"/>
    <w:rsid w:val="00933B50"/>
    <w:rsid w:val="00933C6D"/>
    <w:rsid w:val="009350A0"/>
    <w:rsid w:val="00935653"/>
    <w:rsid w:val="00935951"/>
    <w:rsid w:val="00935A05"/>
    <w:rsid w:val="00935E6A"/>
    <w:rsid w:val="0094077F"/>
    <w:rsid w:val="00940CC8"/>
    <w:rsid w:val="0094222C"/>
    <w:rsid w:val="009439F3"/>
    <w:rsid w:val="00943CCF"/>
    <w:rsid w:val="0094589D"/>
    <w:rsid w:val="00945D32"/>
    <w:rsid w:val="0094671C"/>
    <w:rsid w:val="009513BD"/>
    <w:rsid w:val="00952C94"/>
    <w:rsid w:val="00952F77"/>
    <w:rsid w:val="00956CBE"/>
    <w:rsid w:val="00957986"/>
    <w:rsid w:val="00960853"/>
    <w:rsid w:val="0096102A"/>
    <w:rsid w:val="00961BE6"/>
    <w:rsid w:val="00962C89"/>
    <w:rsid w:val="009646D4"/>
    <w:rsid w:val="009648E3"/>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45CA"/>
    <w:rsid w:val="009C66FC"/>
    <w:rsid w:val="009C7D7E"/>
    <w:rsid w:val="009D0578"/>
    <w:rsid w:val="009D0D66"/>
    <w:rsid w:val="009D12B7"/>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3F17"/>
    <w:rsid w:val="009F4BFC"/>
    <w:rsid w:val="009F5695"/>
    <w:rsid w:val="009F5A87"/>
    <w:rsid w:val="009F5B65"/>
    <w:rsid w:val="00A0391C"/>
    <w:rsid w:val="00A044D5"/>
    <w:rsid w:val="00A068B6"/>
    <w:rsid w:val="00A06DC0"/>
    <w:rsid w:val="00A0730E"/>
    <w:rsid w:val="00A125CC"/>
    <w:rsid w:val="00A1373C"/>
    <w:rsid w:val="00A15052"/>
    <w:rsid w:val="00A15105"/>
    <w:rsid w:val="00A15156"/>
    <w:rsid w:val="00A1618D"/>
    <w:rsid w:val="00A1702D"/>
    <w:rsid w:val="00A22455"/>
    <w:rsid w:val="00A2286D"/>
    <w:rsid w:val="00A26A37"/>
    <w:rsid w:val="00A26EF6"/>
    <w:rsid w:val="00A27890"/>
    <w:rsid w:val="00A31F72"/>
    <w:rsid w:val="00A33710"/>
    <w:rsid w:val="00A33906"/>
    <w:rsid w:val="00A34C0E"/>
    <w:rsid w:val="00A35683"/>
    <w:rsid w:val="00A358C0"/>
    <w:rsid w:val="00A400F5"/>
    <w:rsid w:val="00A40980"/>
    <w:rsid w:val="00A41A85"/>
    <w:rsid w:val="00A41CAB"/>
    <w:rsid w:val="00A435A2"/>
    <w:rsid w:val="00A440B3"/>
    <w:rsid w:val="00A506B8"/>
    <w:rsid w:val="00A51A9C"/>
    <w:rsid w:val="00A52965"/>
    <w:rsid w:val="00A530CB"/>
    <w:rsid w:val="00A56107"/>
    <w:rsid w:val="00A57EA9"/>
    <w:rsid w:val="00A61534"/>
    <w:rsid w:val="00A61E31"/>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7B7F"/>
    <w:rsid w:val="00A906C2"/>
    <w:rsid w:val="00A91A2A"/>
    <w:rsid w:val="00A91DD7"/>
    <w:rsid w:val="00A921D3"/>
    <w:rsid w:val="00A9228A"/>
    <w:rsid w:val="00A92BA3"/>
    <w:rsid w:val="00A9322E"/>
    <w:rsid w:val="00A936F5"/>
    <w:rsid w:val="00AA1336"/>
    <w:rsid w:val="00AA4E25"/>
    <w:rsid w:val="00AA6510"/>
    <w:rsid w:val="00AB00E6"/>
    <w:rsid w:val="00AB00E9"/>
    <w:rsid w:val="00AB02F7"/>
    <w:rsid w:val="00AB0534"/>
    <w:rsid w:val="00AB07CC"/>
    <w:rsid w:val="00AB19DB"/>
    <w:rsid w:val="00AB4D20"/>
    <w:rsid w:val="00AB6204"/>
    <w:rsid w:val="00AB74A8"/>
    <w:rsid w:val="00AB7AD4"/>
    <w:rsid w:val="00AC1D96"/>
    <w:rsid w:val="00AC2D3F"/>
    <w:rsid w:val="00AC3C5F"/>
    <w:rsid w:val="00AC3D09"/>
    <w:rsid w:val="00AC494B"/>
    <w:rsid w:val="00AD0364"/>
    <w:rsid w:val="00AD0EBE"/>
    <w:rsid w:val="00AD156E"/>
    <w:rsid w:val="00AD1C6A"/>
    <w:rsid w:val="00AD32FA"/>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BCA"/>
    <w:rsid w:val="00AF1D65"/>
    <w:rsid w:val="00AF2513"/>
    <w:rsid w:val="00AF30B7"/>
    <w:rsid w:val="00AF4D34"/>
    <w:rsid w:val="00AF6EEF"/>
    <w:rsid w:val="00AF7DE7"/>
    <w:rsid w:val="00B02223"/>
    <w:rsid w:val="00B029DF"/>
    <w:rsid w:val="00B02A43"/>
    <w:rsid w:val="00B02E5E"/>
    <w:rsid w:val="00B059CA"/>
    <w:rsid w:val="00B10042"/>
    <w:rsid w:val="00B114B3"/>
    <w:rsid w:val="00B11A4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6528"/>
    <w:rsid w:val="00B3751D"/>
    <w:rsid w:val="00B37BAF"/>
    <w:rsid w:val="00B4095F"/>
    <w:rsid w:val="00B40E96"/>
    <w:rsid w:val="00B41267"/>
    <w:rsid w:val="00B41362"/>
    <w:rsid w:val="00B4208A"/>
    <w:rsid w:val="00B4325C"/>
    <w:rsid w:val="00B44C90"/>
    <w:rsid w:val="00B454CA"/>
    <w:rsid w:val="00B461FD"/>
    <w:rsid w:val="00B46CA5"/>
    <w:rsid w:val="00B46F80"/>
    <w:rsid w:val="00B470D2"/>
    <w:rsid w:val="00B52B36"/>
    <w:rsid w:val="00B53318"/>
    <w:rsid w:val="00B535B3"/>
    <w:rsid w:val="00B53738"/>
    <w:rsid w:val="00B53DAA"/>
    <w:rsid w:val="00B546F5"/>
    <w:rsid w:val="00B55716"/>
    <w:rsid w:val="00B56F5A"/>
    <w:rsid w:val="00B6395B"/>
    <w:rsid w:val="00B641D1"/>
    <w:rsid w:val="00B6661E"/>
    <w:rsid w:val="00B67F9B"/>
    <w:rsid w:val="00B70C1F"/>
    <w:rsid w:val="00B71859"/>
    <w:rsid w:val="00B72DE9"/>
    <w:rsid w:val="00B74A04"/>
    <w:rsid w:val="00B74C09"/>
    <w:rsid w:val="00B80DC3"/>
    <w:rsid w:val="00B81109"/>
    <w:rsid w:val="00B81F03"/>
    <w:rsid w:val="00B829AF"/>
    <w:rsid w:val="00B82CEA"/>
    <w:rsid w:val="00B84D61"/>
    <w:rsid w:val="00B85BD0"/>
    <w:rsid w:val="00B863EE"/>
    <w:rsid w:val="00B864D1"/>
    <w:rsid w:val="00B87554"/>
    <w:rsid w:val="00B878D8"/>
    <w:rsid w:val="00B93A26"/>
    <w:rsid w:val="00B94F4A"/>
    <w:rsid w:val="00B95177"/>
    <w:rsid w:val="00B95A10"/>
    <w:rsid w:val="00BA0AEB"/>
    <w:rsid w:val="00BA1A68"/>
    <w:rsid w:val="00BA1B17"/>
    <w:rsid w:val="00BA21E3"/>
    <w:rsid w:val="00BA2395"/>
    <w:rsid w:val="00BA634E"/>
    <w:rsid w:val="00BA66E4"/>
    <w:rsid w:val="00BB062B"/>
    <w:rsid w:val="00BB1D1D"/>
    <w:rsid w:val="00BB3C8D"/>
    <w:rsid w:val="00BB3DAA"/>
    <w:rsid w:val="00BB5A8D"/>
    <w:rsid w:val="00BB72B8"/>
    <w:rsid w:val="00BC2248"/>
    <w:rsid w:val="00BC3FD3"/>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7D95"/>
    <w:rsid w:val="00C300FB"/>
    <w:rsid w:val="00C30A2C"/>
    <w:rsid w:val="00C31186"/>
    <w:rsid w:val="00C31E47"/>
    <w:rsid w:val="00C33AD5"/>
    <w:rsid w:val="00C3551D"/>
    <w:rsid w:val="00C35C23"/>
    <w:rsid w:val="00C3605C"/>
    <w:rsid w:val="00C36DB9"/>
    <w:rsid w:val="00C41C3D"/>
    <w:rsid w:val="00C41C7D"/>
    <w:rsid w:val="00C41E30"/>
    <w:rsid w:val="00C420B0"/>
    <w:rsid w:val="00C42FA3"/>
    <w:rsid w:val="00C43140"/>
    <w:rsid w:val="00C472CD"/>
    <w:rsid w:val="00C477F7"/>
    <w:rsid w:val="00C50075"/>
    <w:rsid w:val="00C5054C"/>
    <w:rsid w:val="00C509CA"/>
    <w:rsid w:val="00C5283F"/>
    <w:rsid w:val="00C56CAE"/>
    <w:rsid w:val="00C5711D"/>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C0A"/>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4C47"/>
    <w:rsid w:val="00C94DB9"/>
    <w:rsid w:val="00C94F48"/>
    <w:rsid w:val="00C95B67"/>
    <w:rsid w:val="00C95F1E"/>
    <w:rsid w:val="00C960C9"/>
    <w:rsid w:val="00C963CA"/>
    <w:rsid w:val="00C96725"/>
    <w:rsid w:val="00C96DCC"/>
    <w:rsid w:val="00C971FE"/>
    <w:rsid w:val="00C973AE"/>
    <w:rsid w:val="00CA0337"/>
    <w:rsid w:val="00CA2514"/>
    <w:rsid w:val="00CA2B9B"/>
    <w:rsid w:val="00CA4520"/>
    <w:rsid w:val="00CA4B3D"/>
    <w:rsid w:val="00CA5610"/>
    <w:rsid w:val="00CA57B8"/>
    <w:rsid w:val="00CA5B96"/>
    <w:rsid w:val="00CA5CEC"/>
    <w:rsid w:val="00CA60C8"/>
    <w:rsid w:val="00CA7B8B"/>
    <w:rsid w:val="00CA7F18"/>
    <w:rsid w:val="00CB56BC"/>
    <w:rsid w:val="00CB772A"/>
    <w:rsid w:val="00CC0A9E"/>
    <w:rsid w:val="00CC1A53"/>
    <w:rsid w:val="00CC29A6"/>
    <w:rsid w:val="00CC3C0B"/>
    <w:rsid w:val="00CC47F6"/>
    <w:rsid w:val="00CC5CAB"/>
    <w:rsid w:val="00CC7598"/>
    <w:rsid w:val="00CC763A"/>
    <w:rsid w:val="00CD1B84"/>
    <w:rsid w:val="00CD29C3"/>
    <w:rsid w:val="00CD6756"/>
    <w:rsid w:val="00CD6D6D"/>
    <w:rsid w:val="00CD6F2A"/>
    <w:rsid w:val="00CD7B4A"/>
    <w:rsid w:val="00CE0079"/>
    <w:rsid w:val="00CE01B0"/>
    <w:rsid w:val="00CE02E8"/>
    <w:rsid w:val="00CE1903"/>
    <w:rsid w:val="00CE1C9B"/>
    <w:rsid w:val="00CE225D"/>
    <w:rsid w:val="00CE561B"/>
    <w:rsid w:val="00CE67B3"/>
    <w:rsid w:val="00CE6939"/>
    <w:rsid w:val="00CF0D84"/>
    <w:rsid w:val="00CF1960"/>
    <w:rsid w:val="00CF2856"/>
    <w:rsid w:val="00CF5A52"/>
    <w:rsid w:val="00D016D8"/>
    <w:rsid w:val="00D045F0"/>
    <w:rsid w:val="00D05FFC"/>
    <w:rsid w:val="00D06185"/>
    <w:rsid w:val="00D07408"/>
    <w:rsid w:val="00D123FF"/>
    <w:rsid w:val="00D14E3D"/>
    <w:rsid w:val="00D16A68"/>
    <w:rsid w:val="00D1716A"/>
    <w:rsid w:val="00D175BE"/>
    <w:rsid w:val="00D20A21"/>
    <w:rsid w:val="00D22B4C"/>
    <w:rsid w:val="00D23A7A"/>
    <w:rsid w:val="00D26A3E"/>
    <w:rsid w:val="00D26DF3"/>
    <w:rsid w:val="00D2766F"/>
    <w:rsid w:val="00D30212"/>
    <w:rsid w:val="00D3121D"/>
    <w:rsid w:val="00D318DC"/>
    <w:rsid w:val="00D31A8C"/>
    <w:rsid w:val="00D32227"/>
    <w:rsid w:val="00D33F31"/>
    <w:rsid w:val="00D36D9E"/>
    <w:rsid w:val="00D36EF3"/>
    <w:rsid w:val="00D37EB7"/>
    <w:rsid w:val="00D408E2"/>
    <w:rsid w:val="00D45C83"/>
    <w:rsid w:val="00D46CCC"/>
    <w:rsid w:val="00D46E21"/>
    <w:rsid w:val="00D51EFB"/>
    <w:rsid w:val="00D52369"/>
    <w:rsid w:val="00D53448"/>
    <w:rsid w:val="00D53595"/>
    <w:rsid w:val="00D538B3"/>
    <w:rsid w:val="00D54794"/>
    <w:rsid w:val="00D55CE7"/>
    <w:rsid w:val="00D5639B"/>
    <w:rsid w:val="00D56EA6"/>
    <w:rsid w:val="00D61090"/>
    <w:rsid w:val="00D61425"/>
    <w:rsid w:val="00D619E2"/>
    <w:rsid w:val="00D62696"/>
    <w:rsid w:val="00D62E6C"/>
    <w:rsid w:val="00D66951"/>
    <w:rsid w:val="00D66F3A"/>
    <w:rsid w:val="00D67D01"/>
    <w:rsid w:val="00D67FFA"/>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27BE"/>
    <w:rsid w:val="00DA35B8"/>
    <w:rsid w:val="00DA3BA0"/>
    <w:rsid w:val="00DA4E09"/>
    <w:rsid w:val="00DA51D2"/>
    <w:rsid w:val="00DA533B"/>
    <w:rsid w:val="00DA536A"/>
    <w:rsid w:val="00DA5BA6"/>
    <w:rsid w:val="00DB1701"/>
    <w:rsid w:val="00DB3848"/>
    <w:rsid w:val="00DB3ABC"/>
    <w:rsid w:val="00DB4B23"/>
    <w:rsid w:val="00DB6C17"/>
    <w:rsid w:val="00DC1521"/>
    <w:rsid w:val="00DC52AC"/>
    <w:rsid w:val="00DC57C3"/>
    <w:rsid w:val="00DC6DBE"/>
    <w:rsid w:val="00DC7354"/>
    <w:rsid w:val="00DD0756"/>
    <w:rsid w:val="00DD0C44"/>
    <w:rsid w:val="00DD3424"/>
    <w:rsid w:val="00DD395B"/>
    <w:rsid w:val="00DD4BD8"/>
    <w:rsid w:val="00DD50CC"/>
    <w:rsid w:val="00DD5330"/>
    <w:rsid w:val="00DE598A"/>
    <w:rsid w:val="00DE6E3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4B1B"/>
    <w:rsid w:val="00E17797"/>
    <w:rsid w:val="00E20B87"/>
    <w:rsid w:val="00E22974"/>
    <w:rsid w:val="00E232A4"/>
    <w:rsid w:val="00E255B1"/>
    <w:rsid w:val="00E25F37"/>
    <w:rsid w:val="00E27829"/>
    <w:rsid w:val="00E316B6"/>
    <w:rsid w:val="00E362CA"/>
    <w:rsid w:val="00E369CD"/>
    <w:rsid w:val="00E377BB"/>
    <w:rsid w:val="00E37CC3"/>
    <w:rsid w:val="00E420D6"/>
    <w:rsid w:val="00E421FD"/>
    <w:rsid w:val="00E439E7"/>
    <w:rsid w:val="00E44ED5"/>
    <w:rsid w:val="00E47408"/>
    <w:rsid w:val="00E47F26"/>
    <w:rsid w:val="00E5001D"/>
    <w:rsid w:val="00E50801"/>
    <w:rsid w:val="00E50F48"/>
    <w:rsid w:val="00E51184"/>
    <w:rsid w:val="00E527E8"/>
    <w:rsid w:val="00E52C51"/>
    <w:rsid w:val="00E52CAA"/>
    <w:rsid w:val="00E52D78"/>
    <w:rsid w:val="00E54615"/>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74D"/>
    <w:rsid w:val="00E84A2E"/>
    <w:rsid w:val="00E85B9A"/>
    <w:rsid w:val="00E867FC"/>
    <w:rsid w:val="00E87112"/>
    <w:rsid w:val="00E87AF7"/>
    <w:rsid w:val="00E915B9"/>
    <w:rsid w:val="00E936E8"/>
    <w:rsid w:val="00E94BDC"/>
    <w:rsid w:val="00E9631B"/>
    <w:rsid w:val="00E965AB"/>
    <w:rsid w:val="00E968D4"/>
    <w:rsid w:val="00E972BD"/>
    <w:rsid w:val="00EA0B8C"/>
    <w:rsid w:val="00EA0E1F"/>
    <w:rsid w:val="00EA257D"/>
    <w:rsid w:val="00EA2607"/>
    <w:rsid w:val="00EA4039"/>
    <w:rsid w:val="00EA5797"/>
    <w:rsid w:val="00EA633D"/>
    <w:rsid w:val="00EA6FE0"/>
    <w:rsid w:val="00EA7CD1"/>
    <w:rsid w:val="00EA7F14"/>
    <w:rsid w:val="00EB094E"/>
    <w:rsid w:val="00EB31F0"/>
    <w:rsid w:val="00EB7C0D"/>
    <w:rsid w:val="00EB7D62"/>
    <w:rsid w:val="00EC404A"/>
    <w:rsid w:val="00EC42C9"/>
    <w:rsid w:val="00EC5008"/>
    <w:rsid w:val="00EC5903"/>
    <w:rsid w:val="00EC7639"/>
    <w:rsid w:val="00ED0EB8"/>
    <w:rsid w:val="00ED346E"/>
    <w:rsid w:val="00ED57BC"/>
    <w:rsid w:val="00ED59A9"/>
    <w:rsid w:val="00ED61EB"/>
    <w:rsid w:val="00ED6FE0"/>
    <w:rsid w:val="00ED7A62"/>
    <w:rsid w:val="00EE263C"/>
    <w:rsid w:val="00EE2A77"/>
    <w:rsid w:val="00EE33B0"/>
    <w:rsid w:val="00EE474C"/>
    <w:rsid w:val="00EE4B41"/>
    <w:rsid w:val="00EE4D0B"/>
    <w:rsid w:val="00EE56E2"/>
    <w:rsid w:val="00EE6024"/>
    <w:rsid w:val="00EE764F"/>
    <w:rsid w:val="00EF0DC9"/>
    <w:rsid w:val="00EF2692"/>
    <w:rsid w:val="00EF4199"/>
    <w:rsid w:val="00EF5D1C"/>
    <w:rsid w:val="00EF7ED1"/>
    <w:rsid w:val="00F020D6"/>
    <w:rsid w:val="00F04179"/>
    <w:rsid w:val="00F04DF9"/>
    <w:rsid w:val="00F0643F"/>
    <w:rsid w:val="00F074F6"/>
    <w:rsid w:val="00F07FCA"/>
    <w:rsid w:val="00F12E62"/>
    <w:rsid w:val="00F12EDA"/>
    <w:rsid w:val="00F13631"/>
    <w:rsid w:val="00F13D6E"/>
    <w:rsid w:val="00F16663"/>
    <w:rsid w:val="00F2403A"/>
    <w:rsid w:val="00F24692"/>
    <w:rsid w:val="00F24C5E"/>
    <w:rsid w:val="00F25B8C"/>
    <w:rsid w:val="00F31056"/>
    <w:rsid w:val="00F31284"/>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245"/>
    <w:rsid w:val="00F71E85"/>
    <w:rsid w:val="00F71F85"/>
    <w:rsid w:val="00F72336"/>
    <w:rsid w:val="00F741DE"/>
    <w:rsid w:val="00F776A8"/>
    <w:rsid w:val="00F8030E"/>
    <w:rsid w:val="00F80728"/>
    <w:rsid w:val="00F8136D"/>
    <w:rsid w:val="00F819F4"/>
    <w:rsid w:val="00F81AD6"/>
    <w:rsid w:val="00F8320D"/>
    <w:rsid w:val="00F8514E"/>
    <w:rsid w:val="00F85672"/>
    <w:rsid w:val="00F86278"/>
    <w:rsid w:val="00F90855"/>
    <w:rsid w:val="00F92632"/>
    <w:rsid w:val="00F92B63"/>
    <w:rsid w:val="00F92E8F"/>
    <w:rsid w:val="00F938EA"/>
    <w:rsid w:val="00F96ADF"/>
    <w:rsid w:val="00FA0FDA"/>
    <w:rsid w:val="00FA15E5"/>
    <w:rsid w:val="00FA6453"/>
    <w:rsid w:val="00FB163A"/>
    <w:rsid w:val="00FB2B54"/>
    <w:rsid w:val="00FB2E42"/>
    <w:rsid w:val="00FB76B5"/>
    <w:rsid w:val="00FB7885"/>
    <w:rsid w:val="00FB788C"/>
    <w:rsid w:val="00FC0D49"/>
    <w:rsid w:val="00FC6A56"/>
    <w:rsid w:val="00FD0087"/>
    <w:rsid w:val="00FD1F5B"/>
    <w:rsid w:val="00FD53F7"/>
    <w:rsid w:val="00FD5E4C"/>
    <w:rsid w:val="00FE5742"/>
    <w:rsid w:val="00FF0B5B"/>
    <w:rsid w:val="00FF2183"/>
    <w:rsid w:val="00FF2307"/>
    <w:rsid w:val="00FF2B5F"/>
    <w:rsid w:val="00FF3F26"/>
    <w:rsid w:val="00FF43F7"/>
    <w:rsid w:val="00FF4AFC"/>
    <w:rsid w:val="00FF5799"/>
    <w:rsid w:val="00FF6DCB"/>
    <w:rsid w:val="00FF76E2"/>
    <w:rsid w:val="00FF78CE"/>
    <w:rsid w:val="012C1B4F"/>
    <w:rsid w:val="0269112A"/>
    <w:rsid w:val="04F11A08"/>
    <w:rsid w:val="06AF635E"/>
    <w:rsid w:val="08345A6C"/>
    <w:rsid w:val="09621FC8"/>
    <w:rsid w:val="0AA47EC2"/>
    <w:rsid w:val="0AAD61E1"/>
    <w:rsid w:val="0B526742"/>
    <w:rsid w:val="0E816768"/>
    <w:rsid w:val="0F165219"/>
    <w:rsid w:val="0FFD2061"/>
    <w:rsid w:val="14CE718F"/>
    <w:rsid w:val="16B25960"/>
    <w:rsid w:val="181970B0"/>
    <w:rsid w:val="1A0B2F2F"/>
    <w:rsid w:val="1CC45224"/>
    <w:rsid w:val="1CFD1F4D"/>
    <w:rsid w:val="1D364D44"/>
    <w:rsid w:val="1E037E7A"/>
    <w:rsid w:val="1FA44A88"/>
    <w:rsid w:val="1FAF337E"/>
    <w:rsid w:val="219205B1"/>
    <w:rsid w:val="25717C9A"/>
    <w:rsid w:val="27492392"/>
    <w:rsid w:val="27566648"/>
    <w:rsid w:val="2A3318EF"/>
    <w:rsid w:val="2C0211C1"/>
    <w:rsid w:val="2CB43726"/>
    <w:rsid w:val="2D6B14A1"/>
    <w:rsid w:val="2DCE51CE"/>
    <w:rsid w:val="2EA02639"/>
    <w:rsid w:val="2EA35933"/>
    <w:rsid w:val="2FD95D9D"/>
    <w:rsid w:val="31397DFC"/>
    <w:rsid w:val="314B51BD"/>
    <w:rsid w:val="37DB2013"/>
    <w:rsid w:val="39E14FB3"/>
    <w:rsid w:val="3A3E2EF2"/>
    <w:rsid w:val="3BD05EE7"/>
    <w:rsid w:val="3C802640"/>
    <w:rsid w:val="3DE40739"/>
    <w:rsid w:val="3DF047C1"/>
    <w:rsid w:val="432E7A0E"/>
    <w:rsid w:val="451A02E8"/>
    <w:rsid w:val="4A6A2AC9"/>
    <w:rsid w:val="4B7F4F6A"/>
    <w:rsid w:val="50686524"/>
    <w:rsid w:val="51A06650"/>
    <w:rsid w:val="533B3EEE"/>
    <w:rsid w:val="53A51D66"/>
    <w:rsid w:val="565C6B8A"/>
    <w:rsid w:val="582434FF"/>
    <w:rsid w:val="59882FF4"/>
    <w:rsid w:val="5B6F6C31"/>
    <w:rsid w:val="5C504473"/>
    <w:rsid w:val="5CA95D73"/>
    <w:rsid w:val="5DCA04E2"/>
    <w:rsid w:val="5DCE5237"/>
    <w:rsid w:val="5E2F0282"/>
    <w:rsid w:val="5F974ECE"/>
    <w:rsid w:val="60292B57"/>
    <w:rsid w:val="602D5242"/>
    <w:rsid w:val="61FD5C86"/>
    <w:rsid w:val="65816A53"/>
    <w:rsid w:val="66F9655F"/>
    <w:rsid w:val="67EE1148"/>
    <w:rsid w:val="69946D12"/>
    <w:rsid w:val="6B9855CF"/>
    <w:rsid w:val="6D224C5B"/>
    <w:rsid w:val="6DCF2A1A"/>
    <w:rsid w:val="6E5400F2"/>
    <w:rsid w:val="6EDA494C"/>
    <w:rsid w:val="6F04170A"/>
    <w:rsid w:val="703873FF"/>
    <w:rsid w:val="73A3207D"/>
    <w:rsid w:val="77EC3577"/>
    <w:rsid w:val="78A04179"/>
    <w:rsid w:val="7AE5274E"/>
    <w:rsid w:val="7BF50E8F"/>
    <w:rsid w:val="7DAC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numPr>
        <w:ilvl w:val="0"/>
        <w:numId w:val="1"/>
      </w:numPr>
      <w:autoSpaceDE w:val="0"/>
      <w:autoSpaceDN w:val="0"/>
      <w:adjustRightInd w:val="0"/>
      <w:textAlignment w:val="baseline"/>
      <w:outlineLvl w:val="1"/>
    </w:pPr>
    <w:rPr>
      <w:rFonts w:ascii="楷体_GB2312" w:eastAsia="楷体_GB2312"/>
      <w:i/>
      <w:kern w:val="0"/>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subject"/>
    <w:basedOn w:val="7"/>
    <w:next w:val="7"/>
    <w:semiHidden/>
    <w:qFormat/>
    <w:uiPriority w:val="0"/>
    <w:rPr>
      <w:b/>
      <w:bCs/>
      <w:sz w:val="21"/>
    </w:rPr>
  </w:style>
  <w:style w:type="paragraph" w:styleId="7">
    <w:name w:val="annotation text"/>
    <w:basedOn w:val="1"/>
    <w:semiHidden/>
    <w:qFormat/>
    <w:uiPriority w:val="0"/>
    <w:pPr>
      <w:jc w:val="left"/>
    </w:pPr>
    <w:rPr>
      <w:sz w:val="24"/>
    </w:rPr>
  </w:style>
  <w:style w:type="paragraph" w:styleId="8">
    <w:name w:val="Salutation"/>
    <w:basedOn w:val="1"/>
    <w:next w:val="1"/>
    <w:qFormat/>
    <w:uiPriority w:val="0"/>
  </w:style>
  <w:style w:type="paragraph" w:styleId="9">
    <w:name w:val="Closing"/>
    <w:basedOn w:val="1"/>
    <w:qFormat/>
    <w:uiPriority w:val="0"/>
    <w:pPr>
      <w:ind w:left="100" w:leftChars="2100"/>
    </w:pPr>
  </w:style>
  <w:style w:type="paragraph" w:styleId="10">
    <w:name w:val="Body Text"/>
    <w:basedOn w:val="1"/>
    <w:qFormat/>
    <w:uiPriority w:val="0"/>
    <w:rPr>
      <w:rFonts w:eastAsia="仿宋_GB2312"/>
      <w:sz w:val="32"/>
    </w:rPr>
  </w:style>
  <w:style w:type="paragraph" w:styleId="11">
    <w:name w:val="Body Text Indent"/>
    <w:basedOn w:val="1"/>
    <w:qFormat/>
    <w:uiPriority w:val="0"/>
    <w:pPr>
      <w:spacing w:line="600" w:lineRule="exact"/>
      <w:ind w:firstLine="495"/>
    </w:pPr>
    <w:rPr>
      <w:rFonts w:ascii="仿宋_GB2312" w:hAnsi="Arial Narrow" w:eastAsia="仿宋_GB2312"/>
      <w:sz w:val="32"/>
    </w:rPr>
  </w:style>
  <w:style w:type="paragraph" w:styleId="12">
    <w:name w:val="toc 3"/>
    <w:basedOn w:val="1"/>
    <w:next w:val="1"/>
    <w:qFormat/>
    <w:uiPriority w:val="39"/>
    <w:pPr>
      <w:ind w:left="840" w:leftChars="400"/>
    </w:pPr>
  </w:style>
  <w:style w:type="paragraph" w:styleId="13">
    <w:name w:val="Plain Text"/>
    <w:basedOn w:val="1"/>
    <w:link w:val="32"/>
    <w:qFormat/>
    <w:uiPriority w:val="0"/>
    <w:rPr>
      <w:rFonts w:ascii="宋体" w:hAnsi="Courier New"/>
    </w:rPr>
  </w:style>
  <w:style w:type="paragraph" w:styleId="14">
    <w:name w:val="Date"/>
    <w:basedOn w:val="1"/>
    <w:next w:val="1"/>
    <w:qFormat/>
    <w:uiPriority w:val="0"/>
    <w:rPr>
      <w:rFonts w:ascii="仿宋_GB2312" w:hAnsi="Arial Narrow" w:eastAsia="仿宋_GB2312"/>
      <w:sz w:val="32"/>
    </w:rPr>
  </w:style>
  <w:style w:type="paragraph" w:styleId="15">
    <w:name w:val="Body Text Indent 2"/>
    <w:basedOn w:val="1"/>
    <w:qFormat/>
    <w:uiPriority w:val="0"/>
    <w:pPr>
      <w:ind w:firstLine="660"/>
    </w:pPr>
    <w:rPr>
      <w:rFonts w:ascii="仿宋_GB2312" w:hAnsi="Arial Narrow" w:eastAsia="仿宋_GB2312"/>
      <w:sz w:val="32"/>
    </w:rPr>
  </w:style>
  <w:style w:type="paragraph" w:styleId="16">
    <w:name w:val="Balloon Text"/>
    <w:basedOn w:val="1"/>
    <w:qFormat/>
    <w:uiPriority w:val="0"/>
    <w:rPr>
      <w:sz w:val="18"/>
      <w:szCs w:val="18"/>
    </w:rPr>
  </w:style>
  <w:style w:type="paragraph" w:styleId="17">
    <w:name w:val="footer"/>
    <w:basedOn w:val="1"/>
    <w:link w:val="33"/>
    <w:qFormat/>
    <w:uiPriority w:val="99"/>
    <w:pPr>
      <w:tabs>
        <w:tab w:val="center" w:pos="4153"/>
        <w:tab w:val="right" w:pos="8306"/>
      </w:tabs>
      <w:snapToGrid w:val="0"/>
      <w:jc w:val="left"/>
    </w:pPr>
    <w:rPr>
      <w:sz w:val="18"/>
    </w:rPr>
  </w:style>
  <w:style w:type="paragraph" w:styleId="18">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Body Text Indent 3"/>
    <w:basedOn w:val="1"/>
    <w:qFormat/>
    <w:uiPriority w:val="0"/>
    <w:pPr>
      <w:spacing w:line="360" w:lineRule="auto"/>
      <w:ind w:left="-105" w:firstLine="704" w:firstLineChars="220"/>
    </w:pPr>
    <w:rPr>
      <w:rFonts w:ascii="仿宋_GB2312" w:hAnsi="Arial Narrow" w:eastAsia="仿宋_GB2312"/>
      <w:sz w:val="32"/>
    </w:rPr>
  </w:style>
  <w:style w:type="paragraph" w:styleId="21">
    <w:name w:val="Body Text 2"/>
    <w:basedOn w:val="1"/>
    <w:qFormat/>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qFormat/>
    <w:uiPriority w:val="99"/>
    <w:rPr>
      <w:color w:val="0000FF"/>
      <w:u w:val="single"/>
    </w:rPr>
  </w:style>
  <w:style w:type="character" w:styleId="27">
    <w:name w:val="annotation reference"/>
    <w:basedOn w:val="23"/>
    <w:qFormat/>
    <w:uiPriority w:val="0"/>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basedOn w:val="23"/>
    <w:link w:val="18"/>
    <w:qFormat/>
    <w:uiPriority w:val="0"/>
    <w:rPr>
      <w:kern w:val="2"/>
      <w:sz w:val="18"/>
    </w:rPr>
  </w:style>
  <w:style w:type="character" w:customStyle="1" w:styleId="31">
    <w:name w:val="content"/>
    <w:basedOn w:val="23"/>
    <w:qFormat/>
    <w:uiPriority w:val="0"/>
    <w:rPr>
      <w:color w:val="000000"/>
      <w:sz w:val="21"/>
      <w:szCs w:val="21"/>
    </w:rPr>
  </w:style>
  <w:style w:type="character" w:customStyle="1" w:styleId="32">
    <w:name w:val="纯文本 Char1"/>
    <w:basedOn w:val="23"/>
    <w:link w:val="13"/>
    <w:qFormat/>
    <w:uiPriority w:val="0"/>
    <w:rPr>
      <w:rFonts w:ascii="宋体" w:hAnsi="Courier New" w:eastAsia="宋体"/>
      <w:kern w:val="2"/>
      <w:sz w:val="21"/>
      <w:lang w:val="en-US" w:eastAsia="zh-CN" w:bidi="ar-SA"/>
    </w:rPr>
  </w:style>
  <w:style w:type="character" w:customStyle="1" w:styleId="33">
    <w:name w:val="页脚 Char"/>
    <w:basedOn w:val="23"/>
    <w:link w:val="17"/>
    <w:qFormat/>
    <w:uiPriority w:val="99"/>
    <w:rPr>
      <w:kern w:val="2"/>
      <w:sz w:val="18"/>
    </w:rPr>
  </w:style>
  <w:style w:type="character" w:customStyle="1" w:styleId="34">
    <w:name w:val="纯文本 Char"/>
    <w:basedOn w:val="23"/>
    <w:qFormat/>
    <w:uiPriority w:val="0"/>
    <w:rPr>
      <w:rFonts w:ascii="宋体" w:hAnsi="Courier New" w:eastAsia="宋体"/>
      <w:kern w:val="2"/>
      <w:sz w:val="21"/>
      <w:lang w:val="en-US" w:eastAsia="zh-CN" w:bidi="ar-SA"/>
    </w:rPr>
  </w:style>
  <w:style w:type="paragraph" w:customStyle="1" w:styleId="35">
    <w:name w:val="Char"/>
    <w:basedOn w:val="1"/>
    <w:qFormat/>
    <w:uiPriority w:val="0"/>
    <w:rPr>
      <w:rFonts w:ascii="Tahoma" w:hAnsi="Tahoma"/>
      <w:sz w:val="24"/>
    </w:rPr>
  </w:style>
  <w:style w:type="paragraph" w:customStyle="1" w:styleId="36">
    <w:name w:val="Char Char Char"/>
    <w:basedOn w:val="1"/>
    <w:qFormat/>
    <w:uiPriority w:val="0"/>
    <w:pPr>
      <w:snapToGrid w:val="0"/>
      <w:spacing w:line="360" w:lineRule="auto"/>
      <w:ind w:firstLine="200" w:firstLineChars="200"/>
    </w:pPr>
    <w:rPr>
      <w:rFonts w:eastAsia="仿宋_GB2312"/>
      <w:sz w:val="24"/>
      <w:szCs w:val="24"/>
    </w:rPr>
  </w:style>
  <w:style w:type="paragraph" w:customStyle="1" w:styleId="37">
    <w:name w:val="xl24"/>
    <w:basedOn w:val="1"/>
    <w:qFormat/>
    <w:uiPriority w:val="0"/>
    <w:pPr>
      <w:widowControl/>
      <w:pBdr>
        <w:top w:val="single" w:color="auto" w:sz="4" w:space="0"/>
        <w:left w:val="single" w:color="auto" w:sz="4" w:space="0"/>
        <w:bottom w:val="double" w:color="auto" w:sz="6"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38">
    <w:name w:val="xl3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42">
    <w:name w:val="xl33"/>
    <w:basedOn w:val="1"/>
    <w:qFormat/>
    <w:uiPriority w:val="0"/>
    <w:pPr>
      <w:widowControl/>
      <w:pBdr>
        <w:top w:val="single" w:color="auto" w:sz="4" w:space="0"/>
        <w:left w:val="single" w:color="auto" w:sz="4" w:space="0"/>
        <w:bottom w:val="double" w:color="auto" w:sz="6"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3">
    <w:name w:val="xl31"/>
    <w:basedOn w:val="1"/>
    <w:qFormat/>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44">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
    <w:name w:val="xl43"/>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6">
    <w:name w:val="xl25"/>
    <w:basedOn w:val="1"/>
    <w:qFormat/>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47">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8">
    <w:name w:val="xl26"/>
    <w:basedOn w:val="1"/>
    <w:qFormat/>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hint="eastAsia" w:ascii="黑体" w:hAnsi="宋体" w:eastAsia="黑体"/>
      <w:kern w:val="0"/>
      <w:sz w:val="24"/>
      <w:szCs w:val="24"/>
    </w:rPr>
  </w:style>
  <w:style w:type="paragraph" w:customStyle="1" w:styleId="49">
    <w:name w:val="xl34"/>
    <w:basedOn w:val="1"/>
    <w:qFormat/>
    <w:uiPriority w:val="0"/>
    <w:pPr>
      <w:widowControl/>
      <w:pBdr>
        <w:top w:val="single" w:color="auto" w:sz="4" w:space="0"/>
        <w:left w:val="single" w:color="auto" w:sz="4" w:space="0"/>
        <w:bottom w:val="single" w:color="auto" w:sz="4" w:space="0"/>
        <w:right w:val="single" w:color="auto" w:sz="4" w:space="0"/>
      </w:pBdr>
      <w:shd w:val="clear" w:color="FFFFCC" w:fill="FFFFCC"/>
      <w:spacing w:before="100" w:beforeAutospacing="1" w:after="100" w:afterAutospacing="1"/>
      <w:jc w:val="center"/>
    </w:pPr>
    <w:rPr>
      <w:rFonts w:ascii="宋体" w:hAnsi="宋体"/>
      <w:kern w:val="0"/>
      <w:sz w:val="22"/>
      <w:szCs w:val="22"/>
    </w:rPr>
  </w:style>
  <w:style w:type="paragraph" w:customStyle="1" w:styleId="50">
    <w:name w:val="xl35"/>
    <w:basedOn w:val="1"/>
    <w:qFormat/>
    <w:uiPriority w:val="0"/>
    <w:pPr>
      <w:widowControl/>
      <w:pBdr>
        <w:top w:val="single" w:color="auto" w:sz="4" w:space="0"/>
        <w:left w:val="single" w:color="auto" w:sz="4" w:space="0"/>
        <w:bottom w:val="single" w:color="auto" w:sz="4" w:space="0"/>
        <w:right w:val="double" w:color="auto" w:sz="6" w:space="0"/>
      </w:pBdr>
      <w:shd w:val="clear" w:color="FFFFCC" w:fill="FFFFCC"/>
      <w:spacing w:before="100" w:beforeAutospacing="1" w:after="100" w:afterAutospacing="1"/>
      <w:jc w:val="center"/>
    </w:pPr>
    <w:rPr>
      <w:rFonts w:ascii="宋体" w:hAnsi="宋体"/>
      <w:kern w:val="0"/>
      <w:sz w:val="22"/>
      <w:szCs w:val="22"/>
    </w:rPr>
  </w:style>
  <w:style w:type="paragraph" w:customStyle="1" w:styleId="51">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center"/>
    </w:pPr>
    <w:rPr>
      <w:rFonts w:ascii="宋体" w:hAnsi="宋体"/>
      <w:kern w:val="0"/>
      <w:sz w:val="22"/>
      <w:szCs w:val="22"/>
    </w:rPr>
  </w:style>
  <w:style w:type="paragraph" w:customStyle="1" w:styleId="52">
    <w:name w:val="xl41"/>
    <w:basedOn w:val="1"/>
    <w:qFormat/>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3">
    <w:name w:val="xl37"/>
    <w:basedOn w:val="1"/>
    <w:qFormat/>
    <w:uiPriority w:val="0"/>
    <w:pPr>
      <w:widowControl/>
      <w:pBdr>
        <w:top w:val="single" w:color="auto" w:sz="4" w:space="0"/>
        <w:left w:val="single" w:color="auto" w:sz="4" w:space="0"/>
        <w:bottom w:val="single" w:color="auto" w:sz="4" w:space="0"/>
        <w:right w:val="double" w:color="auto" w:sz="6" w:space="0"/>
      </w:pBdr>
      <w:shd w:val="clear" w:color="auto" w:fill="FFFFCC"/>
      <w:spacing w:before="100" w:beforeAutospacing="1" w:after="100" w:afterAutospacing="1"/>
      <w:jc w:val="center"/>
    </w:pPr>
    <w:rPr>
      <w:rFonts w:ascii="宋体" w:hAnsi="宋体"/>
      <w:kern w:val="0"/>
      <w:sz w:val="22"/>
      <w:szCs w:val="22"/>
    </w:rPr>
  </w:style>
  <w:style w:type="paragraph" w:customStyle="1" w:styleId="54">
    <w:name w:val="xl32"/>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5">
    <w:name w:val="xl42"/>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56">
    <w:name w:val="xl40"/>
    <w:basedOn w:val="1"/>
    <w:qFormat/>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5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纯文本1"/>
    <w:basedOn w:val="1"/>
    <w:qFormat/>
    <w:uiPriority w:val="0"/>
    <w:pPr>
      <w:adjustRightInd w:val="0"/>
      <w:textAlignment w:val="baseline"/>
    </w:pPr>
    <w:rPr>
      <w:rFonts w:ascii="宋体" w:hAnsi="Courier New"/>
    </w:rPr>
  </w:style>
  <w:style w:type="paragraph" w:customStyle="1" w:styleId="59">
    <w:name w:val="24磅报告正文"/>
    <w:basedOn w:val="1"/>
    <w:qFormat/>
    <w:uiPriority w:val="0"/>
    <w:pPr>
      <w:spacing w:line="480" w:lineRule="exact"/>
      <w:ind w:firstLine="200" w:firstLineChars="200"/>
    </w:pPr>
    <w:rPr>
      <w:rFonts w:eastAsia="仿宋_GB2312" w:cs="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EA7EF-E41C-4CA1-A8EE-F44A0C49E3B0}">
  <ds:schemaRefs/>
</ds:datastoreItem>
</file>

<file path=docProps/app.xml><?xml version="1.0" encoding="utf-8"?>
<Properties xmlns="http://schemas.openxmlformats.org/officeDocument/2006/extended-properties" xmlns:vt="http://schemas.openxmlformats.org/officeDocument/2006/docPropsVTypes">
  <Template>Normal</Template>
  <Company>青岛市房产评估所</Company>
  <Pages>32</Pages>
  <Words>14447</Words>
  <Characters>5088</Characters>
  <Lines>42</Lines>
  <Paragraphs>38</Paragraphs>
  <TotalTime>4</TotalTime>
  <ScaleCrop>false</ScaleCrop>
  <LinksUpToDate>false</LinksUpToDate>
  <CharactersWithSpaces>19497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2018-01-08T03:03:00Z</dcterms:created>
  <dc:creator>hyq</dc:creator>
  <cp:lastModifiedBy>…………</cp:lastModifiedBy>
  <cp:lastPrinted>2018-09-14T07:12:00Z</cp:lastPrinted>
  <dcterms:modified xsi:type="dcterms:W3CDTF">2018-11-13T07:55:06Z</dcterms:modified>
  <dc:title>目   录</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