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rPr>
          <w:rFonts w:ascii="宋体" w:cs="宋体"/>
          <w:sz w:val="44"/>
          <w:szCs w:val="44"/>
        </w:rPr>
      </w:pPr>
      <w:r>
        <w:rPr>
          <w:rFonts w:ascii="宋体" w:hAnsi="宋体" w:cs="宋体"/>
          <w:sz w:val="32"/>
          <w:szCs w:val="32"/>
        </w:rPr>
        <w:t xml:space="preserve">  </w:t>
      </w:r>
      <w:r>
        <w:rPr>
          <w:rFonts w:ascii="宋体" w:hAnsi="宋体" w:cs="宋体"/>
          <w:sz w:val="44"/>
          <w:szCs w:val="44"/>
        </w:rPr>
        <w:t xml:space="preserve">             </w:t>
      </w:r>
    </w:p>
    <w:p>
      <w:pPr>
        <w:rPr>
          <w:rFonts w:ascii="宋体" w:cs="宋体"/>
          <w:sz w:val="44"/>
          <w:szCs w:val="44"/>
        </w:rPr>
      </w:pPr>
      <w:r>
        <w:rPr>
          <w:rFonts w:ascii="宋体" w:hAnsi="宋体" w:cs="宋体"/>
          <w:sz w:val="44"/>
          <w:szCs w:val="44"/>
        </w:rPr>
        <w:t xml:space="preserve">     </w:t>
      </w:r>
    </w:p>
    <w:p>
      <w:pPr>
        <w:rPr>
          <w:rFonts w:ascii="宋体" w:cs="宋体"/>
          <w:sz w:val="28"/>
          <w:szCs w:val="28"/>
        </w:rPr>
      </w:pPr>
    </w:p>
    <w:p>
      <w:pPr>
        <w:rPr>
          <w:rFonts w:ascii="宋体" w:cs="宋体"/>
          <w:sz w:val="13"/>
          <w:szCs w:val="13"/>
        </w:rPr>
      </w:pPr>
    </w:p>
    <w:p>
      <w:pPr>
        <w:pStyle w:val="29"/>
        <w:spacing w:line="1000" w:lineRule="exact"/>
        <w:ind w:left="0"/>
        <w:jc w:val="center"/>
        <w:rPr>
          <w:rFonts w:ascii="仿宋_GB2312" w:hAnsi="宋体" w:eastAsia="仿宋_GB2312" w:cs="宋体"/>
          <w:b/>
          <w:bCs/>
          <w:spacing w:val="40"/>
          <w:sz w:val="84"/>
          <w:szCs w:val="84"/>
        </w:rPr>
      </w:pPr>
      <w:r>
        <w:rPr>
          <w:rFonts w:hint="eastAsia" w:ascii="宋体" w:hAnsi="宋体" w:eastAsia="宋体" w:cs="宋体"/>
          <w:b/>
          <w:bCs/>
          <w:spacing w:val="0"/>
          <w:sz w:val="72"/>
          <w:szCs w:val="72"/>
        </w:rPr>
        <w:t>房地产估价</w:t>
      </w:r>
      <w:r>
        <w:rPr>
          <w:rFonts w:hint="eastAsia" w:ascii="宋体" w:hAnsi="宋体" w:eastAsia="宋体" w:cs="宋体"/>
          <w:b/>
          <w:bCs/>
          <w:spacing w:val="0"/>
          <w:sz w:val="72"/>
          <w:szCs w:val="72"/>
          <w:lang w:eastAsia="zh-CN"/>
        </w:rPr>
        <w:t>结果</w:t>
      </w:r>
      <w:r>
        <w:rPr>
          <w:rFonts w:hint="eastAsia" w:ascii="宋体" w:hAnsi="宋体" w:eastAsia="宋体" w:cs="宋体"/>
          <w:b/>
          <w:bCs/>
          <w:spacing w:val="0"/>
          <w:sz w:val="72"/>
          <w:szCs w:val="72"/>
        </w:rPr>
        <w:t>报告</w:t>
      </w:r>
    </w:p>
    <w:p>
      <w:pPr>
        <w:pStyle w:val="29"/>
        <w:spacing w:beforeLines="0" w:afterLines="0" w:line="360" w:lineRule="auto"/>
        <w:ind w:left="0"/>
        <w:jc w:val="center"/>
        <w:rPr>
          <w:rFonts w:hint="default" w:ascii="Times New Roman" w:eastAsia="仿宋_GB2312" w:cs="Times New Roman"/>
          <w:b/>
          <w:sz w:val="28"/>
          <w:szCs w:val="28"/>
          <w:highlight w:val="none"/>
          <w:lang w:eastAsia="zh-CN"/>
        </w:rPr>
      </w:pPr>
      <w:r>
        <w:rPr>
          <w:rFonts w:hint="default" w:ascii="Times New Roman" w:hAnsi="Times New Roman" w:eastAsia="仿宋_GB2312" w:cs="Times New Roman"/>
          <w:b/>
          <w:bCs w:val="0"/>
          <w:sz w:val="24"/>
          <w:szCs w:val="24"/>
          <w:highlight w:val="none"/>
          <w:lang w:eastAsia="zh-CN"/>
        </w:rPr>
        <w:t>鲁富房估字【2019】第FFY01003-</w:t>
      </w:r>
      <w:r>
        <w:rPr>
          <w:rFonts w:hint="eastAsia" w:eastAsia="仿宋_GB2312" w:cs="Times New Roman"/>
          <w:b/>
          <w:bCs w:val="0"/>
          <w:sz w:val="24"/>
          <w:szCs w:val="24"/>
          <w:highlight w:val="none"/>
          <w:lang w:val="en-US" w:eastAsia="zh-CN"/>
        </w:rPr>
        <w:t>3</w:t>
      </w:r>
      <w:r>
        <w:rPr>
          <w:rFonts w:hint="default" w:ascii="Times New Roman" w:hAnsi="Times New Roman" w:eastAsia="仿宋_GB2312" w:cs="Times New Roman"/>
          <w:b/>
          <w:bCs w:val="0"/>
          <w:sz w:val="24"/>
          <w:szCs w:val="24"/>
          <w:highlight w:val="none"/>
          <w:lang w:eastAsia="zh-CN"/>
        </w:rPr>
        <w:t>号</w:t>
      </w:r>
    </w:p>
    <w:p>
      <w:pPr>
        <w:spacing w:beforeLines="0" w:afterLines="0" w:line="460" w:lineRule="exact"/>
        <w:jc w:val="center"/>
        <w:rPr>
          <w:rFonts w:hint="eastAsia" w:ascii="仿宋_GB2312" w:hAnsi="宋体" w:eastAsia="仿宋_GB2312" w:cs="宋体"/>
          <w:bCs/>
          <w:spacing w:val="-20"/>
          <w:sz w:val="30"/>
          <w:szCs w:val="30"/>
        </w:rPr>
      </w:pPr>
      <w:r>
        <w:rPr>
          <w:rFonts w:hint="eastAsia" w:ascii="仿宋_GB2312" w:hAnsi="宋体" w:eastAsia="仿宋_GB2312" w:cs="宋体"/>
          <w:bCs/>
          <w:spacing w:val="-20"/>
          <w:sz w:val="30"/>
          <w:szCs w:val="30"/>
        </w:rPr>
        <w:t>潍坊</w:t>
      </w:r>
      <w:r>
        <w:rPr>
          <w:rFonts w:hint="eastAsia" w:ascii="仿宋_GB2312" w:hAnsi="宋体" w:eastAsia="仿宋_GB2312" w:cs="宋体"/>
          <w:bCs/>
          <w:spacing w:val="-20"/>
          <w:sz w:val="30"/>
          <w:szCs w:val="30"/>
          <w:lang w:eastAsia="zh-CN"/>
        </w:rPr>
        <w:t>高新技术产业开发区人民法院</w:t>
      </w:r>
      <w:r>
        <w:rPr>
          <w:rFonts w:hint="eastAsia" w:ascii="仿宋_GB2312" w:hAnsi="宋体" w:eastAsia="仿宋_GB2312" w:cs="宋体"/>
          <w:bCs/>
          <w:spacing w:val="-20"/>
          <w:sz w:val="30"/>
          <w:szCs w:val="30"/>
        </w:rPr>
        <w:t>执行案件涉及的</w:t>
      </w:r>
    </w:p>
    <w:p>
      <w:pPr>
        <w:spacing w:beforeLines="0" w:afterLines="0" w:line="460" w:lineRule="exact"/>
        <w:jc w:val="center"/>
        <w:rPr>
          <w:rFonts w:hint="eastAsia" w:ascii="仿宋_GB2312" w:hAnsi="宋体" w:eastAsia="仿宋_GB2312" w:cs="宋体"/>
          <w:bCs/>
          <w:spacing w:val="-20"/>
          <w:sz w:val="30"/>
          <w:szCs w:val="30"/>
          <w:lang w:eastAsia="zh-CN"/>
        </w:rPr>
      </w:pPr>
      <w:r>
        <w:rPr>
          <w:rFonts w:hint="eastAsia" w:ascii="仿宋_GB2312" w:hAnsi="宋体" w:eastAsia="仿宋_GB2312" w:cs="宋体"/>
          <w:bCs/>
          <w:spacing w:val="-20"/>
          <w:sz w:val="30"/>
          <w:szCs w:val="30"/>
          <w:lang w:eastAsia="zh-CN"/>
        </w:rPr>
        <w:t>潍坊逸飞工程配套有限公司名下位于潍坊市</w:t>
      </w:r>
    </w:p>
    <w:p>
      <w:pPr>
        <w:pStyle w:val="29"/>
        <w:spacing w:line="240" w:lineRule="auto"/>
        <w:jc w:val="center"/>
        <w:rPr>
          <w:rFonts w:ascii="宋体" w:cs="宋体"/>
          <w:b/>
          <w:bCs/>
          <w:spacing w:val="-20"/>
          <w:sz w:val="32"/>
          <w:szCs w:val="32"/>
        </w:rPr>
      </w:pPr>
      <w:r>
        <w:rPr>
          <w:rFonts w:hint="eastAsia" w:ascii="仿宋_GB2312" w:hAnsi="宋体" w:eastAsia="仿宋_GB2312" w:cs="宋体"/>
          <w:bCs/>
          <w:spacing w:val="-20"/>
          <w:sz w:val="30"/>
          <w:szCs w:val="30"/>
          <w:lang w:eastAsia="zh-CN"/>
        </w:rPr>
        <w:t>奎文区宝通花园</w:t>
      </w:r>
      <w:r>
        <w:rPr>
          <w:rFonts w:hint="eastAsia" w:ascii="仿宋_GB2312" w:hAnsi="宋体" w:eastAsia="仿宋_GB2312" w:cs="宋体"/>
          <w:bCs/>
          <w:spacing w:val="-20"/>
          <w:sz w:val="30"/>
          <w:szCs w:val="30"/>
          <w:lang w:val="en-US" w:eastAsia="zh-CN"/>
        </w:rPr>
        <w:t>2号楼06室商铺司法鉴定评估</w:t>
      </w:r>
    </w:p>
    <w:p>
      <w:pPr>
        <w:pStyle w:val="29"/>
        <w:spacing w:line="240" w:lineRule="auto"/>
        <w:jc w:val="center"/>
        <w:rPr>
          <w:rFonts w:ascii="宋体" w:cs="宋体"/>
          <w:b/>
          <w:bCs/>
          <w:spacing w:val="-20"/>
          <w:sz w:val="32"/>
          <w:szCs w:val="32"/>
        </w:rPr>
      </w:pPr>
    </w:p>
    <w:p>
      <w:pPr>
        <w:spacing w:beforeLines="0" w:afterLines="0" w:line="460" w:lineRule="exact"/>
        <w:jc w:val="center"/>
        <w:rPr>
          <w:rFonts w:hint="eastAsia" w:ascii="宋体" w:eastAsia="宋体" w:cs="宋体"/>
          <w:b/>
          <w:bCs/>
          <w:sz w:val="30"/>
          <w:szCs w:val="30"/>
          <w:lang w:eastAsia="zh-CN"/>
        </w:rPr>
      </w:pPr>
    </w:p>
    <w:p>
      <w:pPr>
        <w:pStyle w:val="29"/>
        <w:spacing w:line="240" w:lineRule="auto"/>
        <w:jc w:val="center"/>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ind w:left="0" w:firstLine="0" w:firstLineChars="0"/>
        <w:rPr>
          <w:rFonts w:ascii="仿宋_GB2312" w:eastAsia="仿宋_GB2312"/>
        </w:rPr>
      </w:pPr>
      <w:r>
        <w:rPr>
          <w:rFonts w:hint="eastAsia" w:ascii="宋体" w:cs="宋体"/>
          <w:b/>
          <w:bCs/>
          <w:sz w:val="32"/>
          <w:szCs w:val="32"/>
          <w:lang w:val="en-US" w:eastAsia="zh-CN"/>
        </w:rPr>
        <w:t xml:space="preserve"> </w:t>
      </w:r>
      <w:r>
        <w:rPr>
          <w:rFonts w:hint="eastAsia" w:ascii="仿宋_GB2312" w:hAnsi="宋体" w:eastAsia="仿宋_GB2312" w:cs="宋体"/>
          <w:bCs/>
          <w:sz w:val="32"/>
          <w:szCs w:val="32"/>
        </w:rPr>
        <w:t>估价委托人：</w:t>
      </w:r>
      <w:r>
        <w:rPr>
          <w:rFonts w:hint="eastAsia" w:ascii="仿宋_GB2312" w:hAnsi="宋体" w:eastAsia="仿宋_GB2312" w:cs="宋体"/>
          <w:bCs/>
          <w:sz w:val="32"/>
          <w:szCs w:val="32"/>
          <w:lang w:eastAsia="zh-CN"/>
        </w:rPr>
        <w:t>潍坊高新技术产业开发区人民法院</w:t>
      </w:r>
    </w:p>
    <w:p>
      <w:pPr>
        <w:pStyle w:val="29"/>
        <w:ind w:firstLine="160" w:firstLineChars="50"/>
        <w:rPr>
          <w:rFonts w:ascii="仿宋_GB2312" w:hAnsi="宋体" w:eastAsia="仿宋_GB2312" w:cs="宋体"/>
          <w:bCs/>
          <w:sz w:val="32"/>
          <w:szCs w:val="32"/>
        </w:rPr>
      </w:pPr>
      <w:r>
        <w:rPr>
          <w:rFonts w:hint="eastAsia" w:ascii="仿宋_GB2312" w:hAnsi="宋体" w:eastAsia="仿宋_GB2312" w:cs="宋体"/>
          <w:bCs/>
          <w:sz w:val="32"/>
          <w:szCs w:val="32"/>
        </w:rPr>
        <w:t>估价机构：山东富润土地房地产资产评估有限公司</w:t>
      </w:r>
    </w:p>
    <w:p>
      <w:pPr>
        <w:pStyle w:val="29"/>
        <w:ind w:firstLine="160" w:firstLineChars="50"/>
        <w:rPr>
          <w:rFonts w:ascii="仿宋_GB2312" w:hAnsi="宋体" w:eastAsia="仿宋_GB2312" w:cs="宋体"/>
          <w:bCs/>
          <w:sz w:val="32"/>
          <w:szCs w:val="32"/>
        </w:rPr>
      </w:pPr>
      <w:r>
        <w:rPr>
          <w:rFonts w:hint="eastAsia" w:ascii="仿宋_GB2312" w:hAnsi="宋体" w:eastAsia="仿宋_GB2312" w:cs="宋体"/>
          <w:bCs/>
          <w:sz w:val="32"/>
          <w:szCs w:val="32"/>
        </w:rPr>
        <w:t>注册房地产估价师：</w:t>
      </w:r>
      <w:r>
        <w:rPr>
          <w:rFonts w:hint="eastAsia" w:ascii="仿宋_GB2312" w:hAnsi="宋体" w:eastAsia="仿宋_GB2312" w:cs="宋体"/>
          <w:bCs/>
          <w:sz w:val="32"/>
          <w:szCs w:val="32"/>
          <w:lang w:eastAsia="zh-CN"/>
        </w:rPr>
        <w:t>高守良</w:t>
      </w:r>
      <w:r>
        <w:rPr>
          <w:rFonts w:hint="eastAsia" w:ascii="仿宋_GB2312" w:hAnsi="宋体" w:eastAsia="仿宋_GB2312" w:cs="宋体"/>
          <w:bCs/>
          <w:sz w:val="32"/>
          <w:szCs w:val="32"/>
        </w:rPr>
        <w:t>（注册号：</w:t>
      </w:r>
      <w:r>
        <w:rPr>
          <w:rFonts w:hint="eastAsia" w:ascii="仿宋_GB2312" w:hAnsi="宋体" w:eastAsia="仿宋_GB2312" w:cs="宋体"/>
          <w:bCs/>
          <w:sz w:val="32"/>
          <w:szCs w:val="32"/>
          <w:lang w:val="en-US" w:eastAsia="zh-CN"/>
        </w:rPr>
        <w:t>2320160055</w:t>
      </w:r>
      <w:r>
        <w:rPr>
          <w:rFonts w:hint="eastAsia" w:ascii="仿宋_GB2312" w:hAnsi="宋体" w:eastAsia="仿宋_GB2312" w:cs="宋体"/>
          <w:bCs/>
          <w:sz w:val="32"/>
          <w:szCs w:val="32"/>
        </w:rPr>
        <w:t>）</w:t>
      </w:r>
    </w:p>
    <w:p>
      <w:pPr>
        <w:pStyle w:val="29"/>
        <w:ind w:firstLine="3040" w:firstLineChars="950"/>
        <w:rPr>
          <w:rFonts w:ascii="仿宋_GB2312" w:hAnsi="宋体" w:eastAsia="仿宋_GB2312" w:cs="宋体"/>
          <w:bCs/>
          <w:sz w:val="32"/>
          <w:szCs w:val="32"/>
        </w:rPr>
      </w:pPr>
      <w:r>
        <w:rPr>
          <w:rFonts w:hint="eastAsia" w:ascii="仿宋_GB2312" w:hAnsi="宋体" w:eastAsia="仿宋_GB2312" w:cs="宋体"/>
          <w:bCs/>
          <w:sz w:val="32"/>
          <w:szCs w:val="32"/>
          <w:lang w:eastAsia="zh-CN"/>
        </w:rPr>
        <w:t>李  丽</w:t>
      </w:r>
      <w:r>
        <w:rPr>
          <w:rFonts w:hint="eastAsia" w:ascii="仿宋_GB2312" w:hAnsi="宋体" w:eastAsia="仿宋_GB2312" w:cs="宋体"/>
          <w:bCs/>
          <w:sz w:val="32"/>
          <w:szCs w:val="32"/>
        </w:rPr>
        <w:t>（注册号：</w:t>
      </w:r>
      <w:r>
        <w:rPr>
          <w:rFonts w:hint="eastAsia" w:ascii="仿宋_GB2312" w:hAnsi="宋体" w:eastAsia="仿宋_GB2312" w:cs="宋体"/>
          <w:bCs/>
          <w:sz w:val="32"/>
          <w:szCs w:val="32"/>
          <w:lang w:eastAsia="zh-CN"/>
        </w:rPr>
        <w:t>3720110150</w:t>
      </w:r>
      <w:r>
        <w:rPr>
          <w:rFonts w:hint="eastAsia" w:ascii="仿宋_GB2312" w:hAnsi="宋体" w:eastAsia="仿宋_GB2312" w:cs="宋体"/>
          <w:bCs/>
          <w:sz w:val="32"/>
          <w:szCs w:val="32"/>
        </w:rPr>
        <w:t>）</w:t>
      </w:r>
    </w:p>
    <w:p>
      <w:pPr>
        <w:pStyle w:val="29"/>
        <w:ind w:firstLine="160" w:firstLineChars="50"/>
        <w:rPr>
          <w:rFonts w:ascii="仿宋_GB2312" w:hAnsi="宋体" w:eastAsia="仿宋_GB2312" w:cs="宋体"/>
          <w:bCs/>
          <w:sz w:val="32"/>
          <w:szCs w:val="32"/>
        </w:rPr>
        <w:sectPr>
          <w:headerReference r:id="rId3" w:type="default"/>
          <w:pgSz w:w="11906" w:h="16838"/>
          <w:pgMar w:top="1440" w:right="1800" w:bottom="1440" w:left="1800" w:header="851" w:footer="992" w:gutter="0"/>
          <w:cols w:space="720" w:num="1"/>
          <w:docGrid w:type="lines" w:linePitch="312" w:charSpace="0"/>
        </w:sectPr>
      </w:pPr>
      <w:r>
        <w:rPr>
          <w:rFonts w:hint="eastAsia" w:ascii="仿宋_GB2312" w:hAnsi="宋体" w:eastAsia="仿宋_GB2312" w:cs="宋体"/>
          <w:bCs/>
          <w:sz w:val="32"/>
          <w:szCs w:val="32"/>
        </w:rPr>
        <w:t>估价报告出具日期：</w:t>
      </w:r>
      <w:r>
        <w:rPr>
          <w:rFonts w:hint="eastAsia" w:ascii="仿宋_GB2312" w:hAnsi="宋体" w:eastAsia="仿宋_GB2312" w:cs="宋体"/>
          <w:bCs/>
          <w:sz w:val="32"/>
          <w:szCs w:val="32"/>
          <w:lang w:eastAsia="zh-CN"/>
        </w:rPr>
        <w:t>2019年01月14日</w:t>
      </w:r>
    </w:p>
    <w:p>
      <w:pPr>
        <w:spacing w:beforeLines="150" w:line="700" w:lineRule="exact"/>
        <w:jc w:val="center"/>
        <w:rPr>
          <w:rFonts w:ascii="黑体" w:hAnsi="黑体" w:eastAsia="黑体"/>
          <w:b/>
          <w:bCs/>
          <w:sz w:val="44"/>
        </w:rPr>
      </w:pPr>
      <w:r>
        <w:rPr>
          <w:rFonts w:hint="eastAsia" w:ascii="黑体" w:hAnsi="黑体" w:eastAsia="黑体"/>
          <w:b/>
          <w:bCs/>
          <w:sz w:val="44"/>
        </w:rPr>
        <w:t>目　　</w:t>
      </w:r>
      <w:r>
        <w:rPr>
          <w:rFonts w:ascii="黑体" w:hAnsi="黑体" w:eastAsia="黑体"/>
          <w:b/>
          <w:bCs/>
          <w:sz w:val="44"/>
        </w:rPr>
        <w:t xml:space="preserve">  </w:t>
      </w:r>
      <w:r>
        <w:rPr>
          <w:rFonts w:hint="eastAsia" w:ascii="黑体" w:hAnsi="黑体" w:eastAsia="黑体"/>
          <w:b/>
          <w:bCs/>
          <w:sz w:val="44"/>
        </w:rPr>
        <w:t>录</w:t>
      </w:r>
    </w:p>
    <w:p>
      <w:pPr>
        <w:pStyle w:val="11"/>
        <w:tabs>
          <w:tab w:val="right" w:leader="dot" w:pos="8306"/>
        </w:tabs>
        <w:spacing w:beforeLines="0" w:afterLines="0" w:line="500" w:lineRule="exact"/>
        <w:ind w:firstLine="562" w:firstLineChars="200"/>
        <w:rPr>
          <w:rFonts w:hint="eastAsia" w:ascii="仿宋_GB2312" w:eastAsia="仿宋_GB2312"/>
          <w:b/>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"_Toc9625" </w:instrText>
      </w:r>
      <w:r>
        <w:rPr>
          <w:rFonts w:hint="eastAsia" w:ascii="仿宋_GB2312" w:eastAsia="仿宋_GB2312"/>
          <w:b/>
          <w:sz w:val="28"/>
          <w:szCs w:val="28"/>
        </w:rPr>
        <w:fldChar w:fldCharType="separate"/>
      </w:r>
      <w:r>
        <w:rPr>
          <w:rFonts w:hint="eastAsia" w:ascii="仿宋_GB2312" w:eastAsia="仿宋_GB2312"/>
          <w:b/>
          <w:sz w:val="28"/>
          <w:szCs w:val="28"/>
        </w:rPr>
        <w:t>致估价委托人函</w:t>
      </w:r>
      <w:r>
        <w:rPr>
          <w:rFonts w:hint="eastAsia" w:ascii="仿宋_GB2312" w:eastAsia="仿宋_GB2312"/>
          <w:b/>
          <w:sz w:val="28"/>
          <w:szCs w:val="28"/>
        </w:rPr>
        <w:tab/>
      </w:r>
      <w:r>
        <w:rPr>
          <w:rFonts w:hint="eastAsia" w:ascii="仿宋_GB2312" w:eastAsia="仿宋_GB2312"/>
          <w:b/>
          <w:sz w:val="28"/>
          <w:szCs w:val="28"/>
        </w:rPr>
        <w:t>1</w:t>
      </w:r>
      <w:r>
        <w:rPr>
          <w:rFonts w:hint="eastAsia" w:ascii="仿宋_GB2312" w:eastAsia="仿宋_GB2312"/>
          <w:b/>
          <w:sz w:val="28"/>
          <w:szCs w:val="28"/>
        </w:rPr>
        <w:fldChar w:fldCharType="end"/>
      </w:r>
    </w:p>
    <w:p>
      <w:pPr>
        <w:pStyle w:val="11"/>
        <w:tabs>
          <w:tab w:val="right" w:leader="dot" w:pos="8306"/>
        </w:tabs>
        <w:spacing w:beforeLines="0" w:afterLines="0" w:line="500" w:lineRule="exact"/>
        <w:ind w:firstLine="562" w:firstLineChars="200"/>
        <w:rPr>
          <w:rFonts w:hint="eastAsia" w:ascii="仿宋_GB2312" w:eastAsia="仿宋_GB2312"/>
          <w:b/>
          <w:sz w:val="28"/>
          <w:szCs w:val="28"/>
          <w:highlight w:val="none"/>
          <w:lang w:eastAsia="zh-CN"/>
        </w:rPr>
      </w:pPr>
      <w:r>
        <w:rPr>
          <w:rFonts w:hint="eastAsia" w:ascii="仿宋_GB2312" w:eastAsia="仿宋_GB2312"/>
          <w:b/>
          <w:sz w:val="28"/>
          <w:szCs w:val="28"/>
          <w:highlight w:val="none"/>
        </w:rPr>
        <w:fldChar w:fldCharType="begin"/>
      </w:r>
      <w:r>
        <w:rPr>
          <w:rFonts w:hint="eastAsia" w:ascii="仿宋_GB2312" w:eastAsia="仿宋_GB2312"/>
          <w:b/>
          <w:sz w:val="28"/>
          <w:szCs w:val="28"/>
          <w:highlight w:val="none"/>
        </w:rPr>
        <w:instrText xml:space="preserve">TOC \o "1-2" \h \u </w:instrText>
      </w:r>
      <w:r>
        <w:rPr>
          <w:rFonts w:hint="eastAsia" w:ascii="仿宋_GB2312" w:eastAsia="仿宋_GB2312"/>
          <w:b/>
          <w:sz w:val="28"/>
          <w:szCs w:val="28"/>
          <w:highlight w:val="none"/>
        </w:rPr>
        <w:fldChar w:fldCharType="separate"/>
      </w:r>
      <w:r>
        <w:rPr>
          <w:rFonts w:hint="eastAsia" w:ascii="仿宋_GB2312" w:eastAsia="仿宋_GB2312"/>
          <w:b/>
          <w:sz w:val="28"/>
          <w:szCs w:val="28"/>
          <w:highlight w:val="none"/>
        </w:rPr>
        <w:fldChar w:fldCharType="begin"/>
      </w:r>
      <w:r>
        <w:rPr>
          <w:rFonts w:hint="eastAsia" w:ascii="仿宋_GB2312" w:eastAsia="仿宋_GB2312"/>
          <w:b/>
          <w:sz w:val="28"/>
          <w:szCs w:val="28"/>
          <w:highlight w:val="none"/>
        </w:rPr>
        <w:instrText xml:space="preserve"> HYPERLINK \l _Toc17197 </w:instrText>
      </w:r>
      <w:r>
        <w:rPr>
          <w:rFonts w:hint="eastAsia" w:ascii="仿宋_GB2312" w:eastAsia="仿宋_GB2312"/>
          <w:b/>
          <w:sz w:val="28"/>
          <w:szCs w:val="28"/>
          <w:highlight w:val="none"/>
        </w:rPr>
        <w:fldChar w:fldCharType="separate"/>
      </w:r>
      <w:r>
        <w:rPr>
          <w:rFonts w:hint="eastAsia" w:ascii="仿宋_GB2312" w:hAnsi="Times New Roman" w:eastAsia="仿宋_GB2312" w:cs="Times New Roman"/>
          <w:b/>
          <w:bCs w:val="0"/>
          <w:sz w:val="28"/>
          <w:szCs w:val="28"/>
          <w:highlight w:val="none"/>
        </w:rPr>
        <w:t>估价师声明</w:t>
      </w:r>
      <w:r>
        <w:rPr>
          <w:rFonts w:hint="eastAsia" w:ascii="仿宋_GB2312" w:eastAsia="仿宋_GB2312"/>
          <w:b/>
          <w:sz w:val="28"/>
          <w:szCs w:val="28"/>
          <w:highlight w:val="none"/>
        </w:rPr>
        <w:tab/>
      </w:r>
      <w:r>
        <w:rPr>
          <w:rFonts w:hint="eastAsia" w:ascii="仿宋_GB2312" w:eastAsia="仿宋_GB2312"/>
          <w:b/>
          <w:sz w:val="28"/>
          <w:szCs w:val="28"/>
          <w:highlight w:val="none"/>
        </w:rPr>
        <w:fldChar w:fldCharType="end"/>
      </w:r>
      <w:r>
        <w:rPr>
          <w:rFonts w:hint="eastAsia" w:ascii="仿宋_GB2312" w:eastAsia="仿宋_GB2312"/>
          <w:b/>
          <w:sz w:val="28"/>
          <w:szCs w:val="28"/>
          <w:highlight w:val="none"/>
          <w:lang w:val="en-US" w:eastAsia="zh-CN"/>
        </w:rPr>
        <w:t>2</w:t>
      </w:r>
    </w:p>
    <w:p>
      <w:pPr>
        <w:pStyle w:val="11"/>
        <w:tabs>
          <w:tab w:val="right" w:leader="dot" w:pos="8306"/>
        </w:tabs>
        <w:spacing w:beforeLines="0" w:afterLines="0" w:line="500" w:lineRule="exact"/>
        <w:ind w:firstLine="562" w:firstLineChars="200"/>
        <w:rPr>
          <w:rFonts w:hint="eastAsia" w:ascii="仿宋_GB2312" w:eastAsia="仿宋_GB2312"/>
          <w:b/>
          <w:sz w:val="28"/>
          <w:szCs w:val="28"/>
          <w:highlight w:val="none"/>
          <w:lang w:eastAsia="zh-CN"/>
        </w:rPr>
      </w:pPr>
      <w:r>
        <w:rPr>
          <w:rFonts w:hint="eastAsia" w:ascii="仿宋_GB2312" w:eastAsia="仿宋_GB2312"/>
          <w:b/>
          <w:sz w:val="28"/>
          <w:szCs w:val="28"/>
          <w:highlight w:val="none"/>
        </w:rPr>
        <w:fldChar w:fldCharType="begin"/>
      </w:r>
      <w:r>
        <w:rPr>
          <w:rFonts w:hint="eastAsia" w:ascii="仿宋_GB2312" w:eastAsia="仿宋_GB2312"/>
          <w:b/>
          <w:sz w:val="28"/>
          <w:szCs w:val="28"/>
          <w:highlight w:val="none"/>
        </w:rPr>
        <w:instrText xml:space="preserve"> HYPERLINK \l _Toc23425 </w:instrText>
      </w:r>
      <w:r>
        <w:rPr>
          <w:rFonts w:hint="eastAsia" w:ascii="仿宋_GB2312" w:eastAsia="仿宋_GB2312"/>
          <w:b/>
          <w:sz w:val="28"/>
          <w:szCs w:val="28"/>
          <w:highlight w:val="none"/>
        </w:rPr>
        <w:fldChar w:fldCharType="separate"/>
      </w:r>
      <w:r>
        <w:rPr>
          <w:rFonts w:hint="eastAsia" w:ascii="仿宋_GB2312" w:eastAsia="仿宋_GB2312"/>
          <w:b/>
          <w:sz w:val="28"/>
          <w:szCs w:val="28"/>
          <w:highlight w:val="none"/>
        </w:rPr>
        <w:t>估价假设和限制条件</w:t>
      </w:r>
      <w:r>
        <w:rPr>
          <w:rFonts w:hint="eastAsia" w:ascii="仿宋_GB2312" w:eastAsia="仿宋_GB2312"/>
          <w:b/>
          <w:sz w:val="28"/>
          <w:szCs w:val="28"/>
          <w:highlight w:val="none"/>
        </w:rPr>
        <w:tab/>
      </w:r>
      <w:r>
        <w:rPr>
          <w:rFonts w:hint="eastAsia" w:ascii="仿宋_GB2312" w:eastAsia="仿宋_GB2312"/>
          <w:b/>
          <w:sz w:val="28"/>
          <w:szCs w:val="28"/>
          <w:highlight w:val="none"/>
        </w:rPr>
        <w:fldChar w:fldCharType="end"/>
      </w:r>
      <w:r>
        <w:rPr>
          <w:rFonts w:hint="eastAsia" w:ascii="仿宋_GB2312" w:eastAsia="仿宋_GB2312"/>
          <w:b/>
          <w:sz w:val="28"/>
          <w:szCs w:val="28"/>
          <w:highlight w:val="none"/>
          <w:lang w:val="en-US" w:eastAsia="zh-CN"/>
        </w:rPr>
        <w:t>4</w:t>
      </w:r>
    </w:p>
    <w:p>
      <w:pPr>
        <w:pStyle w:val="11"/>
        <w:tabs>
          <w:tab w:val="right" w:leader="dot" w:pos="8306"/>
        </w:tabs>
        <w:spacing w:beforeLines="0" w:afterLines="0" w:line="500" w:lineRule="exact"/>
        <w:ind w:firstLine="562" w:firstLineChars="200"/>
        <w:rPr>
          <w:rFonts w:hint="eastAsia" w:ascii="仿宋_GB2312" w:eastAsia="仿宋_GB2312"/>
          <w:b/>
          <w:sz w:val="28"/>
          <w:szCs w:val="28"/>
          <w:highlight w:val="none"/>
          <w:lang w:eastAsia="zh-CN"/>
        </w:rPr>
      </w:pPr>
      <w:r>
        <w:rPr>
          <w:rFonts w:hint="eastAsia" w:ascii="仿宋_GB2312" w:eastAsia="仿宋_GB2312"/>
          <w:b/>
          <w:sz w:val="28"/>
          <w:szCs w:val="28"/>
          <w:highlight w:val="none"/>
        </w:rPr>
        <w:fldChar w:fldCharType="begin"/>
      </w:r>
      <w:r>
        <w:rPr>
          <w:rFonts w:hint="eastAsia" w:ascii="仿宋_GB2312" w:eastAsia="仿宋_GB2312"/>
          <w:b/>
          <w:sz w:val="28"/>
          <w:szCs w:val="28"/>
          <w:highlight w:val="none"/>
        </w:rPr>
        <w:instrText xml:space="preserve"> HYPERLINK \l _Toc23647 </w:instrText>
      </w:r>
      <w:r>
        <w:rPr>
          <w:rFonts w:hint="eastAsia" w:ascii="仿宋_GB2312" w:eastAsia="仿宋_GB2312"/>
          <w:b/>
          <w:sz w:val="28"/>
          <w:szCs w:val="28"/>
          <w:highlight w:val="none"/>
        </w:rPr>
        <w:fldChar w:fldCharType="separate"/>
      </w:r>
      <w:r>
        <w:rPr>
          <w:rFonts w:hint="eastAsia" w:ascii="仿宋_GB2312" w:eastAsia="仿宋_GB2312"/>
          <w:b/>
          <w:sz w:val="28"/>
          <w:szCs w:val="28"/>
          <w:highlight w:val="none"/>
        </w:rPr>
        <w:t>估价结果报告</w:t>
      </w:r>
      <w:r>
        <w:rPr>
          <w:rFonts w:hint="eastAsia" w:ascii="仿宋_GB2312" w:eastAsia="仿宋_GB2312"/>
          <w:b/>
          <w:sz w:val="28"/>
          <w:szCs w:val="28"/>
          <w:highlight w:val="none"/>
        </w:rPr>
        <w:tab/>
      </w:r>
      <w:r>
        <w:rPr>
          <w:rFonts w:hint="eastAsia" w:ascii="仿宋_GB2312" w:eastAsia="仿宋_GB2312"/>
          <w:b/>
          <w:sz w:val="28"/>
          <w:szCs w:val="28"/>
          <w:highlight w:val="none"/>
        </w:rPr>
        <w:fldChar w:fldCharType="end"/>
      </w:r>
      <w:r>
        <w:rPr>
          <w:rFonts w:hint="eastAsia" w:ascii="仿宋_GB2312" w:eastAsia="仿宋_GB2312"/>
          <w:b/>
          <w:sz w:val="28"/>
          <w:szCs w:val="28"/>
          <w:highlight w:val="none"/>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_Toc10921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一、估价委托人</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_Toc22619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二、房地产估价机构</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_Toc6916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三、估价目的</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_Toc12639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四、估价对象</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_Toc26852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五、价值时点</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10</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_Toc23962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六、价值类型</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10</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_Toc9749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七、估价原则</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10</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_Toc24642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八、估价依据</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11</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_Toc8334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九、估价方法</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13</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_Toc18755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十、估价结果</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13</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_Toc4615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十一、估价人员</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14</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_Toc15046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十二、实地查勘期</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14</w:t>
      </w:r>
    </w:p>
    <w:p>
      <w:pPr>
        <w:pStyle w:val="11"/>
        <w:tabs>
          <w:tab w:val="right" w:leader="dot" w:pos="8306"/>
        </w:tabs>
        <w:spacing w:beforeLines="0" w:afterLines="0" w:line="500" w:lineRule="exact"/>
        <w:ind w:firstLine="560" w:firstLineChars="200"/>
        <w:rPr>
          <w:rFonts w:hint="eastAsia" w:ascii="仿宋_GB2312" w:eastAsia="仿宋_GB2312"/>
          <w:b/>
          <w:sz w:val="28"/>
          <w:szCs w:val="28"/>
          <w:highlight w:val="none"/>
          <w:lang w:val="en-US" w:eastAsia="zh-CN"/>
        </w:rPr>
      </w:pPr>
      <w:r>
        <w:rPr>
          <w:rFonts w:hint="eastAsia" w:ascii="仿宋_GB2312" w:eastAsia="仿宋_GB2312"/>
          <w:b w:val="0"/>
          <w:bCs/>
          <w:sz w:val="28"/>
          <w:szCs w:val="28"/>
          <w:highlight w:val="none"/>
        </w:rPr>
        <w:fldChar w:fldCharType="begin"/>
      </w:r>
      <w:r>
        <w:rPr>
          <w:rFonts w:hint="eastAsia" w:ascii="仿宋_GB2312" w:eastAsia="仿宋_GB2312"/>
          <w:b w:val="0"/>
          <w:bCs/>
          <w:sz w:val="28"/>
          <w:szCs w:val="28"/>
          <w:highlight w:val="none"/>
        </w:rPr>
        <w:instrText xml:space="preserve"> HYPERLINK \l _Toc24403 </w:instrText>
      </w:r>
      <w:r>
        <w:rPr>
          <w:rFonts w:hint="eastAsia" w:ascii="仿宋_GB2312" w:eastAsia="仿宋_GB2312"/>
          <w:b w:val="0"/>
          <w:bCs/>
          <w:sz w:val="28"/>
          <w:szCs w:val="28"/>
          <w:highlight w:val="none"/>
        </w:rPr>
        <w:fldChar w:fldCharType="separate"/>
      </w:r>
      <w:r>
        <w:rPr>
          <w:rFonts w:hint="eastAsia" w:ascii="仿宋_GB2312" w:hAnsi="Times New Roman" w:eastAsia="仿宋_GB2312" w:cs="Times New Roman"/>
          <w:b w:val="0"/>
          <w:bCs/>
          <w:sz w:val="28"/>
          <w:szCs w:val="28"/>
          <w:highlight w:val="none"/>
        </w:rPr>
        <w:t>十三、估价作业日期</w:t>
      </w:r>
      <w:r>
        <w:rPr>
          <w:rFonts w:hint="eastAsia" w:ascii="仿宋_GB2312" w:eastAsia="仿宋_GB2312"/>
          <w:b w:val="0"/>
          <w:bCs/>
          <w:sz w:val="28"/>
          <w:szCs w:val="28"/>
          <w:highlight w:val="none"/>
        </w:rPr>
        <w:tab/>
      </w:r>
      <w:r>
        <w:rPr>
          <w:rFonts w:hint="eastAsia" w:ascii="仿宋_GB2312" w:eastAsia="仿宋_GB2312"/>
          <w:b w:val="0"/>
          <w:bCs/>
          <w:sz w:val="28"/>
          <w:szCs w:val="28"/>
          <w:highlight w:val="none"/>
        </w:rPr>
        <w:fldChar w:fldCharType="end"/>
      </w:r>
      <w:r>
        <w:rPr>
          <w:rFonts w:hint="eastAsia" w:ascii="仿宋_GB2312" w:eastAsia="仿宋_GB2312"/>
          <w:b w:val="0"/>
          <w:bCs/>
          <w:sz w:val="28"/>
          <w:szCs w:val="28"/>
          <w:highlight w:val="none"/>
          <w:lang w:val="en-US" w:eastAsia="zh-CN"/>
        </w:rPr>
        <w:t>14</w:t>
      </w:r>
    </w:p>
    <w:p>
      <w:pPr>
        <w:pStyle w:val="11"/>
        <w:tabs>
          <w:tab w:val="right" w:leader="dot" w:pos="8306"/>
        </w:tabs>
        <w:spacing w:beforeLines="0" w:afterLines="0" w:line="500" w:lineRule="exact"/>
        <w:ind w:firstLine="562" w:firstLineChars="200"/>
        <w:rPr>
          <w:rFonts w:hint="eastAsia" w:ascii="仿宋_GB2312" w:eastAsia="仿宋_GB2312"/>
          <w:b/>
          <w:sz w:val="28"/>
          <w:szCs w:val="28"/>
          <w:highlight w:val="none"/>
          <w:lang w:val="en-US" w:eastAsia="zh-CN"/>
        </w:rPr>
      </w:pPr>
      <w:r>
        <w:rPr>
          <w:rFonts w:hint="eastAsia" w:ascii="仿宋_GB2312" w:eastAsia="仿宋_GB2312"/>
          <w:b/>
          <w:sz w:val="28"/>
          <w:szCs w:val="28"/>
          <w:highlight w:val="none"/>
        </w:rPr>
        <w:fldChar w:fldCharType="begin"/>
      </w:r>
      <w:r>
        <w:rPr>
          <w:rFonts w:hint="eastAsia" w:ascii="仿宋_GB2312" w:eastAsia="仿宋_GB2312"/>
          <w:b/>
          <w:sz w:val="28"/>
          <w:szCs w:val="28"/>
          <w:highlight w:val="none"/>
        </w:rPr>
        <w:instrText xml:space="preserve"> HYPERLINK \l _Toc12994 </w:instrText>
      </w:r>
      <w:r>
        <w:rPr>
          <w:rFonts w:hint="eastAsia" w:ascii="仿宋_GB2312" w:eastAsia="仿宋_GB2312"/>
          <w:b/>
          <w:sz w:val="28"/>
          <w:szCs w:val="28"/>
          <w:highlight w:val="none"/>
        </w:rPr>
        <w:fldChar w:fldCharType="separate"/>
      </w:r>
      <w:r>
        <w:rPr>
          <w:rFonts w:hint="eastAsia" w:ascii="仿宋_GB2312" w:hAnsi="Times New Roman" w:eastAsia="仿宋_GB2312" w:cs="Times New Roman"/>
          <w:b/>
          <w:bCs w:val="0"/>
          <w:sz w:val="28"/>
          <w:szCs w:val="28"/>
          <w:highlight w:val="none"/>
        </w:rPr>
        <w:t>附  件</w:t>
      </w:r>
      <w:r>
        <w:rPr>
          <w:rFonts w:hint="eastAsia" w:ascii="仿宋_GB2312" w:eastAsia="仿宋_GB2312"/>
          <w:b/>
          <w:sz w:val="28"/>
          <w:szCs w:val="28"/>
          <w:highlight w:val="none"/>
        </w:rPr>
        <w:tab/>
      </w:r>
      <w:r>
        <w:rPr>
          <w:rFonts w:hint="eastAsia" w:ascii="仿宋_GB2312" w:eastAsia="仿宋_GB2312"/>
          <w:b/>
          <w:sz w:val="28"/>
          <w:szCs w:val="28"/>
          <w:highlight w:val="none"/>
        </w:rPr>
        <w:fldChar w:fldCharType="end"/>
      </w:r>
      <w:r>
        <w:rPr>
          <w:rFonts w:hint="eastAsia" w:ascii="仿宋_GB2312" w:eastAsia="仿宋_GB2312"/>
          <w:b/>
          <w:sz w:val="28"/>
          <w:szCs w:val="28"/>
          <w:highlight w:val="none"/>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_Toc31272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一、</w:t>
      </w:r>
      <w:r>
        <w:rPr>
          <w:rFonts w:hint="default" w:ascii="Times New Roman" w:eastAsia="仿宋_GB2312" w:cs="Times New Roman"/>
          <w:b w:val="0"/>
          <w:bCs/>
          <w:sz w:val="28"/>
          <w:szCs w:val="28"/>
          <w:lang w:eastAsia="zh-CN"/>
        </w:rPr>
        <w:t>委托人</w:t>
      </w:r>
      <w:r>
        <w:rPr>
          <w:rFonts w:hint="default" w:ascii="Times New Roman" w:hAnsi="Times New Roman" w:eastAsia="仿宋_GB2312" w:cs="Times New Roman"/>
          <w:b w:val="0"/>
          <w:bCs/>
          <w:sz w:val="28"/>
          <w:szCs w:val="28"/>
        </w:rPr>
        <w:t>鉴定委托</w:t>
      </w:r>
      <w:r>
        <w:rPr>
          <w:rFonts w:hint="default" w:ascii="Times New Roman" w:eastAsia="仿宋_GB2312" w:cs="Times New Roman"/>
          <w:b w:val="0"/>
          <w:bCs/>
          <w:sz w:val="28"/>
          <w:szCs w:val="28"/>
          <w:lang w:eastAsia="zh-CN"/>
        </w:rPr>
        <w:t>书及</w:t>
      </w:r>
      <w:r>
        <w:rPr>
          <w:rFonts w:hint="default" w:ascii="Times New Roman" w:hAnsi="Times New Roman" w:eastAsia="仿宋_GB2312" w:cs="Times New Roman"/>
          <w:b w:val="0"/>
          <w:bCs/>
          <w:sz w:val="28"/>
          <w:szCs w:val="28"/>
        </w:rPr>
        <w:t>鉴定委托函复印件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_Toc29842 </w:instrText>
      </w:r>
      <w:r>
        <w:rPr>
          <w:rFonts w:hint="default" w:ascii="Times New Roman" w:eastAsia="仿宋_GB2312"/>
          <w:b w:val="0"/>
          <w:bCs/>
          <w:sz w:val="28"/>
          <w:szCs w:val="28"/>
        </w:rPr>
        <w:fldChar w:fldCharType="separate"/>
      </w:r>
      <w:r>
        <w:rPr>
          <w:rFonts w:hint="eastAsia" w:eastAsia="仿宋_GB2312" w:cs="Times New Roman"/>
          <w:b w:val="0"/>
          <w:bCs/>
          <w:sz w:val="28"/>
          <w:szCs w:val="28"/>
          <w:lang w:eastAsia="zh-CN"/>
        </w:rPr>
        <w:t>二</w:t>
      </w:r>
      <w:r>
        <w:rPr>
          <w:rFonts w:hint="default" w:ascii="Times New Roman" w:hAnsi="Times New Roman" w:eastAsia="仿宋_GB2312" w:cs="Times New Roman"/>
          <w:b w:val="0"/>
          <w:bCs/>
          <w:sz w:val="28"/>
          <w:szCs w:val="28"/>
        </w:rPr>
        <w:t>、</w:t>
      </w:r>
      <w:r>
        <w:rPr>
          <w:rFonts w:hint="eastAsia" w:eastAsia="仿宋_GB2312" w:cs="Times New Roman"/>
          <w:b w:val="0"/>
          <w:bCs/>
          <w:sz w:val="28"/>
          <w:szCs w:val="28"/>
          <w:lang w:eastAsia="zh-CN"/>
        </w:rPr>
        <w:t>委托人提供的房屋权属证明复印件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_Toc29842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三、估价对象地理位置示意图</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_Toc24344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四、估价对象相关照片</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_Toc24809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五、估价机构营业执照复印件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_Toc27448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六、估价机构资质证书复印件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_Toc24883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七、注册房地产估价师证书复印件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jc w:val="left"/>
        <w:rPr>
          <w:rFonts w:hint="eastAsia" w:ascii="黑体" w:hAnsi="黑体" w:eastAsia="黑体" w:cs="黑体"/>
          <w:b/>
          <w:bCs/>
          <w:sz w:val="44"/>
          <w:szCs w:val="44"/>
          <w:highlight w:val="none"/>
        </w:rPr>
        <w:sectPr>
          <w:headerReference r:id="rId4" w:type="default"/>
          <w:footerReference r:id="rId5" w:type="default"/>
          <w:pgSz w:w="11906" w:h="16838"/>
          <w:pgMar w:top="1440" w:right="1800" w:bottom="1440" w:left="1800" w:header="1020" w:footer="992" w:gutter="0"/>
          <w:pgNumType w:start="1"/>
          <w:cols w:space="720" w:num="1"/>
          <w:docGrid w:type="lines" w:linePitch="312" w:charSpace="0"/>
        </w:sectPr>
      </w:pPr>
      <w:r>
        <w:rPr>
          <w:rFonts w:hint="eastAsia" w:ascii="仿宋_GB2312" w:eastAsia="仿宋_GB2312"/>
          <w:b/>
          <w:sz w:val="28"/>
          <w:szCs w:val="28"/>
          <w:highlight w:val="none"/>
        </w:rPr>
        <w:fldChar w:fldCharType="end"/>
      </w:r>
    </w:p>
    <w:p>
      <w:pPr>
        <w:pStyle w:val="11"/>
        <w:tabs>
          <w:tab w:val="right" w:leader="dot" w:pos="8306"/>
        </w:tabs>
        <w:spacing w:beforeLines="0" w:afterLines="0" w:line="480" w:lineRule="exact"/>
        <w:jc w:val="center"/>
        <w:rPr>
          <w:rFonts w:hint="eastAsia" w:ascii="黑体" w:hAnsi="黑体" w:eastAsia="黑体" w:cs="黑体"/>
          <w:b/>
          <w:bCs/>
          <w:sz w:val="44"/>
          <w:szCs w:val="44"/>
        </w:rPr>
      </w:pPr>
    </w:p>
    <w:p>
      <w:pPr>
        <w:pStyle w:val="11"/>
        <w:tabs>
          <w:tab w:val="right" w:leader="dot" w:pos="8306"/>
        </w:tabs>
        <w:spacing w:beforeLines="0" w:afterLines="0" w:line="480" w:lineRule="exact"/>
        <w:jc w:val="center"/>
        <w:rPr>
          <w:rFonts w:ascii="黑体" w:hAnsi="黑体" w:eastAsia="黑体" w:cs="黑体"/>
          <w:b/>
          <w:bCs/>
          <w:sz w:val="44"/>
          <w:szCs w:val="44"/>
        </w:rPr>
      </w:pPr>
      <w:r>
        <w:rPr>
          <w:rFonts w:hint="eastAsia" w:ascii="黑体" w:hAnsi="黑体" w:eastAsia="黑体" w:cs="黑体"/>
          <w:b/>
          <w:bCs/>
          <w:sz w:val="44"/>
          <w:szCs w:val="44"/>
        </w:rPr>
        <w:t>致估价委托人函</w:t>
      </w:r>
    </w:p>
    <w:p>
      <w:pPr>
        <w:spacing w:beforeLines="100" w:line="480" w:lineRule="exact"/>
        <w:rPr>
          <w:rFonts w:ascii="仿宋_GB2312" w:hAnsi="宋体" w:eastAsia="仿宋_GB2312" w:cs="宋体"/>
          <w:b/>
          <w:sz w:val="28"/>
          <w:szCs w:val="28"/>
        </w:rPr>
      </w:pPr>
      <w:r>
        <w:rPr>
          <w:rFonts w:hint="eastAsia" w:ascii="仿宋_GB2312" w:hAnsi="宋体" w:eastAsia="仿宋_GB2312" w:cs="宋体"/>
          <w:b/>
          <w:sz w:val="28"/>
          <w:szCs w:val="28"/>
          <w:lang w:eastAsia="zh-CN"/>
        </w:rPr>
        <w:t>潍坊高新技术产业开发区人民法院</w:t>
      </w:r>
      <w:r>
        <w:rPr>
          <w:rFonts w:hint="eastAsia" w:ascii="仿宋_GB2312" w:hAnsi="宋体" w:eastAsia="仿宋_GB2312" w:cs="宋体"/>
          <w:b/>
          <w:sz w:val="28"/>
          <w:szCs w:val="28"/>
        </w:rPr>
        <w:t>：</w:t>
      </w:r>
    </w:p>
    <w:p>
      <w:pPr>
        <w:spacing w:line="48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受贵院委托，我公司于</w:t>
      </w: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r>
        <w:rPr>
          <w:rFonts w:hint="eastAsia" w:ascii="仿宋_GB2312" w:hAnsi="宋体" w:eastAsia="仿宋_GB2312" w:cs="宋体"/>
          <w:sz w:val="28"/>
          <w:szCs w:val="28"/>
        </w:rPr>
        <w:t>派出注册房地产估价师</w:t>
      </w:r>
      <w:r>
        <w:rPr>
          <w:rFonts w:ascii="仿宋_GB2312" w:hAnsi="宋体" w:eastAsia="仿宋_GB2312" w:cs="宋体"/>
          <w:sz w:val="28"/>
          <w:szCs w:val="28"/>
        </w:rPr>
        <w:t>,</w:t>
      </w:r>
      <w:r>
        <w:rPr>
          <w:rFonts w:hint="eastAsia" w:ascii="仿宋_GB2312" w:hAnsi="宋体" w:eastAsia="仿宋_GB2312" w:cs="宋体"/>
          <w:sz w:val="28"/>
          <w:szCs w:val="28"/>
        </w:rPr>
        <w:t>对</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2号楼06室</w:t>
      </w:r>
      <w:r>
        <w:rPr>
          <w:rFonts w:hint="eastAsia" w:ascii="仿宋_GB2312" w:hAnsi="宋体" w:eastAsia="仿宋_GB2312" w:cs="宋体"/>
          <w:sz w:val="28"/>
          <w:szCs w:val="28"/>
          <w:lang w:eastAsia="zh-CN"/>
        </w:rPr>
        <w:t>房地产</w:t>
      </w:r>
      <w:r>
        <w:rPr>
          <w:rFonts w:hint="eastAsia" w:ascii="仿宋_GB2312" w:hAnsi="宋体" w:eastAsia="仿宋_GB2312" w:cs="宋体"/>
          <w:sz w:val="28"/>
          <w:szCs w:val="28"/>
        </w:rPr>
        <w:t>进行了实地查勘、市场调查和测算，为贵院申请执行人</w:t>
      </w:r>
      <w:r>
        <w:rPr>
          <w:rFonts w:hint="eastAsia" w:ascii="仿宋_GB2312" w:hAnsi="宋体" w:eastAsia="仿宋_GB2312" w:cs="宋体"/>
          <w:sz w:val="28"/>
          <w:szCs w:val="28"/>
          <w:lang w:eastAsia="zh-CN"/>
        </w:rPr>
        <w:t>潍坊农村商业银行股份有限公司高新支行</w:t>
      </w:r>
      <w:r>
        <w:rPr>
          <w:rFonts w:hint="eastAsia" w:ascii="仿宋_GB2312" w:hAnsi="宋体" w:eastAsia="仿宋_GB2312" w:cs="宋体"/>
          <w:sz w:val="28"/>
          <w:szCs w:val="28"/>
        </w:rPr>
        <w:t>与被执行人</w:t>
      </w:r>
      <w:r>
        <w:rPr>
          <w:rFonts w:hint="eastAsia" w:ascii="仿宋_GB2312" w:hAnsi="宋体" w:eastAsia="仿宋_GB2312" w:cs="宋体"/>
          <w:sz w:val="28"/>
          <w:szCs w:val="28"/>
          <w:lang w:eastAsia="zh-CN"/>
        </w:rPr>
        <w:t>潍坊逸飞工程配套有限公司、徐红兵金融借款合同纠纷一案</w:t>
      </w:r>
      <w:r>
        <w:rPr>
          <w:rFonts w:hint="eastAsia" w:ascii="仿宋_GB2312" w:hAnsi="宋体" w:eastAsia="仿宋_GB2312" w:cs="宋体"/>
          <w:sz w:val="28"/>
          <w:szCs w:val="28"/>
        </w:rPr>
        <w:t>提供价值参考而评估估价对象市场价值。</w:t>
      </w:r>
    </w:p>
    <w:p>
      <w:pPr>
        <w:tabs>
          <w:tab w:val="left" w:pos="7114"/>
        </w:tabs>
        <w:spacing w:line="480" w:lineRule="exact"/>
        <w:ind w:left="57" w:firstLine="562" w:firstLineChars="200"/>
        <w:rPr>
          <w:rFonts w:ascii="仿宋_GB2312" w:hAnsi="宋体" w:eastAsia="仿宋_GB2312" w:cs="宋体"/>
          <w:sz w:val="28"/>
          <w:szCs w:val="28"/>
        </w:rPr>
      </w:pPr>
      <w:r>
        <w:rPr>
          <w:rFonts w:hint="eastAsia" w:ascii="仿宋_GB2312" w:hAnsi="宋体" w:eastAsia="仿宋_GB2312" w:cs="宋体"/>
          <w:b/>
          <w:bCs/>
          <w:sz w:val="28"/>
          <w:szCs w:val="28"/>
        </w:rPr>
        <w:t>估价目的</w:t>
      </w:r>
      <w:r>
        <w:rPr>
          <w:rFonts w:hint="eastAsia" w:ascii="仿宋_GB2312" w:hAnsi="宋体" w:eastAsia="仿宋_GB2312" w:cs="宋体"/>
          <w:bCs/>
          <w:sz w:val="28"/>
          <w:szCs w:val="28"/>
        </w:rPr>
        <w:t>：</w:t>
      </w:r>
      <w:r>
        <w:rPr>
          <w:rFonts w:hint="eastAsia" w:ascii="仿宋_GB2312" w:hAnsi="宋体" w:eastAsia="仿宋_GB2312" w:cs="宋体"/>
          <w:sz w:val="28"/>
          <w:szCs w:val="28"/>
        </w:rPr>
        <w:t>为司法拍卖（变卖）房地产提供市场价值参考依据。</w:t>
      </w:r>
    </w:p>
    <w:p>
      <w:pPr>
        <w:pStyle w:val="29"/>
        <w:spacing w:beforeLines="0" w:afterLines="0" w:line="460" w:lineRule="exact"/>
        <w:ind w:firstLine="570"/>
        <w:jc w:val="left"/>
        <w:rPr>
          <w:rFonts w:hint="eastAsia" w:ascii="仿宋_GB2312" w:hAnsi="宋体" w:eastAsia="仿宋_GB2312" w:cs="宋体"/>
          <w:sz w:val="28"/>
          <w:szCs w:val="28"/>
          <w:lang w:val="en-US" w:eastAsia="zh-CN"/>
        </w:rPr>
      </w:pPr>
      <w:r>
        <w:rPr>
          <w:rFonts w:hint="eastAsia" w:ascii="仿宋_GB2312" w:hAnsi="宋体" w:eastAsia="仿宋_GB2312" w:cs="宋体"/>
          <w:b/>
          <w:sz w:val="28"/>
          <w:szCs w:val="28"/>
        </w:rPr>
        <w:t>估价对象</w:t>
      </w:r>
      <w:r>
        <w:rPr>
          <w:rFonts w:hint="eastAsia" w:ascii="仿宋_GB2312" w:hAnsi="宋体" w:eastAsia="仿宋_GB2312" w:cs="宋体"/>
          <w:sz w:val="28"/>
          <w:szCs w:val="28"/>
        </w:rPr>
        <w:t>：委估对象为被执行人</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2号楼06室房屋</w:t>
      </w:r>
      <w:r>
        <w:rPr>
          <w:rFonts w:hint="eastAsia" w:ascii="仿宋_GB2312" w:hAnsi="宋体" w:eastAsia="仿宋_GB2312" w:cs="宋体"/>
          <w:sz w:val="28"/>
          <w:szCs w:val="28"/>
          <w:lang w:val="en-US" w:eastAsia="zh-CN"/>
        </w:rPr>
        <w:t>（不动产权证号为潍房权证市属字第00294647号），规划用途为商业用房，证载建筑面积为142.63平方米。</w:t>
      </w:r>
    </w:p>
    <w:p>
      <w:pPr>
        <w:spacing w:line="480" w:lineRule="exact"/>
        <w:ind w:firstLine="570"/>
        <w:rPr>
          <w:rFonts w:ascii="仿宋_GB2312" w:hAnsi="宋体" w:eastAsia="仿宋_GB2312" w:cs="宋体"/>
          <w:sz w:val="28"/>
          <w:szCs w:val="28"/>
        </w:rPr>
      </w:pPr>
      <w:r>
        <w:rPr>
          <w:rFonts w:hint="eastAsia" w:ascii="仿宋_GB2312" w:hAnsi="宋体" w:eastAsia="仿宋_GB2312" w:cs="宋体"/>
          <w:b/>
          <w:sz w:val="28"/>
          <w:szCs w:val="28"/>
        </w:rPr>
        <w:t>价值时点</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rPr>
        <w:t>此日期为实地查勘开始日期。</w:t>
      </w:r>
    </w:p>
    <w:p>
      <w:pPr>
        <w:spacing w:line="480" w:lineRule="exact"/>
        <w:ind w:firstLine="570"/>
        <w:rPr>
          <w:rFonts w:ascii="仿宋_GB2312" w:hAnsi="宋体" w:eastAsia="仿宋_GB2312" w:cs="宋体"/>
          <w:sz w:val="28"/>
          <w:szCs w:val="28"/>
        </w:rPr>
      </w:pPr>
      <w:r>
        <w:rPr>
          <w:rFonts w:hint="eastAsia" w:ascii="仿宋_GB2312" w:hAnsi="宋体" w:eastAsia="仿宋_GB2312" w:cs="宋体"/>
          <w:b/>
          <w:sz w:val="28"/>
          <w:szCs w:val="28"/>
        </w:rPr>
        <w:t>价值类型</w:t>
      </w:r>
      <w:r>
        <w:rPr>
          <w:rFonts w:hint="eastAsia" w:ascii="仿宋_GB2312" w:hAnsi="宋体" w:eastAsia="仿宋_GB2312" w:cs="宋体"/>
          <w:sz w:val="28"/>
          <w:szCs w:val="28"/>
        </w:rPr>
        <w:t>：市场价值，是指估价对象由熟悉情况的交易双方以公平交易方式在价值时点自愿进行交易的金额。</w:t>
      </w:r>
    </w:p>
    <w:p>
      <w:pPr>
        <w:spacing w:line="480" w:lineRule="exact"/>
        <w:ind w:firstLine="570"/>
        <w:rPr>
          <w:rFonts w:ascii="仿宋_GB2312" w:hAnsi="宋体" w:eastAsia="仿宋_GB2312" w:cs="宋体"/>
          <w:sz w:val="28"/>
          <w:szCs w:val="28"/>
        </w:rPr>
      </w:pPr>
      <w:r>
        <w:rPr>
          <w:rFonts w:hint="eastAsia" w:ascii="仿宋_GB2312" w:hAnsi="宋体" w:eastAsia="仿宋_GB2312" w:cs="宋体"/>
          <w:b/>
          <w:sz w:val="28"/>
          <w:szCs w:val="28"/>
        </w:rPr>
        <w:t>估价方法</w:t>
      </w:r>
      <w:r>
        <w:rPr>
          <w:rFonts w:hint="eastAsia" w:ascii="仿宋_GB2312" w:hAnsi="宋体" w:eastAsia="仿宋_GB2312" w:cs="宋体"/>
          <w:sz w:val="28"/>
          <w:szCs w:val="28"/>
        </w:rPr>
        <w:t>：比较法。</w:t>
      </w:r>
    </w:p>
    <w:p>
      <w:pPr>
        <w:pStyle w:val="29"/>
        <w:spacing w:beforeLines="0" w:afterLines="0" w:line="460" w:lineRule="exact"/>
        <w:ind w:firstLine="562" w:firstLineChars="200"/>
        <w:jc w:val="left"/>
        <w:rPr>
          <w:rFonts w:ascii="仿宋_GB2312" w:hAnsi="Times New Roman" w:eastAsia="仿宋_GB2312" w:cs="Times New Roman"/>
          <w:kern w:val="2"/>
          <w:sz w:val="28"/>
          <w:szCs w:val="28"/>
        </w:rPr>
      </w:pPr>
      <w:r>
        <w:rPr>
          <w:rFonts w:hint="eastAsia" w:ascii="仿宋_GB2312" w:hAnsi="宋体" w:eastAsia="仿宋_GB2312" w:cs="宋体"/>
          <w:b/>
          <w:sz w:val="28"/>
          <w:szCs w:val="28"/>
        </w:rPr>
        <w:t>估价结果</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潍坊高新技术产业开发区人民法院委托</w:t>
      </w:r>
      <w:r>
        <w:rPr>
          <w:rFonts w:hint="eastAsia" w:ascii="仿宋_GB2312" w:hAnsi="宋体" w:eastAsia="仿宋_GB2312" w:cs="宋体"/>
          <w:sz w:val="28"/>
          <w:szCs w:val="28"/>
        </w:rPr>
        <w:t>评估的</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2号楼06室</w:t>
      </w:r>
      <w:r>
        <w:rPr>
          <w:rFonts w:hint="default" w:ascii="仿宋_GB2312" w:hAnsi="Times New Roman" w:eastAsia="仿宋_GB2312" w:cs="Times New Roman"/>
          <w:sz w:val="28"/>
          <w:szCs w:val="28"/>
          <w:lang w:eastAsia="zh-CN"/>
        </w:rPr>
        <w:t>房地产</w:t>
      </w:r>
      <w:r>
        <w:rPr>
          <w:rFonts w:hint="default" w:ascii="仿宋_GB2312" w:hAnsi="Times New Roman" w:eastAsia="仿宋_GB2312" w:cs="Times New Roman"/>
          <w:sz w:val="28"/>
          <w:szCs w:val="28"/>
        </w:rPr>
        <w:t>在价值时点</w:t>
      </w:r>
      <w:r>
        <w:rPr>
          <w:rFonts w:hint="eastAsia" w:ascii="仿宋_GB2312" w:eastAsia="仿宋_GB2312" w:cs="Times New Roman"/>
          <w:sz w:val="28"/>
          <w:szCs w:val="28"/>
          <w:lang w:eastAsia="zh-CN"/>
        </w:rPr>
        <w:t>201</w:t>
      </w:r>
      <w:r>
        <w:rPr>
          <w:rFonts w:hint="eastAsia" w:ascii="仿宋_GB2312" w:eastAsia="仿宋_GB2312" w:cs="Times New Roman"/>
          <w:sz w:val="28"/>
          <w:szCs w:val="28"/>
          <w:lang w:val="en-US" w:eastAsia="zh-CN"/>
        </w:rPr>
        <w:t>9</w:t>
      </w:r>
      <w:r>
        <w:rPr>
          <w:rFonts w:hint="eastAsia" w:ascii="仿宋_GB2312" w:eastAsia="仿宋_GB2312" w:cs="Times New Roman"/>
          <w:sz w:val="28"/>
          <w:szCs w:val="28"/>
          <w:lang w:eastAsia="zh-CN"/>
        </w:rPr>
        <w:t>年</w:t>
      </w:r>
      <w:r>
        <w:rPr>
          <w:rFonts w:hint="eastAsia" w:ascii="仿宋_GB2312" w:eastAsia="仿宋_GB2312" w:cs="Times New Roman"/>
          <w:sz w:val="28"/>
          <w:szCs w:val="28"/>
          <w:lang w:val="en-US" w:eastAsia="zh-CN"/>
        </w:rPr>
        <w:t>01</w:t>
      </w:r>
      <w:r>
        <w:rPr>
          <w:rFonts w:hint="eastAsia" w:ascii="仿宋_GB2312" w:eastAsia="仿宋_GB2312" w:cs="Times New Roman"/>
          <w:sz w:val="28"/>
          <w:szCs w:val="28"/>
          <w:lang w:eastAsia="zh-CN"/>
        </w:rPr>
        <w:t>月</w:t>
      </w:r>
      <w:r>
        <w:rPr>
          <w:rFonts w:hint="eastAsia" w:ascii="仿宋_GB2312" w:eastAsia="仿宋_GB2312" w:cs="Times New Roman"/>
          <w:sz w:val="28"/>
          <w:szCs w:val="28"/>
          <w:lang w:val="en-US" w:eastAsia="zh-CN"/>
        </w:rPr>
        <w:t>02</w:t>
      </w:r>
      <w:r>
        <w:rPr>
          <w:rFonts w:hint="eastAsia" w:ascii="仿宋_GB2312" w:eastAsia="仿宋_GB2312" w:cs="Times New Roman"/>
          <w:sz w:val="28"/>
          <w:szCs w:val="28"/>
          <w:lang w:eastAsia="zh-CN"/>
        </w:rPr>
        <w:t>日</w:t>
      </w:r>
      <w:r>
        <w:rPr>
          <w:rFonts w:hint="default" w:ascii="仿宋_GB2312" w:hAnsi="Times New Roman" w:eastAsia="仿宋_GB2312" w:cs="Times New Roman"/>
          <w:sz w:val="28"/>
          <w:szCs w:val="28"/>
        </w:rPr>
        <w:t>的</w:t>
      </w:r>
      <w:r>
        <w:rPr>
          <w:rFonts w:hint="eastAsia" w:ascii="仿宋_GB2312" w:eastAsia="仿宋_GB2312" w:cs="Times New Roman"/>
          <w:sz w:val="28"/>
          <w:szCs w:val="28"/>
          <w:lang w:eastAsia="zh-CN"/>
        </w:rPr>
        <w:t>评估</w:t>
      </w:r>
      <w:r>
        <w:rPr>
          <w:rFonts w:hint="default" w:ascii="仿宋_GB2312" w:hAnsi="Times New Roman" w:eastAsia="仿宋_GB2312" w:cs="Times New Roman"/>
          <w:sz w:val="28"/>
          <w:szCs w:val="28"/>
        </w:rPr>
        <w:t>价值</w:t>
      </w:r>
      <w:r>
        <w:rPr>
          <w:rFonts w:hint="eastAsia" w:ascii="仿宋_GB2312" w:eastAsia="仿宋_GB2312" w:cs="Times New Roman"/>
          <w:sz w:val="28"/>
          <w:szCs w:val="28"/>
          <w:lang w:eastAsia="zh-CN"/>
        </w:rPr>
        <w:t>共计</w:t>
      </w:r>
      <w:r>
        <w:rPr>
          <w:rFonts w:hint="eastAsia" w:ascii="仿宋_GB2312" w:hAnsi="仿宋_GB2312" w:eastAsia="仿宋_GB2312" w:cs="仿宋_GB2312"/>
          <w:color w:val="000000"/>
          <w:sz w:val="28"/>
          <w:szCs w:val="28"/>
          <w:lang w:val="en-US" w:eastAsia="zh-CN"/>
        </w:rPr>
        <w:t>1,283,670.00</w:t>
      </w:r>
      <w:r>
        <w:rPr>
          <w:rFonts w:hint="eastAsia" w:ascii="仿宋_GB2312" w:hAnsi="仿宋_GB2312" w:eastAsia="仿宋_GB2312" w:cs="仿宋_GB2312"/>
          <w:sz w:val="28"/>
          <w:szCs w:val="28"/>
        </w:rPr>
        <w:t>元，总价大写：人民币</w:t>
      </w:r>
      <w:r>
        <w:rPr>
          <w:rFonts w:hint="eastAsia" w:ascii="仿宋_GB2312" w:hAnsi="仿宋_GB2312" w:eastAsia="仿宋_GB2312" w:cs="仿宋_GB2312"/>
          <w:sz w:val="28"/>
          <w:szCs w:val="28"/>
          <w:lang w:val="en-US" w:eastAsia="zh-CN"/>
        </w:rPr>
        <w:t>壹佰贰拾捌万叁仟陆佰柒拾元整</w:t>
      </w:r>
      <w:r>
        <w:rPr>
          <w:rFonts w:hint="default" w:ascii="仿宋_GB2312" w:hAnsi="Times New Roman" w:eastAsia="仿宋_GB2312"/>
          <w:sz w:val="28"/>
          <w:szCs w:val="28"/>
        </w:rPr>
        <w:t>。</w:t>
      </w:r>
      <w:r>
        <w:rPr>
          <w:rFonts w:hint="eastAsia" w:ascii="仿宋_GB2312" w:eastAsia="仿宋_GB2312"/>
          <w:sz w:val="28"/>
          <w:szCs w:val="28"/>
          <w:lang w:eastAsia="zh-CN"/>
        </w:rPr>
        <w:t>（本价值包含相应土地使用权价值）</w:t>
      </w:r>
    </w:p>
    <w:p>
      <w:pPr>
        <w:spacing w:before="0" w:beforeLines="-2147483648" w:after="0" w:afterLines="-2147483648" w:line="480" w:lineRule="exact"/>
        <w:ind w:firstLine="570" w:firstLineChars="0"/>
        <w:rPr>
          <w:rFonts w:hint="eastAsia" w:ascii="仿宋_GB2312" w:hAnsi="宋体" w:eastAsia="仿宋_GB2312" w:cs="宋体"/>
          <w:sz w:val="28"/>
          <w:szCs w:val="28"/>
        </w:rPr>
      </w:pPr>
      <w:r>
        <w:rPr>
          <w:rFonts w:hint="eastAsia" w:ascii="仿宋_GB2312" w:hAnsi="宋体" w:eastAsia="仿宋_GB2312" w:cs="宋体"/>
          <w:sz w:val="28"/>
          <w:szCs w:val="28"/>
        </w:rPr>
        <w:t>欲了解本次估价项目全面情况，请详见估价结果报告，报告使用时请特别关注估价假设和限制条件等内容。</w:t>
      </w:r>
      <w:r>
        <w:rPr>
          <w:rFonts w:ascii="仿宋_GB2312" w:hAnsi="宋体" w:eastAsia="仿宋_GB2312" w:cs="宋体"/>
          <w:sz w:val="28"/>
          <w:szCs w:val="28"/>
        </w:rPr>
        <w:t xml:space="preserve"> </w:t>
      </w:r>
    </w:p>
    <w:p>
      <w:pPr>
        <w:spacing w:before="157" w:beforeLines="50" w:after="157" w:afterLines="50" w:line="480" w:lineRule="exact"/>
        <w:ind w:firstLine="5090" w:firstLineChars="1818"/>
        <w:rPr>
          <w:rFonts w:ascii="仿宋_GB2312" w:hAnsi="宋体" w:eastAsia="仿宋_GB2312" w:cs="宋体"/>
          <w:sz w:val="28"/>
          <w:szCs w:val="28"/>
        </w:rPr>
      </w:pPr>
      <w:r>
        <w:rPr>
          <w:rFonts w:hint="eastAsia" w:ascii="仿宋_GB2312" w:hAnsi="宋体" w:eastAsia="仿宋_GB2312" w:cs="宋体"/>
          <w:sz w:val="28"/>
          <w:szCs w:val="28"/>
        </w:rPr>
        <w:t>法定代表人：</w:t>
      </w:r>
    </w:p>
    <w:p>
      <w:pPr>
        <w:spacing w:line="480" w:lineRule="exact"/>
        <w:ind w:firstLine="0" w:firstLineChars="0"/>
        <w:jc w:val="right"/>
        <w:rPr>
          <w:rFonts w:hint="eastAsia" w:ascii="仿宋_GB2312" w:hAnsi="宋体" w:eastAsia="仿宋_GB2312" w:cs="宋体"/>
          <w:sz w:val="28"/>
          <w:szCs w:val="28"/>
          <w:lang w:eastAsia="zh-CN"/>
        </w:rPr>
      </w:pPr>
      <w:r>
        <w:rPr>
          <w:rFonts w:hint="eastAsia" w:ascii="仿宋_GB2312" w:hAnsi="宋体" w:eastAsia="仿宋_GB2312" w:cs="宋体"/>
          <w:sz w:val="28"/>
          <w:szCs w:val="28"/>
        </w:rPr>
        <w:t>山东富润土地房地产资产评估有</w:t>
      </w:r>
      <w:r>
        <w:rPr>
          <w:rFonts w:hint="eastAsia" w:ascii="仿宋_GB2312" w:hAnsi="宋体" w:eastAsia="仿宋_GB2312" w:cs="宋体"/>
          <w:sz w:val="28"/>
          <w:szCs w:val="28"/>
          <w:lang w:eastAsia="zh-CN"/>
        </w:rPr>
        <w:t>限公司</w:t>
      </w:r>
    </w:p>
    <w:p>
      <w:pPr>
        <w:spacing w:beforeLines="-2147483648" w:line="480" w:lineRule="exact"/>
        <w:ind w:firstLine="3259" w:firstLineChars="1164"/>
        <w:jc w:val="left"/>
        <w:outlineLvl w:val="9"/>
        <w:rPr>
          <w:rFonts w:hint="eastAsia" w:ascii="黑体" w:hAnsi="黑体" w:eastAsia="黑体" w:cs="黑体"/>
          <w:b/>
          <w:bCs/>
          <w:sz w:val="44"/>
          <w:szCs w:val="44"/>
        </w:rPr>
      </w:pPr>
      <w:r>
        <w:rPr>
          <w:rFonts w:hint="eastAsia" w:ascii="仿宋_GB2312" w:hAnsi="宋体" w:eastAsia="仿宋_GB2312" w:cs="宋体"/>
          <w:sz w:val="28"/>
          <w:szCs w:val="28"/>
          <w:highlight w:val="none"/>
          <w:lang w:eastAsia="zh-CN"/>
        </w:rPr>
        <w:t xml:space="preserve"> </w:t>
      </w:r>
      <w:r>
        <w:rPr>
          <w:rFonts w:hint="eastAsia" w:ascii="仿宋_GB2312" w:hAnsi="宋体" w:eastAsia="仿宋_GB2312" w:cs="宋体"/>
          <w:sz w:val="28"/>
          <w:szCs w:val="28"/>
          <w:highlight w:val="none"/>
          <w:lang w:val="en-US" w:eastAsia="zh-CN"/>
        </w:rPr>
        <w:t xml:space="preserve">         </w:t>
      </w:r>
      <w:bookmarkStart w:id="0" w:name="_Toc9625"/>
      <w:r>
        <w:rPr>
          <w:rFonts w:hint="eastAsia" w:ascii="仿宋_GB2312" w:hAnsi="宋体" w:eastAsia="仿宋_GB2312" w:cs="宋体"/>
          <w:sz w:val="28"/>
          <w:szCs w:val="28"/>
          <w:highlight w:val="none"/>
          <w:lang w:eastAsia="zh-CN"/>
        </w:rPr>
        <w:t>二〇一九年一月十四日</w:t>
      </w:r>
    </w:p>
    <w:p>
      <w:pPr>
        <w:spacing w:beforeLines="50"/>
        <w:jc w:val="center"/>
        <w:outlineLvl w:val="0"/>
        <w:rPr>
          <w:rFonts w:hint="eastAsia" w:ascii="黑体" w:hAnsi="黑体" w:eastAsia="黑体" w:cs="黑体"/>
          <w:b/>
          <w:bCs/>
          <w:sz w:val="44"/>
          <w:szCs w:val="44"/>
        </w:rPr>
      </w:pPr>
    </w:p>
    <w:p>
      <w:pPr>
        <w:spacing w:beforeLines="50"/>
        <w:jc w:val="center"/>
        <w:outlineLvl w:val="0"/>
        <w:rPr>
          <w:rFonts w:ascii="黑体" w:hAnsi="黑体" w:eastAsia="黑体" w:cs="黑体"/>
          <w:b/>
          <w:bCs/>
          <w:sz w:val="44"/>
          <w:szCs w:val="44"/>
        </w:rPr>
      </w:pPr>
      <w:bookmarkStart w:id="1" w:name="_Toc17197"/>
      <w:bookmarkStart w:id="2" w:name="_Toc16881"/>
      <w:r>
        <w:rPr>
          <w:rFonts w:hint="eastAsia" w:ascii="黑体" w:hAnsi="黑体" w:eastAsia="黑体" w:cs="黑体"/>
          <w:b/>
          <w:bCs/>
          <w:sz w:val="44"/>
          <w:szCs w:val="44"/>
        </w:rPr>
        <w:t>估价师声明</w:t>
      </w:r>
      <w:bookmarkEnd w:id="0"/>
      <w:bookmarkEnd w:id="1"/>
      <w:bookmarkEnd w:id="2"/>
    </w:p>
    <w:p>
      <w:pPr>
        <w:spacing w:beforeLines="50" w:line="360" w:lineRule="auto"/>
        <w:rPr>
          <w:rFonts w:ascii="仿宋_GB2312" w:hAnsi="宋体" w:eastAsia="仿宋_GB2312" w:cs="宋体"/>
          <w:sz w:val="28"/>
          <w:szCs w:val="28"/>
        </w:rPr>
      </w:pPr>
      <w:r>
        <w:rPr>
          <w:rFonts w:hint="eastAsia" w:ascii="仿宋_GB2312" w:hAnsi="宋体" w:eastAsia="仿宋_GB2312" w:cs="宋体"/>
          <w:sz w:val="28"/>
          <w:szCs w:val="28"/>
        </w:rPr>
        <w:t>我们郑重声明：</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、注册房地产估价师在估价报告中对事实的说明是真实和准确的，没有虚假记载、误导性陈述和重大遗漏。</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、估价报告中的分析、意见和结论是注册房地产估价师独立、客观、公正的专业分析、意见和结论，但受到估价报告中已说明的估价假设和限制条件的限制。</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、注册房地产估价师与估价报告中的估价对象没有现实或潜在的利益，与估价委托人及估价利害关系人没有利害关系，也对估价对象、估价委托人及估价利害关系人没有偏见。</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、注册房地产估价师是按照中华人民共和国国家标准《房地产估价规范》、《房地产估价基本术语标准》以及相关估价专项标准的规定开展估价工作，撰写估价报告。</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、我们已</w:t>
      </w:r>
      <w:r>
        <w:rPr>
          <w:rFonts w:hint="eastAsia" w:ascii="仿宋_GB2312" w:hAnsi="宋体" w:eastAsia="仿宋_GB2312" w:cs="宋体"/>
          <w:sz w:val="28"/>
          <w:szCs w:val="28"/>
          <w:highlight w:val="none"/>
        </w:rPr>
        <w:t>于</w:t>
      </w:r>
      <w:r>
        <w:rPr>
          <w:rFonts w:hint="eastAsia" w:ascii="仿宋_GB2312" w:hAnsi="宋体" w:eastAsia="仿宋_GB2312" w:cs="宋体"/>
          <w:sz w:val="28"/>
          <w:szCs w:val="28"/>
          <w:highlight w:val="none"/>
          <w:lang w:eastAsia="zh-CN"/>
        </w:rPr>
        <w:t>201</w:t>
      </w:r>
      <w:r>
        <w:rPr>
          <w:rFonts w:hint="eastAsia" w:ascii="仿宋_GB2312" w:hAnsi="宋体" w:eastAsia="仿宋_GB2312" w:cs="宋体"/>
          <w:sz w:val="28"/>
          <w:szCs w:val="28"/>
          <w:highlight w:val="none"/>
          <w:lang w:val="en-US" w:eastAsia="zh-CN"/>
        </w:rPr>
        <w:t>9</w:t>
      </w:r>
      <w:r>
        <w:rPr>
          <w:rFonts w:hint="eastAsia" w:ascii="仿宋_GB2312" w:hAnsi="宋体" w:eastAsia="仿宋_GB2312" w:cs="宋体"/>
          <w:sz w:val="28"/>
          <w:szCs w:val="28"/>
          <w:highlight w:val="none"/>
          <w:lang w:eastAsia="zh-CN"/>
        </w:rPr>
        <w:t>年</w:t>
      </w:r>
      <w:r>
        <w:rPr>
          <w:rFonts w:hint="eastAsia" w:ascii="仿宋_GB2312" w:hAnsi="宋体" w:eastAsia="仿宋_GB2312" w:cs="宋体"/>
          <w:sz w:val="28"/>
          <w:szCs w:val="28"/>
          <w:highlight w:val="none"/>
          <w:lang w:val="en-US" w:eastAsia="zh-CN"/>
        </w:rPr>
        <w:t>01</w:t>
      </w:r>
      <w:r>
        <w:rPr>
          <w:rFonts w:hint="eastAsia" w:ascii="仿宋_GB2312" w:hAnsi="宋体" w:eastAsia="仿宋_GB2312" w:cs="宋体"/>
          <w:sz w:val="28"/>
          <w:szCs w:val="28"/>
          <w:highlight w:val="none"/>
          <w:lang w:eastAsia="zh-CN"/>
        </w:rPr>
        <w:t>月</w:t>
      </w:r>
      <w:r>
        <w:rPr>
          <w:rFonts w:hint="eastAsia" w:ascii="仿宋_GB2312" w:hAnsi="宋体" w:eastAsia="仿宋_GB2312" w:cs="宋体"/>
          <w:sz w:val="28"/>
          <w:szCs w:val="28"/>
          <w:highlight w:val="none"/>
          <w:lang w:val="en-US" w:eastAsia="zh-CN"/>
        </w:rPr>
        <w:t>02</w:t>
      </w:r>
      <w:r>
        <w:rPr>
          <w:rFonts w:hint="eastAsia" w:ascii="仿宋_GB2312" w:hAnsi="宋体" w:eastAsia="仿宋_GB2312" w:cs="宋体"/>
          <w:sz w:val="28"/>
          <w:szCs w:val="28"/>
          <w:highlight w:val="none"/>
          <w:lang w:eastAsia="zh-CN"/>
        </w:rPr>
        <w:t>日</w:t>
      </w:r>
      <w:r>
        <w:rPr>
          <w:rFonts w:hint="eastAsia" w:ascii="仿宋_GB2312" w:hAnsi="宋体" w:eastAsia="仿宋_GB2312" w:cs="宋体"/>
          <w:sz w:val="28"/>
          <w:szCs w:val="28"/>
        </w:rPr>
        <w:t>对本估价报告中的估价对象进行了实地查勘，查勘人员为注册房地产估价</w:t>
      </w:r>
      <w:r>
        <w:rPr>
          <w:rFonts w:hint="eastAsia" w:ascii="仿宋_GB2312" w:hAnsi="宋体" w:eastAsia="仿宋_GB2312" w:cs="宋体"/>
          <w:sz w:val="28"/>
          <w:szCs w:val="28"/>
          <w:highlight w:val="none"/>
        </w:rPr>
        <w:t>师</w:t>
      </w:r>
      <w:r>
        <w:rPr>
          <w:rFonts w:hint="eastAsia" w:ascii="仿宋_GB2312" w:hAnsi="宋体" w:eastAsia="仿宋_GB2312" w:cs="宋体"/>
          <w:sz w:val="28"/>
          <w:szCs w:val="28"/>
          <w:highlight w:val="none"/>
          <w:lang w:eastAsia="zh-CN"/>
        </w:rPr>
        <w:t>高守良</w:t>
      </w:r>
      <w:r>
        <w:rPr>
          <w:rFonts w:hint="eastAsia" w:ascii="仿宋_GB2312" w:hAnsi="宋体" w:eastAsia="仿宋_GB2312" w:cs="宋体"/>
          <w:sz w:val="28"/>
          <w:szCs w:val="28"/>
          <w:highlight w:val="none"/>
        </w:rPr>
        <w:t>、</w:t>
      </w:r>
      <w:r>
        <w:rPr>
          <w:rFonts w:hint="eastAsia" w:ascii="仿宋_GB2312" w:hAnsi="宋体" w:eastAsia="仿宋_GB2312" w:cs="宋体"/>
          <w:sz w:val="28"/>
          <w:szCs w:val="28"/>
          <w:highlight w:val="none"/>
          <w:lang w:eastAsia="zh-CN"/>
        </w:rPr>
        <w:t>李丽</w:t>
      </w:r>
      <w:r>
        <w:rPr>
          <w:rFonts w:hint="eastAsia" w:ascii="仿宋_GB2312" w:hAnsi="宋体" w:eastAsia="仿宋_GB2312" w:cs="宋体"/>
          <w:sz w:val="28"/>
          <w:szCs w:val="28"/>
          <w:highlight w:val="none"/>
        </w:rPr>
        <w:t>。</w:t>
      </w:r>
      <w:r>
        <w:rPr>
          <w:rFonts w:hint="eastAsia" w:ascii="仿宋_GB2312" w:hAnsi="宋体" w:eastAsia="仿宋_GB2312" w:cs="宋体"/>
          <w:sz w:val="28"/>
          <w:szCs w:val="28"/>
        </w:rPr>
        <w:t>估价人员对估价对象的查勘仅限于估价对象外观和使用情况。估价人员不承担对估价对象建筑结构质量进行调查确认的责任和其他被遮盖、未暴露及难以接触到的部分进行检视的责任，当其作为估价对象价值组成部分时均按通常状况设定处理。</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、没有人对本估价报告提供重要专业帮助。</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、其他需要声明的事项</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w:t>
      </w:r>
      <w:r>
        <w:rPr>
          <w:rFonts w:hint="eastAsia" w:ascii="仿宋_GB2312" w:hAnsi="宋体" w:eastAsia="仿宋_GB2312" w:cs="宋体"/>
          <w:color w:val="000000"/>
          <w:sz w:val="28"/>
          <w:szCs w:val="28"/>
        </w:rPr>
        <w:t>本估价报告依据了估价委托人提供的相关资料，估价委托人对资料的真实性负责。因资料失实造成估价结果有误的，估价机构和估价人员不承担相应的责任</w:t>
      </w:r>
      <w:r>
        <w:rPr>
          <w:rFonts w:hint="eastAsia" w:ascii="仿宋_GB2312" w:hAnsi="宋体" w:eastAsia="仿宋_GB2312" w:cs="宋体"/>
          <w:sz w:val="28"/>
          <w:szCs w:val="28"/>
        </w:rPr>
        <w:t>。</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）本报告确定的房地产价格仅是在报告中说明的假设条件下的对估价对象正常价格进行合理推算，不能替代市场定价，本报告所提供的分析和数据仅作为价格意见而不能视作任何价格保证。</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3</w:t>
      </w:r>
      <w:r>
        <w:rPr>
          <w:rFonts w:hint="eastAsia" w:ascii="仿宋_GB2312" w:hAnsi="宋体" w:eastAsia="仿宋_GB2312" w:cs="宋体"/>
          <w:sz w:val="28"/>
          <w:szCs w:val="28"/>
        </w:rPr>
        <w:t>）报告中对估价对象权属情况的披露不能作为对其权属确认的依据，估价对象权属界定以有权管理部门认定为准。</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4</w:t>
      </w:r>
      <w:r>
        <w:rPr>
          <w:rFonts w:hint="eastAsia" w:ascii="仿宋_GB2312" w:hAnsi="宋体" w:eastAsia="仿宋_GB2312" w:cs="宋体"/>
          <w:sz w:val="28"/>
          <w:szCs w:val="28"/>
        </w:rPr>
        <w:t>）本报告估价结果仅作为</w:t>
      </w:r>
      <w:r>
        <w:rPr>
          <w:rFonts w:hint="eastAsia" w:ascii="仿宋_GB2312" w:hAnsi="宋体" w:eastAsia="仿宋_GB2312" w:cs="宋体"/>
          <w:sz w:val="28"/>
          <w:szCs w:val="28"/>
          <w:lang w:eastAsia="zh-CN"/>
        </w:rPr>
        <w:t>委托人</w:t>
      </w:r>
      <w:r>
        <w:rPr>
          <w:rFonts w:hint="eastAsia" w:ascii="仿宋_GB2312" w:hAnsi="宋体" w:eastAsia="仿宋_GB2312" w:cs="宋体"/>
          <w:sz w:val="28"/>
          <w:szCs w:val="28"/>
        </w:rPr>
        <w:t>在本次估价目的下使用，不得用于其他用途。未经我公司授权或许可，估价报告的全部或部分内容不得发表于任何公开媒体上，估价报告的相关资料亦不得在任何公开发表的文件、通告或声明中引用。本报告的最终解释权归本公司所有。</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参与本次估价的注册房地产估价师签名：</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935"/>
        <w:gridCol w:w="303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07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姓名</w:t>
            </w:r>
          </w:p>
        </w:tc>
        <w:tc>
          <w:tcPr>
            <w:tcW w:w="193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注册号</w:t>
            </w:r>
          </w:p>
        </w:tc>
        <w:tc>
          <w:tcPr>
            <w:tcW w:w="3039"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w:t>
            </w:r>
          </w:p>
        </w:tc>
        <w:tc>
          <w:tcPr>
            <w:tcW w:w="249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1073" w:type="dxa"/>
            <w:vAlign w:val="center"/>
          </w:tcPr>
          <w:p>
            <w:pPr>
              <w:spacing w:line="500" w:lineRule="exact"/>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eastAsia="zh-CN"/>
              </w:rPr>
              <w:t>高守良</w:t>
            </w:r>
          </w:p>
        </w:tc>
        <w:tc>
          <w:tcPr>
            <w:tcW w:w="1935" w:type="dxa"/>
            <w:vAlign w:val="center"/>
          </w:tcPr>
          <w:p>
            <w:pPr>
              <w:spacing w:line="500" w:lineRule="exact"/>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eastAsia="zh-CN"/>
              </w:rPr>
              <w:t>2</w:t>
            </w:r>
            <w:r>
              <w:rPr>
                <w:rFonts w:hint="eastAsia" w:ascii="仿宋_GB2312" w:hAnsi="宋体" w:eastAsia="仿宋_GB2312" w:cs="宋体"/>
                <w:color w:val="000000"/>
                <w:sz w:val="28"/>
                <w:szCs w:val="28"/>
                <w:highlight w:val="none"/>
                <w:lang w:val="en-US" w:eastAsia="zh-CN"/>
              </w:rPr>
              <w:t>320160055</w:t>
            </w:r>
          </w:p>
        </w:tc>
        <w:tc>
          <w:tcPr>
            <w:tcW w:w="3039" w:type="dxa"/>
            <w:vAlign w:val="center"/>
          </w:tcPr>
          <w:p>
            <w:pPr>
              <w:spacing w:line="500" w:lineRule="exact"/>
              <w:jc w:val="center"/>
              <w:rPr>
                <w:rFonts w:ascii="仿宋_GB2312" w:hAnsi="宋体" w:eastAsia="仿宋_GB2312" w:cs="宋体"/>
                <w:color w:val="000000"/>
                <w:sz w:val="28"/>
                <w:szCs w:val="28"/>
              </w:rPr>
            </w:pPr>
          </w:p>
        </w:tc>
        <w:tc>
          <w:tcPr>
            <w:tcW w:w="2493" w:type="dxa"/>
            <w:vAlign w:val="center"/>
          </w:tcPr>
          <w:p>
            <w:pPr>
              <w:spacing w:line="500" w:lineRule="exact"/>
              <w:jc w:val="left"/>
              <w:rPr>
                <w:rFonts w:ascii="仿宋_GB2312" w:hAnsi="宋体" w:eastAsia="仿宋_GB2312" w:cs="宋体"/>
                <w:spacing w:val="-6"/>
                <w:sz w:val="28"/>
                <w:szCs w:val="28"/>
              </w:rPr>
            </w:pPr>
            <w:r>
              <w:rPr>
                <w:rFonts w:hint="eastAsia" w:ascii="仿宋_GB2312" w:hAnsi="宋体" w:eastAsia="仿宋_GB2312" w:cs="宋体"/>
                <w:spacing w:val="-6"/>
                <w:sz w:val="28"/>
                <w:szCs w:val="28"/>
                <w:lang w:eastAsia="zh-CN"/>
              </w:rPr>
              <w:t>2019年01月14日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1073"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李  丽</w:t>
            </w:r>
          </w:p>
        </w:tc>
        <w:tc>
          <w:tcPr>
            <w:tcW w:w="1935"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3720110150</w:t>
            </w:r>
          </w:p>
        </w:tc>
        <w:tc>
          <w:tcPr>
            <w:tcW w:w="3039" w:type="dxa"/>
            <w:vAlign w:val="center"/>
          </w:tcPr>
          <w:p>
            <w:pPr>
              <w:spacing w:line="500" w:lineRule="exact"/>
              <w:jc w:val="center"/>
              <w:rPr>
                <w:rFonts w:ascii="仿宋_GB2312" w:hAnsi="宋体" w:eastAsia="仿宋_GB2312" w:cs="宋体"/>
                <w:color w:val="000000"/>
                <w:sz w:val="28"/>
                <w:szCs w:val="28"/>
              </w:rPr>
            </w:pPr>
          </w:p>
        </w:tc>
        <w:tc>
          <w:tcPr>
            <w:tcW w:w="2493" w:type="dxa"/>
            <w:vAlign w:val="center"/>
          </w:tcPr>
          <w:p>
            <w:pPr>
              <w:spacing w:line="500" w:lineRule="exact"/>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2019年01月14日</w:t>
            </w:r>
          </w:p>
        </w:tc>
      </w:tr>
    </w:tbl>
    <w:p>
      <w:pPr>
        <w:pStyle w:val="2"/>
        <w:jc w:val="center"/>
        <w:rPr>
          <w:rFonts w:ascii="黑体" w:eastAsia="黑体"/>
        </w:rPr>
      </w:pPr>
      <w:r>
        <w:rPr>
          <w:rFonts w:ascii="仿宋_GB2312" w:hAnsi="宋体" w:eastAsia="仿宋_GB2312" w:cs="宋体"/>
          <w:sz w:val="28"/>
          <w:szCs w:val="28"/>
        </w:rPr>
        <w:br w:type="page"/>
      </w:r>
      <w:bookmarkStart w:id="3" w:name="_Toc10756"/>
      <w:bookmarkStart w:id="4" w:name="_Toc6640"/>
      <w:bookmarkStart w:id="5" w:name="_Toc23425"/>
      <w:bookmarkStart w:id="6" w:name="_Toc278611916"/>
      <w:bookmarkStart w:id="7" w:name="_Toc278702603"/>
      <w:r>
        <w:rPr>
          <w:rFonts w:hint="eastAsia" w:ascii="黑体" w:eastAsia="黑体"/>
        </w:rPr>
        <w:t>估价假设和限制条件</w:t>
      </w:r>
      <w:bookmarkEnd w:id="3"/>
      <w:bookmarkEnd w:id="4"/>
      <w:bookmarkEnd w:id="5"/>
    </w:p>
    <w:bookmarkEnd w:id="6"/>
    <w:bookmarkEnd w:id="7"/>
    <w:p>
      <w:pPr>
        <w:spacing w:line="360" w:lineRule="auto"/>
        <w:ind w:firstLine="562" w:firstLineChars="200"/>
        <w:rPr>
          <w:rFonts w:ascii="仿宋_GB2312" w:hAnsi="宋体" w:eastAsia="仿宋_GB2312" w:cs="宋体"/>
          <w:b/>
          <w:bCs/>
          <w:sz w:val="28"/>
          <w:szCs w:val="28"/>
        </w:rPr>
      </w:pPr>
      <w:bookmarkStart w:id="8" w:name="_Toc389114768"/>
      <w:bookmarkStart w:id="9" w:name="_Toc278702604"/>
      <w:r>
        <w:rPr>
          <w:rFonts w:hint="eastAsia" w:ascii="仿宋_GB2312" w:hAnsi="宋体" w:eastAsia="仿宋_GB2312" w:cs="宋体"/>
          <w:b/>
          <w:bCs/>
          <w:sz w:val="28"/>
          <w:szCs w:val="28"/>
        </w:rPr>
        <w:t>一、估价假设</w:t>
      </w:r>
      <w:bookmarkEnd w:id="8"/>
      <w:bookmarkEnd w:id="9"/>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、一般假设</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估价人员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估价对象应缴纳的各种税费，已按国家、省、市法律、法规、规章缴纳完毕，并取得相应的产权依据和法律保护。</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估价人员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3</w:t>
      </w:r>
      <w:r>
        <w:rPr>
          <w:rFonts w:hint="eastAsia" w:ascii="仿宋_GB2312" w:hAnsi="宋体" w:eastAsia="仿宋_GB2312" w:cs="宋体"/>
          <w:sz w:val="28"/>
          <w:szCs w:val="28"/>
        </w:rPr>
        <w:t>）假设估价对象权益构成清晰，不存在除产权证件已标明和报告未明示的产权纠纷与权利限制。至价值时点，估价对象不存在已明示之外相关的债权债务情况，可在公开市场上自由转让。</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4</w:t>
      </w:r>
      <w:r>
        <w:rPr>
          <w:rFonts w:hint="eastAsia" w:ascii="仿宋_GB2312" w:hAnsi="宋体" w:eastAsia="仿宋_GB2312" w:cs="宋体"/>
          <w:sz w:val="28"/>
          <w:szCs w:val="28"/>
        </w:rPr>
        <w:t>）除非报告进行了特别说明，不考虑非正常等特殊因素对房地产价值形成的影响。</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5</w:t>
      </w:r>
      <w:r>
        <w:rPr>
          <w:rFonts w:hint="eastAsia" w:ascii="仿宋_GB2312" w:hAnsi="宋体" w:eastAsia="仿宋_GB2312" w:cs="宋体"/>
          <w:sz w:val="28"/>
          <w:szCs w:val="28"/>
        </w:rPr>
        <w:t>）假设估价对象按照目前用途持续使用。</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、未定事项假设</w:t>
      </w:r>
    </w:p>
    <w:p>
      <w:pPr>
        <w:spacing w:line="360" w:lineRule="auto"/>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假设估价对象在法定存续期内不改变用途且能持续正常使用。</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、背离事实假设</w:t>
      </w:r>
      <w:r>
        <w:rPr>
          <w:rFonts w:ascii="Times New Roman" w:hAnsi="Times New Roman" w:eastAsia="仿宋_GB2312" w:cs="Times New Roman"/>
          <w:sz w:val="28"/>
          <w:szCs w:val="28"/>
        </w:rPr>
        <w:t xml:space="preserve"> </w:t>
      </w:r>
    </w:p>
    <w:p>
      <w:pPr>
        <w:spacing w:line="360" w:lineRule="auto"/>
        <w:ind w:firstLine="573"/>
        <w:rPr>
          <w:rFonts w:ascii="Times New Roman" w:eastAsia="仿宋_GB2312"/>
          <w:sz w:val="28"/>
          <w:szCs w:val="28"/>
        </w:rPr>
      </w:pPr>
      <w:r>
        <w:rPr>
          <w:rFonts w:hint="default" w:ascii="Times New Roman" w:eastAsia="仿宋_GB2312"/>
          <w:sz w:val="28"/>
          <w:szCs w:val="28"/>
        </w:rPr>
        <w:t>在价值时点，估价对象已查封（或存在担保物权、其他优先受偿款）、已抵押，本次估价不考虑估价对象已查封（或存在担保物权、其他优先受偿款）、已抵押因素的影响。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、不相一致假设</w:t>
      </w:r>
      <w:r>
        <w:rPr>
          <w:rFonts w:ascii="Times New Roman" w:hAnsi="Times New Roman" w:eastAsia="仿宋_GB2312" w:cs="Times New Roman"/>
          <w:sz w:val="28"/>
          <w:szCs w:val="28"/>
        </w:rPr>
        <w:t xml:space="preserve"> </w:t>
      </w:r>
    </w:p>
    <w:p>
      <w:pPr>
        <w:spacing w:line="360" w:lineRule="auto"/>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估价对象用途、名称、权利人状况等均与权属证明一致，无不相一致假设</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、依据不足假设</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估价委托人提供了相应的估价资料，估价人员进行了尽职调查，估价对象状况的相关依据充分，无依据不足假设。</w:t>
      </w:r>
    </w:p>
    <w:p>
      <w:pPr>
        <w:spacing w:line="360" w:lineRule="auto"/>
        <w:ind w:firstLine="562" w:firstLineChars="200"/>
        <w:rPr>
          <w:rFonts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二、限制条件</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、本估价报告的使用必须以估价对象的合法使用、合法处分为前提，任何有关估价对象的运作方式、程序符合国家、地方的相关法律法规。</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本次估价目的是为司法拍卖（变卖）提供房地产市场价值参考依据，本报告估价结果是根据本次估价目的于价值时点对估价对象在保持现有状态下做出的，如改变估价目的或用于其他用途，须向本公司咨询后作必要调整甚至重新评估。</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、本估价报告有效期为自报告出具之日起一年内有效。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根据《房地产估价规范》的要求，在报告有效期内，如国家经济形势、城市规划、房地产税费政策、金融政策等发生重大变化，导致房地产市场严重波动，或估价对象本身发生重大变化，对估价结果产生明显影响时，估价委托人应及时聘请房地产评估机构对估价结果做出相应调整直至重新评估。</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、估价报告须经估价机构加盖公章并由估价师签字盖章后方为有效，提供给估价委托人的估价结果报告为一整体，不可分割使用，因使用不当造成的损失，估价方不承担责任。</w:t>
      </w:r>
    </w:p>
    <w:p>
      <w:pPr>
        <w:spacing w:line="360" w:lineRule="auto"/>
        <w:ind w:firstLine="562" w:firstLineChars="200"/>
        <w:rPr>
          <w:rFonts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三、其他需要说明的事项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、本估价结论为满足全部假设与限制条件下的价值。</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、本估价报告分为估价结果报告和估价技术报告两种形式，估价结果报告供估价委托人使用，估价技术报告只供评估报告审核单位使用及估价机构存档备案。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、鉴定活动遵循独立、客观、公正的原则，因此，鉴定意见可能对当事人有利，也可能不利。估价结果属于专家专业性意见，其是否被采信取决于办案机关的审查和判断，鉴定人和鉴定机构无权干涉。</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、本估价报告估价结果是公开市场前提下求取的房地产市场价值，没有考虑价值时点之后国家宏观政策、经济形势发生变化，以及遇有自然力和其它不可抗力对房地产价值的影响。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、本次评估为房地产拍卖（变卖）鉴定评估，价值定义为房地产市场价值，不考虑房地产拍卖（变卖）成交后交易的税费以及税费的转移分担。</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default" w:ascii="Times New Roman" w:hAnsi="Times New Roman" w:eastAsia="仿宋_GB2312" w:cs="Times New Roman"/>
          <w:sz w:val="28"/>
          <w:szCs w:val="28"/>
        </w:rPr>
        <w:t>、成交价格受处置方式、宣传推广力度和买受人对估价对象的了解及对房地产市场的判断等因素影响，现实房地产交易中，一般难以达到理想的公开市场条件，致使实际交易价格往往与估价结果不够一致。</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、由于</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未出具书面的关于估价对象租赁权的处理意见，本次评估未考虑估价对象可能存在的租赁权对估价结果的影响。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w:t>
      </w:r>
      <w:r>
        <w:rPr>
          <w:rFonts w:hint="default" w:ascii="Times New Roman" w:hAnsi="Times New Roman" w:eastAsia="仿宋_GB2312" w:cs="Times New Roman"/>
          <w:sz w:val="28"/>
          <w:szCs w:val="28"/>
        </w:rPr>
        <w:t>、本次评估涉及房屋的坐落、用途、建筑面积、所有权人等以</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提供的</w:t>
      </w:r>
      <w:r>
        <w:rPr>
          <w:rFonts w:hint="default" w:ascii="Times New Roman" w:hAnsi="Times New Roman" w:eastAsia="仿宋_GB2312" w:cs="Times New Roman"/>
          <w:sz w:val="28"/>
          <w:szCs w:val="28"/>
          <w:lang w:eastAsia="zh-CN"/>
        </w:rPr>
        <w:t>不动产登记信息表、房产证</w:t>
      </w:r>
      <w:r>
        <w:rPr>
          <w:rFonts w:hint="default" w:ascii="Times New Roman" w:hAnsi="Times New Roman" w:eastAsia="仿宋_GB2312" w:cs="Times New Roman"/>
          <w:sz w:val="28"/>
          <w:szCs w:val="28"/>
        </w:rPr>
        <w:t>等相关资料为依据并结合现场勘查情况确定。</w:t>
      </w:r>
    </w:p>
    <w:p>
      <w:pPr>
        <w:spacing w:line="360" w:lineRule="auto"/>
        <w:ind w:firstLine="573"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r>
        <w:rPr>
          <w:rFonts w:hint="default" w:ascii="Times New Roman" w:eastAsia="仿宋_GB2312"/>
          <w:sz w:val="28"/>
          <w:szCs w:val="28"/>
        </w:rPr>
        <w:t>本估价结果中房产为整体的房产市场价值，已综合考虑</w:t>
      </w:r>
      <w:r>
        <w:rPr>
          <w:rFonts w:hint="default" w:ascii="Times New Roman" w:eastAsia="仿宋_GB2312"/>
          <w:sz w:val="28"/>
          <w:szCs w:val="28"/>
          <w:lang w:eastAsia="zh-CN"/>
        </w:rPr>
        <w:t>相应</w:t>
      </w:r>
      <w:r>
        <w:rPr>
          <w:rFonts w:hint="default" w:ascii="Times New Roman" w:eastAsia="仿宋_GB2312"/>
          <w:sz w:val="28"/>
          <w:szCs w:val="28"/>
        </w:rPr>
        <w:t>配套的基础设施等。（设备等动产除外）</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、山东富润土地房地产资产评估有限公司接到</w:t>
      </w:r>
      <w:r>
        <w:rPr>
          <w:rFonts w:hint="default" w:ascii="Times New Roman" w:hAnsi="Times New Roman" w:eastAsia="仿宋_GB2312" w:cs="Times New Roman"/>
          <w:sz w:val="28"/>
          <w:szCs w:val="28"/>
          <w:highlight w:val="none"/>
          <w:lang w:eastAsia="zh-CN"/>
        </w:rPr>
        <w:t>潍坊高新技术产业开发区人民法院</w:t>
      </w:r>
      <w:r>
        <w:rPr>
          <w:rFonts w:hint="default" w:ascii="Times New Roman" w:hAnsi="Times New Roman" w:eastAsia="仿宋_GB2312" w:cs="Times New Roman"/>
          <w:sz w:val="28"/>
          <w:szCs w:val="28"/>
          <w:highlight w:val="none"/>
        </w:rPr>
        <w:t>委托后，于</w:t>
      </w:r>
      <w:r>
        <w:rPr>
          <w:rFonts w:hint="default" w:ascii="Times New Roman" w:hAnsi="Times New Roman" w:eastAsia="仿宋_GB2312" w:cs="Times New Roman"/>
          <w:sz w:val="28"/>
          <w:szCs w:val="28"/>
          <w:highlight w:val="none"/>
          <w:lang w:eastAsia="zh-CN"/>
        </w:rPr>
        <w:t>201</w:t>
      </w:r>
      <w:r>
        <w:rPr>
          <w:rFonts w:hint="default" w:ascii="Times New Roman" w:hAnsi="Times New Roman"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lang w:eastAsia="zh-CN"/>
        </w:rPr>
        <w:t>年</w:t>
      </w:r>
      <w:r>
        <w:rPr>
          <w:rFonts w:hint="default" w:ascii="Times New Roman" w:hAnsi="Times New Roman" w:eastAsia="仿宋_GB2312" w:cs="Times New Roman"/>
          <w:sz w:val="28"/>
          <w:szCs w:val="28"/>
          <w:highlight w:val="none"/>
          <w:lang w:val="en-US" w:eastAsia="zh-CN"/>
        </w:rPr>
        <w:t>01</w:t>
      </w:r>
      <w:r>
        <w:rPr>
          <w:rFonts w:hint="default" w:ascii="Times New Roman" w:hAnsi="Times New Roman" w:eastAsia="仿宋_GB2312" w:cs="Times New Roman"/>
          <w:sz w:val="28"/>
          <w:szCs w:val="28"/>
          <w:highlight w:val="none"/>
          <w:lang w:eastAsia="zh-CN"/>
        </w:rPr>
        <w:t>月</w:t>
      </w:r>
      <w:r>
        <w:rPr>
          <w:rFonts w:hint="default" w:ascii="Times New Roman" w:hAnsi="Times New Roman" w:eastAsia="仿宋_GB2312" w:cs="Times New Roman"/>
          <w:sz w:val="28"/>
          <w:szCs w:val="28"/>
          <w:highlight w:val="none"/>
          <w:lang w:val="en-US" w:eastAsia="zh-CN"/>
        </w:rPr>
        <w:t>02</w:t>
      </w:r>
      <w:r>
        <w:rPr>
          <w:rFonts w:hint="default" w:ascii="Times New Roman" w:hAnsi="Times New Roman" w:eastAsia="仿宋_GB2312" w:cs="Times New Roman"/>
          <w:sz w:val="28"/>
          <w:szCs w:val="28"/>
          <w:highlight w:val="none"/>
          <w:lang w:eastAsia="zh-CN"/>
        </w:rPr>
        <w:t>日</w:t>
      </w:r>
      <w:r>
        <w:rPr>
          <w:rFonts w:hint="default" w:ascii="Times New Roman" w:hAnsi="Times New Roman" w:eastAsia="仿宋_GB2312" w:cs="Times New Roman"/>
          <w:sz w:val="28"/>
          <w:szCs w:val="28"/>
          <w:highlight w:val="none"/>
        </w:rPr>
        <w:t>派出</w:t>
      </w:r>
      <w:r>
        <w:rPr>
          <w:rFonts w:hint="default" w:ascii="Times New Roman" w:hAnsi="Times New Roman" w:eastAsia="仿宋_GB2312" w:cs="Times New Roman"/>
          <w:sz w:val="28"/>
          <w:szCs w:val="28"/>
          <w:highlight w:val="none"/>
          <w:lang w:eastAsia="zh-CN"/>
        </w:rPr>
        <w:t>高守良</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李丽</w:t>
      </w:r>
      <w:r>
        <w:rPr>
          <w:rFonts w:hint="default" w:ascii="Times New Roman" w:hAnsi="Times New Roman" w:eastAsia="仿宋_GB2312" w:cs="Times New Roman"/>
          <w:sz w:val="28"/>
          <w:szCs w:val="28"/>
          <w:highlight w:val="none"/>
        </w:rPr>
        <w:t>等工作人员，与</w:t>
      </w:r>
      <w:r>
        <w:rPr>
          <w:rFonts w:hint="default" w:ascii="Times New Roman" w:hAnsi="Times New Roman" w:eastAsia="仿宋_GB2312" w:cs="Times New Roman"/>
          <w:sz w:val="28"/>
          <w:szCs w:val="28"/>
          <w:highlight w:val="none"/>
          <w:lang w:eastAsia="zh-CN"/>
        </w:rPr>
        <w:t>申请执行人代表及被执行人（到场未签字）</w:t>
      </w:r>
      <w:r>
        <w:rPr>
          <w:rFonts w:hint="default" w:ascii="Times New Roman" w:hAnsi="Times New Roman" w:eastAsia="仿宋_GB2312" w:cs="Times New Roman"/>
          <w:sz w:val="28"/>
          <w:szCs w:val="28"/>
          <w:highlight w:val="none"/>
        </w:rPr>
        <w:t>共同对估价对象进行了现场勘查，并核实了有关文件资料，形成现场勘查记录，并经相关人员签字确认，完成了当时条件下必要的评估程序。</w:t>
      </w:r>
    </w:p>
    <w:p>
      <w:pPr>
        <w:spacing w:line="360" w:lineRule="auto"/>
        <w:ind w:firstLine="560" w:firstLineChars="200"/>
        <w:rPr>
          <w:rFonts w:ascii="仿宋_GB2312" w:hAnsi="宋体" w:eastAsia="仿宋_GB2312" w:cs="宋体"/>
          <w:sz w:val="28"/>
          <w:szCs w:val="28"/>
        </w:rPr>
      </w:pPr>
    </w:p>
    <w:p>
      <w:pPr>
        <w:spacing w:line="360" w:lineRule="auto"/>
        <w:ind w:firstLine="560" w:firstLineChars="200"/>
        <w:rPr>
          <w:rFonts w:ascii="仿宋_GB2312" w:hAnsi="宋体" w:eastAsia="仿宋_GB2312" w:cs="宋体"/>
          <w:sz w:val="28"/>
          <w:szCs w:val="28"/>
        </w:rPr>
      </w:pPr>
    </w:p>
    <w:p>
      <w:pPr>
        <w:pStyle w:val="2"/>
        <w:spacing w:line="360" w:lineRule="auto"/>
        <w:jc w:val="center"/>
        <w:rPr>
          <w:rFonts w:ascii="黑体" w:eastAsia="黑体"/>
        </w:rPr>
      </w:pPr>
      <w:bookmarkStart w:id="10" w:name="_Toc278702608"/>
      <w:r>
        <w:rPr>
          <w:rStyle w:val="20"/>
          <w:rFonts w:ascii="仿宋_GB2312" w:hAnsi="宋体" w:eastAsia="仿宋_GB2312" w:cs="宋体"/>
          <w:b w:val="0"/>
          <w:bCs w:val="0"/>
          <w:sz w:val="28"/>
          <w:szCs w:val="28"/>
        </w:rPr>
        <w:br w:type="page"/>
      </w:r>
      <w:bookmarkStart w:id="11" w:name="_Toc23647"/>
      <w:bookmarkStart w:id="12" w:name="_Toc13002"/>
      <w:bookmarkStart w:id="13" w:name="_Toc31956"/>
      <w:r>
        <w:rPr>
          <w:rFonts w:hint="eastAsia" w:ascii="黑体" w:eastAsia="黑体"/>
        </w:rPr>
        <w:t>估价结果报告</w:t>
      </w:r>
      <w:bookmarkEnd w:id="11"/>
      <w:bookmarkEnd w:id="12"/>
      <w:bookmarkEnd w:id="13"/>
    </w:p>
    <w:p>
      <w:pPr>
        <w:spacing w:beforeLines="0" w:afterLines="0" w:line="600" w:lineRule="exact"/>
        <w:ind w:firstLine="562" w:firstLineChars="200"/>
        <w:contextualSpacing/>
        <w:outlineLvl w:val="1"/>
        <w:rPr>
          <w:rFonts w:ascii="仿宋_GB2312" w:hAnsi="宋体" w:eastAsia="仿宋_GB2312" w:cs="宋体"/>
          <w:sz w:val="28"/>
          <w:szCs w:val="28"/>
        </w:rPr>
      </w:pPr>
      <w:bookmarkStart w:id="14" w:name="_Toc10921"/>
      <w:bookmarkStart w:id="15" w:name="_Toc8189"/>
      <w:bookmarkStart w:id="16" w:name="_Toc27086"/>
      <w:r>
        <w:rPr>
          <w:rStyle w:val="20"/>
          <w:rFonts w:hint="eastAsia" w:ascii="仿宋_GB2312" w:hAnsi="宋体" w:eastAsia="仿宋_GB2312" w:cs="宋体"/>
          <w:bCs/>
          <w:sz w:val="28"/>
          <w:szCs w:val="28"/>
        </w:rPr>
        <w:t>一、估价委托人</w:t>
      </w:r>
      <w:bookmarkEnd w:id="10"/>
      <w:bookmarkEnd w:id="14"/>
      <w:bookmarkEnd w:id="15"/>
      <w:bookmarkEnd w:id="16"/>
    </w:p>
    <w:p>
      <w:pPr>
        <w:spacing w:beforeLines="0" w:afterLines="0" w:line="600" w:lineRule="exact"/>
        <w:ind w:firstLine="560" w:firstLineChars="200"/>
        <w:contextualSpacing/>
        <w:outlineLvl w:val="1"/>
        <w:rPr>
          <w:rFonts w:ascii="仿宋_GB2312" w:hAnsi="宋体" w:eastAsia="仿宋_GB2312" w:cs="宋体"/>
          <w:sz w:val="28"/>
          <w:szCs w:val="28"/>
        </w:rPr>
      </w:pPr>
      <w:bookmarkStart w:id="17" w:name="_Toc22137"/>
      <w:bookmarkStart w:id="18" w:name="_Toc457"/>
      <w:bookmarkStart w:id="19" w:name="_Toc28069"/>
      <w:bookmarkStart w:id="20" w:name="_Toc278702609"/>
      <w:r>
        <w:rPr>
          <w:rFonts w:hint="eastAsia" w:ascii="仿宋_GB2312" w:hAnsi="宋体" w:eastAsia="仿宋_GB2312" w:cs="宋体"/>
          <w:sz w:val="28"/>
          <w:szCs w:val="28"/>
        </w:rPr>
        <w:t>估价委托人：</w:t>
      </w:r>
      <w:bookmarkEnd w:id="17"/>
      <w:r>
        <w:rPr>
          <w:rFonts w:hint="eastAsia" w:ascii="仿宋_GB2312" w:hAnsi="宋体" w:eastAsia="仿宋_GB2312" w:cs="宋体"/>
          <w:sz w:val="28"/>
          <w:szCs w:val="28"/>
          <w:lang w:eastAsia="zh-CN"/>
        </w:rPr>
        <w:t>潍坊高新技术产业开发区人民法院</w:t>
      </w:r>
      <w:bookmarkEnd w:id="18"/>
      <w:bookmarkEnd w:id="19"/>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21" w:name="_Toc22619"/>
      <w:bookmarkStart w:id="22" w:name="_Toc373"/>
      <w:bookmarkStart w:id="23" w:name="_Toc19592"/>
      <w:r>
        <w:rPr>
          <w:rStyle w:val="20"/>
          <w:rFonts w:hint="eastAsia" w:ascii="仿宋_GB2312" w:hAnsi="宋体" w:eastAsia="仿宋_GB2312" w:cs="宋体"/>
          <w:bCs/>
          <w:sz w:val="28"/>
          <w:szCs w:val="28"/>
        </w:rPr>
        <w:t>二、房地产估价机构</w:t>
      </w:r>
      <w:bookmarkEnd w:id="20"/>
      <w:bookmarkEnd w:id="21"/>
      <w:bookmarkEnd w:id="22"/>
      <w:bookmarkEnd w:id="23"/>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机构全称：山东富润土地房地产资产评估有限公司</w:t>
      </w:r>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法定代表人姓名：</w:t>
      </w:r>
      <w:r>
        <w:rPr>
          <w:rFonts w:hint="eastAsia" w:ascii="仿宋_GB2312" w:hAnsi="宋体" w:eastAsia="仿宋_GB2312" w:cs="宋体"/>
          <w:bCs/>
          <w:sz w:val="28"/>
          <w:szCs w:val="28"/>
          <w:lang w:eastAsia="zh-CN"/>
        </w:rPr>
        <w:t>马建</w:t>
      </w:r>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机构住所：潍坊高新区玉泉路</w:t>
      </w:r>
      <w:r>
        <w:rPr>
          <w:rFonts w:ascii="仿宋_GB2312" w:hAnsi="宋体" w:eastAsia="仿宋_GB2312" w:cs="宋体"/>
          <w:bCs/>
          <w:sz w:val="28"/>
          <w:szCs w:val="28"/>
        </w:rPr>
        <w:t>518</w:t>
      </w:r>
      <w:r>
        <w:rPr>
          <w:rFonts w:hint="eastAsia" w:ascii="仿宋_GB2312" w:hAnsi="宋体" w:eastAsia="仿宋_GB2312" w:cs="宋体"/>
          <w:bCs/>
          <w:sz w:val="28"/>
          <w:szCs w:val="28"/>
        </w:rPr>
        <w:t>号清馨园第三孵化器玉清大厦</w:t>
      </w:r>
      <w:r>
        <w:rPr>
          <w:rFonts w:ascii="仿宋_GB2312" w:hAnsi="宋体" w:eastAsia="仿宋_GB2312" w:cs="宋体"/>
          <w:bCs/>
          <w:sz w:val="28"/>
          <w:szCs w:val="28"/>
        </w:rPr>
        <w:t>1504</w:t>
      </w:r>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估价资质等级：二级</w:t>
      </w:r>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估价资质证书编号：鲁评</w:t>
      </w:r>
      <w:r>
        <w:rPr>
          <w:rFonts w:ascii="仿宋_GB2312" w:hAnsi="宋体" w:eastAsia="仿宋_GB2312" w:cs="宋体"/>
          <w:bCs/>
          <w:sz w:val="28"/>
          <w:szCs w:val="28"/>
        </w:rPr>
        <w:t>072027</w:t>
      </w:r>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24" w:name="_Toc10527"/>
      <w:bookmarkStart w:id="25" w:name="_Toc6916"/>
      <w:bookmarkStart w:id="26" w:name="_Toc10024"/>
      <w:bookmarkStart w:id="27" w:name="_Toc278702610"/>
      <w:r>
        <w:rPr>
          <w:rStyle w:val="20"/>
          <w:rFonts w:hint="eastAsia" w:ascii="仿宋_GB2312" w:hAnsi="宋体" w:eastAsia="仿宋_GB2312" w:cs="宋体"/>
          <w:bCs/>
          <w:sz w:val="28"/>
          <w:szCs w:val="28"/>
        </w:rPr>
        <w:t>三、估价目的</w:t>
      </w:r>
      <w:bookmarkEnd w:id="24"/>
      <w:bookmarkEnd w:id="25"/>
      <w:bookmarkEnd w:id="26"/>
    </w:p>
    <w:p>
      <w:pPr>
        <w:spacing w:beforeLines="0" w:afterLines="0" w:line="600" w:lineRule="exact"/>
        <w:ind w:firstLine="560" w:firstLineChars="200"/>
        <w:contextualSpacing/>
        <w:outlineLvl w:val="1"/>
        <w:rPr>
          <w:rStyle w:val="20"/>
          <w:rFonts w:hint="eastAsia" w:ascii="仿宋_GB2312" w:hAnsi="宋体" w:eastAsia="仿宋_GB2312" w:cs="宋体"/>
          <w:bCs/>
          <w:sz w:val="28"/>
          <w:szCs w:val="28"/>
        </w:rPr>
      </w:pPr>
      <w:r>
        <w:rPr>
          <w:rFonts w:hint="eastAsia" w:ascii="仿宋_GB2312" w:hAnsi="宋体" w:eastAsia="仿宋_GB2312" w:cs="宋体"/>
          <w:sz w:val="28"/>
        </w:rPr>
        <w:t>为司法拍卖（变卖）房地产提供市场价值参考依据。</w:t>
      </w:r>
      <w:bookmarkStart w:id="28" w:name="_Toc15493"/>
      <w:bookmarkStart w:id="29" w:name="_Toc12798"/>
      <w:bookmarkStart w:id="30" w:name="_Toc12639"/>
    </w:p>
    <w:p>
      <w:pPr>
        <w:spacing w:beforeLines="0" w:afterLines="0" w:line="600" w:lineRule="exact"/>
        <w:ind w:firstLine="562" w:firstLineChars="200"/>
        <w:contextualSpacing/>
        <w:outlineLvl w:val="1"/>
        <w:rPr>
          <w:rFonts w:ascii="仿宋_GB2312" w:hAnsi="宋体" w:eastAsia="仿宋_GB2312" w:cs="宋体"/>
          <w:b/>
          <w:sz w:val="28"/>
          <w:szCs w:val="28"/>
        </w:rPr>
      </w:pPr>
      <w:r>
        <w:rPr>
          <w:rStyle w:val="20"/>
          <w:rFonts w:hint="eastAsia" w:ascii="仿宋_GB2312" w:hAnsi="宋体" w:eastAsia="仿宋_GB2312" w:cs="宋体"/>
          <w:bCs/>
          <w:sz w:val="28"/>
          <w:szCs w:val="28"/>
        </w:rPr>
        <w:t>四、估价对象</w:t>
      </w:r>
      <w:bookmarkEnd w:id="27"/>
      <w:bookmarkEnd w:id="28"/>
      <w:bookmarkEnd w:id="29"/>
      <w:bookmarkEnd w:id="30"/>
    </w:p>
    <w:p>
      <w:pPr>
        <w:spacing w:beforeLines="0" w:afterLines="0" w:line="600" w:lineRule="exact"/>
        <w:ind w:firstLine="562" w:firstLineChars="200"/>
        <w:contextualSpacing/>
        <w:rPr>
          <w:rFonts w:ascii="仿宋_GB2312" w:hAnsi="宋体" w:eastAsia="仿宋_GB2312" w:cs="宋体"/>
          <w:b/>
          <w:sz w:val="28"/>
          <w:szCs w:val="28"/>
        </w:rPr>
      </w:pPr>
      <w:r>
        <w:rPr>
          <w:rFonts w:ascii="仿宋_GB2312" w:hAnsi="宋体" w:eastAsia="仿宋_GB2312" w:cs="宋体"/>
          <w:b/>
          <w:sz w:val="28"/>
          <w:szCs w:val="28"/>
        </w:rPr>
        <w:t>1</w:t>
      </w:r>
      <w:r>
        <w:rPr>
          <w:rFonts w:hint="eastAsia" w:ascii="仿宋_GB2312" w:hAnsi="宋体" w:eastAsia="仿宋_GB2312" w:cs="宋体"/>
          <w:b/>
          <w:sz w:val="28"/>
          <w:szCs w:val="28"/>
        </w:rPr>
        <w:t>、估价对象范围</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根据</w:t>
      </w:r>
      <w:r>
        <w:rPr>
          <w:rFonts w:hint="eastAsia" w:ascii="仿宋_GB2312" w:hAnsi="宋体" w:eastAsia="仿宋_GB2312" w:cs="宋体"/>
          <w:sz w:val="28"/>
          <w:szCs w:val="28"/>
          <w:lang w:eastAsia="zh-CN"/>
        </w:rPr>
        <w:t>委托人</w:t>
      </w:r>
      <w:r>
        <w:rPr>
          <w:rFonts w:hint="eastAsia" w:ascii="仿宋_GB2312" w:hAnsi="宋体" w:eastAsia="仿宋_GB2312" w:cs="宋体"/>
          <w:sz w:val="28"/>
          <w:szCs w:val="28"/>
        </w:rPr>
        <w:t>提供的</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2018</w:t>
      </w:r>
      <w:r>
        <w:rPr>
          <w:rFonts w:hint="eastAsia" w:ascii="仿宋_GB2312" w:hAnsi="宋体" w:eastAsia="仿宋_GB2312" w:cs="宋体"/>
          <w:sz w:val="28"/>
          <w:szCs w:val="28"/>
          <w:lang w:eastAsia="zh-CN"/>
        </w:rPr>
        <w:t>）鲁</w:t>
      </w:r>
      <w:r>
        <w:rPr>
          <w:rFonts w:hint="eastAsia" w:ascii="仿宋_GB2312" w:hAnsi="宋体" w:eastAsia="仿宋_GB2312" w:cs="宋体"/>
          <w:sz w:val="28"/>
          <w:szCs w:val="28"/>
          <w:lang w:val="en-US" w:eastAsia="zh-CN"/>
        </w:rPr>
        <w:t>0791执747号</w:t>
      </w:r>
      <w:r>
        <w:rPr>
          <w:rFonts w:hint="eastAsia" w:ascii="仿宋_GB2312" w:hAnsi="宋体" w:eastAsia="仿宋_GB2312" w:cs="宋体"/>
          <w:sz w:val="28"/>
          <w:szCs w:val="28"/>
        </w:rPr>
        <w:t>《鉴定委托</w:t>
      </w:r>
      <w:r>
        <w:rPr>
          <w:rFonts w:hint="eastAsia" w:ascii="仿宋_GB2312" w:hAnsi="宋体" w:eastAsia="仿宋_GB2312" w:cs="宋体"/>
          <w:sz w:val="28"/>
          <w:szCs w:val="28"/>
          <w:lang w:eastAsia="zh-CN"/>
        </w:rPr>
        <w:t>书</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及《鉴定委托函》</w:t>
      </w:r>
      <w:r>
        <w:rPr>
          <w:rFonts w:hint="eastAsia" w:ascii="仿宋_GB2312" w:hAnsi="宋体" w:eastAsia="仿宋_GB2312" w:cs="宋体"/>
          <w:sz w:val="28"/>
          <w:szCs w:val="28"/>
        </w:rPr>
        <w:t>等有关资料，本次估价对象为被执行人</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2号楼06室</w:t>
      </w:r>
      <w:r>
        <w:rPr>
          <w:rFonts w:hint="eastAsia" w:ascii="仿宋_GB2312" w:hAnsi="宋体" w:eastAsia="仿宋_GB2312" w:cs="宋体"/>
          <w:sz w:val="28"/>
          <w:szCs w:val="28"/>
          <w:lang w:eastAsia="zh-CN"/>
        </w:rPr>
        <w:t>房地产。</w:t>
      </w:r>
    </w:p>
    <w:p>
      <w:pPr>
        <w:spacing w:beforeLines="0" w:afterLines="0" w:line="600" w:lineRule="exact"/>
        <w:ind w:firstLine="562" w:firstLineChars="200"/>
        <w:contextualSpacing/>
        <w:rPr>
          <w:rFonts w:ascii="仿宋_GB2312" w:hAnsi="宋体" w:eastAsia="仿宋_GB2312" w:cs="宋体"/>
          <w:sz w:val="28"/>
          <w:szCs w:val="28"/>
        </w:rPr>
      </w:pPr>
      <w:r>
        <w:rPr>
          <w:rFonts w:ascii="仿宋_GB2312" w:hAnsi="宋体" w:eastAsia="仿宋_GB2312" w:cs="宋体"/>
          <w:b/>
          <w:sz w:val="28"/>
          <w:szCs w:val="28"/>
        </w:rPr>
        <w:t>2</w:t>
      </w:r>
      <w:r>
        <w:rPr>
          <w:rFonts w:hint="eastAsia" w:ascii="仿宋_GB2312" w:hAnsi="宋体" w:eastAsia="仿宋_GB2312" w:cs="宋体"/>
          <w:b/>
          <w:sz w:val="28"/>
          <w:szCs w:val="28"/>
        </w:rPr>
        <w:t>、估价对象基本状况</w:t>
      </w:r>
      <w:r>
        <w:rPr>
          <w:rFonts w:ascii="仿宋_GB2312" w:hAnsi="宋体" w:eastAsia="仿宋_GB2312" w:cs="宋体"/>
          <w:sz w:val="28"/>
          <w:szCs w:val="28"/>
        </w:rPr>
        <w:t xml:space="preserve"> </w:t>
      </w:r>
    </w:p>
    <w:p>
      <w:pPr>
        <w:spacing w:line="600" w:lineRule="exact"/>
        <w:ind w:firstLine="570"/>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估价对象</w:t>
      </w:r>
      <w:r>
        <w:rPr>
          <w:rFonts w:hint="eastAsia" w:ascii="仿宋_GB2312" w:hAnsi="宋体" w:eastAsia="仿宋_GB2312" w:cs="宋体"/>
          <w:sz w:val="28"/>
          <w:szCs w:val="28"/>
          <w:lang w:eastAsia="zh-CN"/>
        </w:rPr>
        <w:t>为</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2号楼06室</w:t>
      </w:r>
      <w:r>
        <w:rPr>
          <w:rFonts w:hint="eastAsia" w:ascii="仿宋_GB2312" w:hAnsi="宋体" w:eastAsia="仿宋_GB2312" w:cs="宋体"/>
          <w:sz w:val="28"/>
          <w:szCs w:val="28"/>
          <w:lang w:eastAsia="zh-CN"/>
        </w:rPr>
        <w:t>，不动产权证号</w:t>
      </w:r>
      <w:r>
        <w:rPr>
          <w:rFonts w:hint="eastAsia" w:ascii="仿宋_GB2312" w:hAnsi="宋体" w:eastAsia="仿宋_GB2312" w:cs="宋体"/>
          <w:sz w:val="28"/>
          <w:szCs w:val="28"/>
          <w:lang w:val="en-US" w:eastAsia="zh-CN"/>
        </w:rPr>
        <w:t>为潍房权证市属字第00294647号，规划用途为商业用房，</w:t>
      </w:r>
      <w:r>
        <w:rPr>
          <w:rFonts w:hint="eastAsia" w:ascii="仿宋_GB2312" w:hAnsi="宋体" w:eastAsia="仿宋_GB2312" w:cs="宋体"/>
          <w:sz w:val="28"/>
          <w:szCs w:val="28"/>
          <w:lang w:eastAsia="zh-CN"/>
        </w:rPr>
        <w:t>证载</w:t>
      </w:r>
      <w:r>
        <w:rPr>
          <w:rFonts w:hint="eastAsia" w:ascii="仿宋_GB2312" w:hAnsi="宋体" w:eastAsia="仿宋_GB2312" w:cs="宋体"/>
          <w:sz w:val="28"/>
          <w:szCs w:val="28"/>
        </w:rPr>
        <w:t>建筑面积</w:t>
      </w:r>
      <w:r>
        <w:rPr>
          <w:rFonts w:hint="eastAsia" w:ascii="仿宋_GB2312" w:hAnsi="宋体" w:eastAsia="仿宋_GB2312" w:cs="宋体"/>
          <w:sz w:val="28"/>
          <w:szCs w:val="28"/>
          <w:lang w:val="en-US" w:eastAsia="zh-CN"/>
        </w:rPr>
        <w:t>142.63</w:t>
      </w:r>
      <w:r>
        <w:rPr>
          <w:rFonts w:hint="eastAsia" w:ascii="仿宋_GB2312" w:hAnsi="宋体" w:eastAsia="仿宋_GB2312" w:cs="宋体"/>
          <w:sz w:val="28"/>
          <w:szCs w:val="28"/>
        </w:rPr>
        <w:t>平方米</w:t>
      </w:r>
      <w:r>
        <w:rPr>
          <w:rFonts w:hint="default" w:ascii="Times New Roman" w:hAnsi="Times New Roman" w:eastAsia="仿宋_GB2312" w:cs="Times New Roman"/>
          <w:sz w:val="28"/>
          <w:szCs w:val="28"/>
          <w:lang w:eastAsia="zh-CN"/>
        </w:rPr>
        <w:t>，楼层为</w:t>
      </w:r>
      <w:r>
        <w:rPr>
          <w:rFonts w:hint="default" w:ascii="Times New Roman" w:hAnsi="Times New Roman" w:eastAsia="仿宋_GB2312" w:cs="Times New Roman"/>
          <w:sz w:val="28"/>
          <w:szCs w:val="28"/>
          <w:lang w:val="en-US" w:eastAsia="zh-CN"/>
        </w:rPr>
        <w:t>1-2/11。</w:t>
      </w:r>
      <w:r>
        <w:rPr>
          <w:rFonts w:hint="eastAsia" w:ascii="仿宋_GB2312" w:hAnsi="宋体" w:eastAsia="仿宋_GB2312" w:cs="宋体"/>
          <w:sz w:val="28"/>
          <w:szCs w:val="28"/>
          <w:lang w:val="en-US" w:eastAsia="zh-CN"/>
        </w:rPr>
        <w:t>。</w:t>
      </w:r>
    </w:p>
    <w:p>
      <w:pPr>
        <w:spacing w:beforeLines="0" w:afterLines="0" w:line="600" w:lineRule="exact"/>
        <w:ind w:firstLine="562" w:firstLineChars="200"/>
        <w:contextualSpacing/>
        <w:rPr>
          <w:rFonts w:ascii="仿宋_GB2312" w:hAnsi="宋体" w:eastAsia="仿宋_GB2312" w:cs="宋体"/>
          <w:b/>
          <w:sz w:val="28"/>
          <w:szCs w:val="28"/>
        </w:rPr>
      </w:pPr>
      <w:r>
        <w:rPr>
          <w:rFonts w:ascii="仿宋_GB2312" w:hAnsi="宋体" w:eastAsia="仿宋_GB2312" w:cs="宋体"/>
          <w:b/>
          <w:sz w:val="28"/>
          <w:szCs w:val="28"/>
        </w:rPr>
        <w:t>3</w:t>
      </w:r>
      <w:r>
        <w:rPr>
          <w:rFonts w:hint="eastAsia" w:ascii="仿宋_GB2312" w:hAnsi="宋体" w:eastAsia="仿宋_GB2312" w:cs="宋体"/>
          <w:b/>
          <w:sz w:val="28"/>
          <w:szCs w:val="28"/>
        </w:rPr>
        <w:t>、估价对象权属状况</w:t>
      </w:r>
    </w:p>
    <w:p>
      <w:pPr>
        <w:spacing w:beforeLines="0" w:afterLines="0" w:line="600" w:lineRule="exact"/>
        <w:ind w:firstLine="560" w:firstLineChars="200"/>
        <w:contextualSpacing/>
        <w:rPr>
          <w:rFonts w:hint="eastAsia" w:ascii="仿宋_GB2312" w:eastAsia="仿宋_GB2312"/>
          <w:sz w:val="28"/>
          <w:lang w:val="en-US" w:eastAsia="zh-CN"/>
        </w:rPr>
      </w:pPr>
      <w:bookmarkStart w:id="31" w:name="_Toc20655"/>
      <w:r>
        <w:rPr>
          <w:rFonts w:hint="eastAsia" w:ascii="仿宋_GB2312" w:hAnsi="宋体" w:eastAsia="仿宋_GB2312" w:cs="宋体"/>
          <w:sz w:val="28"/>
          <w:szCs w:val="28"/>
        </w:rPr>
        <w:t>根据</w:t>
      </w:r>
      <w:r>
        <w:rPr>
          <w:rFonts w:hint="eastAsia" w:ascii="仿宋_GB2312" w:hAnsi="宋体" w:eastAsia="仿宋_GB2312" w:cs="宋体"/>
          <w:sz w:val="28"/>
          <w:szCs w:val="28"/>
          <w:lang w:eastAsia="zh-CN"/>
        </w:rPr>
        <w:t>委托人</w:t>
      </w:r>
      <w:r>
        <w:rPr>
          <w:rFonts w:hint="eastAsia" w:ascii="仿宋_GB2312" w:hAnsi="宋体" w:eastAsia="仿宋_GB2312" w:cs="宋体"/>
          <w:sz w:val="28"/>
          <w:szCs w:val="28"/>
        </w:rPr>
        <w:t>提供的</w:t>
      </w:r>
      <w:r>
        <w:rPr>
          <w:rFonts w:hint="eastAsia" w:ascii="仿宋_GB2312" w:hAnsi="宋体" w:eastAsia="仿宋_GB2312" w:cs="宋体"/>
          <w:sz w:val="28"/>
          <w:szCs w:val="28"/>
          <w:lang w:eastAsia="zh-CN"/>
        </w:rPr>
        <w:t>《不动产登记信息表》</w:t>
      </w:r>
      <w:r>
        <w:rPr>
          <w:rFonts w:hint="eastAsia" w:ascii="仿宋_GB2312" w:hAnsi="宋体" w:eastAsia="仿宋_GB2312" w:cs="宋体"/>
          <w:sz w:val="28"/>
          <w:szCs w:val="28"/>
        </w:rPr>
        <w:t>资料</w:t>
      </w:r>
      <w:r>
        <w:rPr>
          <w:rFonts w:hint="eastAsia" w:ascii="仿宋_GB2312" w:hAnsi="宋体" w:eastAsia="仿宋_GB2312" w:cs="宋体"/>
          <w:sz w:val="28"/>
          <w:szCs w:val="28"/>
          <w:lang w:eastAsia="zh-CN"/>
        </w:rPr>
        <w:t>，估价对象</w:t>
      </w:r>
      <w:r>
        <w:rPr>
          <w:rFonts w:hint="eastAsia" w:ascii="仿宋_GB2312" w:hAnsi="宋体" w:eastAsia="仿宋_GB2312" w:cs="宋体"/>
          <w:bCs/>
          <w:spacing w:val="-20"/>
          <w:sz w:val="30"/>
          <w:szCs w:val="30"/>
          <w:lang w:eastAsia="zh-CN"/>
        </w:rPr>
        <w:t>位于潍坊市奎文区宝通街以北、清溪街以南宝通花园</w:t>
      </w:r>
      <w:r>
        <w:rPr>
          <w:rFonts w:hint="eastAsia" w:ascii="仿宋_GB2312" w:hAnsi="宋体" w:eastAsia="仿宋_GB2312" w:cs="宋体"/>
          <w:sz w:val="28"/>
          <w:szCs w:val="28"/>
          <w:lang w:val="en-US" w:eastAsia="zh-CN"/>
        </w:rPr>
        <w:t>2号楼06室</w:t>
      </w:r>
      <w:r>
        <w:rPr>
          <w:rFonts w:hint="eastAsia" w:ascii="仿宋_GB2312" w:hAnsi="宋体" w:eastAsia="仿宋_GB2312" w:cs="宋体"/>
          <w:sz w:val="28"/>
          <w:szCs w:val="28"/>
          <w:lang w:eastAsia="zh-CN"/>
        </w:rPr>
        <w:t>，</w:t>
      </w:r>
      <w:r>
        <w:rPr>
          <w:rFonts w:hint="default" w:ascii="Times New Roman" w:hAnsi="Times New Roman" w:eastAsia="仿宋_GB2312" w:cs="Times New Roman"/>
          <w:sz w:val="28"/>
          <w:szCs w:val="28"/>
          <w:lang w:eastAsia="zh-CN"/>
        </w:rPr>
        <w:t>房屋所有权人为</w:t>
      </w:r>
      <w:r>
        <w:rPr>
          <w:rFonts w:hint="eastAsia" w:ascii="仿宋_GB2312" w:hAnsi="宋体" w:eastAsia="仿宋_GB2312" w:cs="宋体"/>
          <w:sz w:val="28"/>
          <w:szCs w:val="28"/>
          <w:lang w:eastAsia="zh-CN"/>
        </w:rPr>
        <w:t>潍坊逸飞工程配套有限公司，规划用途为商业用房，</w:t>
      </w:r>
      <w:r>
        <w:rPr>
          <w:rFonts w:hint="default" w:ascii="Times New Roman" w:hAnsi="Times New Roman" w:eastAsia="仿宋_GB2312" w:cs="Times New Roman"/>
          <w:sz w:val="28"/>
          <w:szCs w:val="28"/>
          <w:lang w:eastAsia="zh-CN"/>
        </w:rPr>
        <w:t>房屋所有权证号为</w:t>
      </w:r>
      <w:r>
        <w:rPr>
          <w:rFonts w:hint="eastAsia" w:ascii="仿宋_GB2312" w:hAnsi="宋体" w:eastAsia="仿宋_GB2312" w:cs="宋体"/>
          <w:sz w:val="28"/>
          <w:szCs w:val="28"/>
          <w:lang w:eastAsia="zh-CN"/>
        </w:rPr>
        <w:t>潍房权证市属字第</w:t>
      </w:r>
      <w:r>
        <w:rPr>
          <w:rFonts w:hint="eastAsia" w:ascii="仿宋_GB2312" w:hAnsi="宋体" w:eastAsia="仿宋_GB2312" w:cs="宋体"/>
          <w:sz w:val="28"/>
          <w:szCs w:val="28"/>
          <w:lang w:val="en-US" w:eastAsia="zh-CN"/>
        </w:rPr>
        <w:t>00294647号。证载建筑面积142.63平方米</w:t>
      </w:r>
      <w:r>
        <w:rPr>
          <w:rFonts w:hint="eastAsia" w:ascii="仿宋_GB2312" w:hAnsi="宋体" w:eastAsia="仿宋_GB2312" w:cs="宋体"/>
          <w:sz w:val="28"/>
          <w:szCs w:val="28"/>
          <w:highlight w:val="none"/>
          <w:lang w:eastAsia="zh-CN"/>
        </w:rPr>
        <w:t>；</w:t>
      </w:r>
      <w:r>
        <w:rPr>
          <w:rFonts w:hint="default" w:ascii="Times New Roman" w:eastAsia="仿宋_GB2312"/>
          <w:sz w:val="28"/>
          <w:lang w:eastAsia="zh-CN"/>
        </w:rPr>
        <w:t>该房产已</w:t>
      </w:r>
      <w:r>
        <w:rPr>
          <w:rFonts w:hint="default" w:ascii="Times New Roman" w:eastAsia="仿宋_GB2312"/>
          <w:sz w:val="28"/>
          <w:lang w:val="en-US" w:eastAsia="zh-CN"/>
        </w:rPr>
        <w:t>抵押给潍坊农村商业银行股份有限公司高新支行</w:t>
      </w:r>
      <w:r>
        <w:rPr>
          <w:rFonts w:hint="default" w:ascii="Times New Roman" w:eastAsia="仿宋_GB2312"/>
          <w:sz w:val="28"/>
        </w:rPr>
        <w:t>，</w:t>
      </w:r>
      <w:r>
        <w:rPr>
          <w:rFonts w:hint="default" w:ascii="Times New Roman" w:eastAsia="仿宋_GB2312"/>
          <w:sz w:val="28"/>
          <w:lang w:eastAsia="zh-CN"/>
        </w:rPr>
        <w:t>已查封</w:t>
      </w:r>
      <w:r>
        <w:rPr>
          <w:rFonts w:hint="default" w:ascii="Times New Roman" w:eastAsia="仿宋_GB2312"/>
          <w:sz w:val="28"/>
          <w:lang w:val="en-US" w:eastAsia="zh-CN"/>
        </w:rPr>
        <w:t>。</w:t>
      </w:r>
    </w:p>
    <w:p>
      <w:pPr>
        <w:spacing w:beforeLines="0" w:afterLines="0" w:line="600" w:lineRule="exact"/>
        <w:ind w:firstLine="560" w:firstLineChars="200"/>
        <w:contextualSpacing/>
        <w:rPr>
          <w:rFonts w:hint="eastAsia" w:ascii="仿宋_GB2312" w:eastAsia="仿宋_GB2312"/>
          <w:sz w:val="28"/>
          <w:lang w:val="en-US" w:eastAsia="zh-CN"/>
        </w:rPr>
      </w:pPr>
      <w:r>
        <w:rPr>
          <w:rFonts w:hint="eastAsia" w:ascii="仿宋_GB2312" w:eastAsia="仿宋_GB2312"/>
          <w:sz w:val="28"/>
          <w:lang w:val="en-US" w:eastAsia="zh-CN"/>
        </w:rPr>
        <w:t>查封情况：</w:t>
      </w:r>
      <w:r>
        <w:rPr>
          <w:rFonts w:hint="eastAsia" w:ascii="仿宋_GB2312" w:eastAsia="仿宋_GB2312"/>
          <w:sz w:val="28"/>
          <w:lang w:eastAsia="zh-CN"/>
        </w:rPr>
        <w:t>查封机关</w:t>
      </w:r>
      <w:r>
        <w:rPr>
          <w:rFonts w:hint="eastAsia" w:ascii="仿宋_GB2312" w:eastAsia="仿宋_GB2312"/>
          <w:sz w:val="28"/>
        </w:rPr>
        <w:t>潍坊市</w:t>
      </w:r>
      <w:r>
        <w:rPr>
          <w:rFonts w:hint="eastAsia" w:ascii="仿宋_GB2312" w:eastAsia="仿宋_GB2312"/>
          <w:sz w:val="28"/>
          <w:lang w:eastAsia="zh-CN"/>
        </w:rPr>
        <w:t>高新技术产业开发区</w:t>
      </w:r>
      <w:r>
        <w:rPr>
          <w:rFonts w:hint="eastAsia" w:ascii="仿宋_GB2312" w:eastAsia="仿宋_GB2312"/>
          <w:sz w:val="28"/>
        </w:rPr>
        <w:t>人民法院</w:t>
      </w:r>
      <w:r>
        <w:rPr>
          <w:rFonts w:hint="eastAsia" w:ascii="仿宋_GB2312" w:eastAsia="仿宋_GB2312"/>
          <w:sz w:val="28"/>
          <w:lang w:eastAsia="zh-CN"/>
        </w:rPr>
        <w:t>，查封来文字号（</w:t>
      </w:r>
      <w:r>
        <w:rPr>
          <w:rFonts w:hint="eastAsia" w:ascii="仿宋_GB2312" w:eastAsia="仿宋_GB2312"/>
          <w:sz w:val="28"/>
          <w:lang w:val="en-US" w:eastAsia="zh-CN"/>
        </w:rPr>
        <w:t>2017</w:t>
      </w:r>
      <w:r>
        <w:rPr>
          <w:rFonts w:hint="eastAsia" w:ascii="仿宋_GB2312" w:eastAsia="仿宋_GB2312"/>
          <w:sz w:val="28"/>
          <w:lang w:eastAsia="zh-CN"/>
        </w:rPr>
        <w:t>）鲁</w:t>
      </w:r>
      <w:r>
        <w:rPr>
          <w:rFonts w:hint="eastAsia" w:ascii="仿宋_GB2312" w:eastAsia="仿宋_GB2312"/>
          <w:sz w:val="28"/>
          <w:lang w:val="en-US" w:eastAsia="zh-CN"/>
        </w:rPr>
        <w:t>0791</w:t>
      </w:r>
      <w:r>
        <w:rPr>
          <w:rFonts w:hint="eastAsia" w:ascii="仿宋_GB2312" w:eastAsia="仿宋_GB2312"/>
          <w:sz w:val="28"/>
          <w:lang w:eastAsia="zh-CN"/>
        </w:rPr>
        <w:t>民初</w:t>
      </w:r>
      <w:r>
        <w:rPr>
          <w:rFonts w:hint="eastAsia" w:ascii="仿宋_GB2312" w:eastAsia="仿宋_GB2312"/>
          <w:sz w:val="28"/>
          <w:lang w:val="en-US" w:eastAsia="zh-CN"/>
        </w:rPr>
        <w:t>1147号</w:t>
      </w:r>
      <w:r>
        <w:rPr>
          <w:rFonts w:hint="eastAsia" w:ascii="仿宋_GB2312" w:eastAsia="仿宋_GB2312"/>
          <w:sz w:val="28"/>
        </w:rPr>
        <w:t>，查封起始日期</w:t>
      </w:r>
      <w:r>
        <w:rPr>
          <w:rFonts w:hint="eastAsia" w:ascii="仿宋_GB2312" w:eastAsia="仿宋_GB2312"/>
          <w:sz w:val="28"/>
          <w:lang w:val="en-US" w:eastAsia="zh-CN"/>
        </w:rPr>
        <w:t>2017年07月14日</w:t>
      </w:r>
      <w:r>
        <w:rPr>
          <w:rFonts w:hint="eastAsia" w:ascii="仿宋_GB2312" w:eastAsia="仿宋_GB2312"/>
          <w:sz w:val="28"/>
        </w:rPr>
        <w:t>，终止日期</w:t>
      </w:r>
      <w:r>
        <w:rPr>
          <w:rFonts w:hint="eastAsia" w:ascii="仿宋_GB2312" w:eastAsia="仿宋_GB2312"/>
          <w:sz w:val="28"/>
          <w:lang w:val="en-US" w:eastAsia="zh-CN"/>
        </w:rPr>
        <w:t>2020年07月13日。</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根据本次估价目的和委托要求，本次评估的估价对象价值为完整市场价值，未考虑权利限制或纠纷对价值的影响。</w:t>
      </w:r>
    </w:p>
    <w:bookmarkEnd w:id="31"/>
    <w:p>
      <w:pPr>
        <w:spacing w:beforeLines="0" w:afterLines="0" w:line="600" w:lineRule="exact"/>
        <w:ind w:firstLine="562" w:firstLineChars="200"/>
        <w:contextualSpacing/>
        <w:rPr>
          <w:rFonts w:ascii="仿宋_GB2312" w:hAnsi="宋体" w:eastAsia="仿宋_GB2312" w:cs="宋体"/>
          <w:b/>
          <w:sz w:val="28"/>
          <w:szCs w:val="28"/>
          <w:highlight w:val="none"/>
        </w:rPr>
      </w:pPr>
      <w:r>
        <w:rPr>
          <w:rFonts w:ascii="仿宋_GB2312" w:hAnsi="宋体" w:eastAsia="仿宋_GB2312" w:cs="宋体"/>
          <w:b/>
          <w:sz w:val="28"/>
          <w:szCs w:val="28"/>
          <w:highlight w:val="none"/>
        </w:rPr>
        <w:t>4</w:t>
      </w:r>
      <w:r>
        <w:rPr>
          <w:rFonts w:hint="eastAsia" w:ascii="仿宋_GB2312" w:hAnsi="宋体" w:eastAsia="仿宋_GB2312" w:cs="宋体"/>
          <w:b/>
          <w:sz w:val="28"/>
          <w:szCs w:val="28"/>
          <w:highlight w:val="none"/>
        </w:rPr>
        <w:t>、估价对象实体状况</w:t>
      </w:r>
      <w:r>
        <w:rPr>
          <w:rFonts w:ascii="仿宋_GB2312" w:hAnsi="宋体" w:eastAsia="仿宋_GB2312" w:cs="宋体"/>
          <w:b/>
          <w:sz w:val="28"/>
          <w:szCs w:val="28"/>
          <w:highlight w:val="none"/>
        </w:rPr>
        <w:t xml:space="preserve"> </w:t>
      </w:r>
    </w:p>
    <w:p>
      <w:pPr>
        <w:spacing w:beforeLines="0" w:afterLines="0" w:line="600" w:lineRule="exact"/>
        <w:ind w:firstLine="560" w:firstLineChars="200"/>
        <w:contextualSpacing/>
        <w:jc w:val="left"/>
        <w:rPr>
          <w:rFonts w:hint="eastAsia" w:ascii="仿宋_GB2312" w:hAnsi="宋体" w:eastAsia="仿宋_GB2312" w:cs="宋体"/>
          <w:sz w:val="28"/>
          <w:szCs w:val="28"/>
          <w:lang w:eastAsia="zh-CN"/>
        </w:rPr>
      </w:pPr>
      <w:r>
        <w:rPr>
          <w:rFonts w:hint="eastAsia" w:ascii="仿宋_GB2312" w:hAnsi="宋体" w:eastAsia="仿宋_GB2312" w:cs="宋体"/>
          <w:kern w:val="2"/>
          <w:sz w:val="28"/>
          <w:szCs w:val="28"/>
          <w:highlight w:val="none"/>
        </w:rPr>
        <w:t>估价对象</w:t>
      </w:r>
      <w:r>
        <w:rPr>
          <w:rFonts w:hint="eastAsia" w:ascii="仿宋_GB2312" w:hAnsi="宋体" w:eastAsia="仿宋_GB2312" w:cs="宋体"/>
          <w:bCs w:val="0"/>
          <w:spacing w:val="0"/>
          <w:kern w:val="2"/>
          <w:sz w:val="28"/>
          <w:szCs w:val="28"/>
          <w:highlight w:val="none"/>
          <w:lang w:eastAsia="zh-CN"/>
        </w:rPr>
        <w:t>位于潍坊市奎文区宝通街以北、清溪街以南宝通花园2号楼</w:t>
      </w:r>
      <w:r>
        <w:rPr>
          <w:rFonts w:hint="eastAsia" w:ascii="仿宋_GB2312" w:hAnsi="宋体" w:eastAsia="仿宋_GB2312" w:cs="宋体"/>
          <w:bCs w:val="0"/>
          <w:spacing w:val="0"/>
          <w:kern w:val="2"/>
          <w:sz w:val="28"/>
          <w:szCs w:val="28"/>
          <w:highlight w:val="none"/>
          <w:lang w:val="en-US" w:eastAsia="zh-CN"/>
        </w:rPr>
        <w:t>06室，北</w:t>
      </w:r>
      <w:r>
        <w:rPr>
          <w:rFonts w:hint="eastAsia" w:ascii="仿宋_GB2312" w:hAnsi="宋体" w:eastAsia="仿宋_GB2312" w:cs="宋体"/>
          <w:kern w:val="2"/>
          <w:sz w:val="28"/>
          <w:szCs w:val="28"/>
          <w:highlight w:val="none"/>
          <w:lang w:val="en-US" w:eastAsia="zh-CN"/>
        </w:rPr>
        <w:t>临清溪街，</w:t>
      </w:r>
      <w:r>
        <w:rPr>
          <w:rFonts w:hint="eastAsia" w:ascii="仿宋_GB2312" w:hAnsi="宋体" w:eastAsia="仿宋_GB2312" w:cs="宋体"/>
          <w:kern w:val="2"/>
          <w:sz w:val="28"/>
          <w:szCs w:val="28"/>
          <w:highlight w:val="none"/>
          <w:lang w:eastAsia="zh-CN"/>
        </w:rPr>
        <w:t>房屋建筑面积共</w:t>
      </w:r>
      <w:r>
        <w:rPr>
          <w:rFonts w:hint="eastAsia" w:ascii="仿宋_GB2312" w:hAnsi="宋体" w:eastAsia="仿宋_GB2312" w:cs="宋体"/>
          <w:kern w:val="2"/>
          <w:sz w:val="28"/>
          <w:szCs w:val="28"/>
          <w:highlight w:val="none"/>
          <w:lang w:val="en-US" w:eastAsia="zh-CN"/>
        </w:rPr>
        <w:t>142.63m²，</w:t>
      </w:r>
      <w:r>
        <w:rPr>
          <w:rFonts w:hint="eastAsia" w:ascii="仿宋_GB2312" w:hAnsi="宋体" w:eastAsia="仿宋_GB2312" w:cs="宋体"/>
          <w:kern w:val="2"/>
          <w:sz w:val="28"/>
          <w:szCs w:val="28"/>
          <w:highlight w:val="none"/>
          <w:lang w:eastAsia="zh-CN"/>
        </w:rPr>
        <w:t>该商铺建成于</w:t>
      </w:r>
      <w:r>
        <w:rPr>
          <w:rFonts w:hint="eastAsia" w:ascii="仿宋_GB2312" w:hAnsi="宋体" w:eastAsia="仿宋_GB2312" w:cs="宋体"/>
          <w:kern w:val="2"/>
          <w:sz w:val="28"/>
          <w:szCs w:val="28"/>
          <w:highlight w:val="none"/>
          <w:lang w:val="en-US" w:eastAsia="zh-CN"/>
        </w:rPr>
        <w:t>2009年，</w:t>
      </w:r>
      <w:r>
        <w:rPr>
          <w:rFonts w:hint="default" w:ascii="Times New Roman" w:hAnsi="Times New Roman" w:eastAsia="仿宋_GB2312" w:cs="Times New Roman"/>
          <w:sz w:val="28"/>
          <w:szCs w:val="28"/>
          <w:lang w:val="en-US" w:eastAsia="zh-CN"/>
        </w:rPr>
        <w:t>楼层为1-2/11，</w:t>
      </w:r>
      <w:r>
        <w:rPr>
          <w:rFonts w:hint="eastAsia" w:eastAsia="仿宋_GB2312" w:cs="Times New Roman"/>
          <w:sz w:val="28"/>
          <w:szCs w:val="28"/>
          <w:lang w:val="en-US" w:eastAsia="zh-CN"/>
        </w:rPr>
        <w:t>现为老酒馆商铺，经营陈酒、名酒的品鉴、收藏、投资、交流</w:t>
      </w:r>
      <w:r>
        <w:rPr>
          <w:rFonts w:hint="eastAsia" w:ascii="仿宋_GB2312" w:hAnsi="宋体" w:eastAsia="仿宋_GB2312" w:cs="宋体"/>
          <w:sz w:val="28"/>
          <w:szCs w:val="28"/>
          <w:lang w:val="en-US" w:eastAsia="zh-CN"/>
        </w:rPr>
        <w:t>，该商铺与</w:t>
      </w:r>
      <w:r>
        <w:rPr>
          <w:rFonts w:hint="eastAsia" w:ascii="仿宋_GB2312" w:hAnsi="宋体" w:eastAsia="仿宋_GB2312" w:cs="宋体"/>
          <w:bCs w:val="0"/>
          <w:spacing w:val="0"/>
          <w:sz w:val="28"/>
          <w:szCs w:val="28"/>
          <w:lang w:eastAsia="zh-CN"/>
        </w:rPr>
        <w:t>2号楼</w:t>
      </w:r>
      <w:r>
        <w:rPr>
          <w:rFonts w:hint="eastAsia" w:ascii="仿宋_GB2312" w:hAnsi="宋体" w:eastAsia="仿宋_GB2312" w:cs="宋体"/>
          <w:bCs w:val="0"/>
          <w:spacing w:val="0"/>
          <w:sz w:val="28"/>
          <w:szCs w:val="28"/>
          <w:lang w:val="en-US" w:eastAsia="zh-CN"/>
        </w:rPr>
        <w:t>05室连通，同为</w:t>
      </w:r>
      <w:r>
        <w:rPr>
          <w:rFonts w:hint="eastAsia" w:eastAsia="仿宋_GB2312" w:cs="Times New Roman"/>
          <w:sz w:val="28"/>
          <w:szCs w:val="28"/>
          <w:lang w:val="en-US" w:eastAsia="zh-CN"/>
        </w:rPr>
        <w:t>老酒馆商铺经营使用中，</w:t>
      </w:r>
      <w:r>
        <w:rPr>
          <w:rFonts w:hint="eastAsia" w:ascii="仿宋_GB2312" w:hAnsi="宋体" w:eastAsia="仿宋_GB2312" w:cs="宋体"/>
          <w:sz w:val="28"/>
          <w:szCs w:val="28"/>
          <w:lang w:eastAsia="zh-CN"/>
        </w:rPr>
        <w:t>卷帘门，塑钢窗，</w:t>
      </w:r>
      <w:r>
        <w:rPr>
          <w:rFonts w:hint="eastAsia" w:ascii="仿宋_GB2312" w:hAnsi="宋体" w:eastAsia="仿宋_GB2312" w:cs="宋体"/>
          <w:sz w:val="28"/>
          <w:szCs w:val="28"/>
          <w:lang w:val="en-US" w:eastAsia="zh-CN"/>
        </w:rPr>
        <w:t>室内地面瓷砖，石膏吊顶，外墙贴瓷，木制楼梯，二楼瓷砖地面，墙面刮瓷，独立卫生间</w:t>
      </w:r>
      <w:r>
        <w:rPr>
          <w:rFonts w:hint="eastAsia" w:ascii="仿宋_GB2312" w:hAnsi="宋体" w:eastAsia="仿宋_GB2312" w:cs="宋体"/>
          <w:sz w:val="28"/>
          <w:szCs w:val="28"/>
          <w:lang w:eastAsia="zh-CN"/>
        </w:rPr>
        <w:t>。</w:t>
      </w:r>
    </w:p>
    <w:p>
      <w:pPr>
        <w:spacing w:beforeLines="0" w:afterLines="0" w:line="600" w:lineRule="exact"/>
        <w:ind w:firstLine="560" w:firstLineChars="200"/>
        <w:contextualSpacing/>
        <w:rPr>
          <w:rFonts w:hint="eastAsia" w:ascii="仿宋_GB2312" w:hAnsi="宋体" w:eastAsia="仿宋_GB2312" w:cs="宋体"/>
          <w:sz w:val="28"/>
          <w:szCs w:val="28"/>
          <w:lang w:val="en-US" w:eastAsia="zh-CN"/>
        </w:rPr>
      </w:pPr>
      <w:r>
        <w:rPr>
          <w:rFonts w:hint="default" w:ascii="Times New Roman" w:hAnsi="Times New Roman" w:eastAsia="仿宋_GB2312" w:cs="Times New Roman"/>
          <w:sz w:val="28"/>
          <w:szCs w:val="28"/>
          <w:highlight w:val="none"/>
          <w:lang w:eastAsia="zh-CN"/>
        </w:rPr>
        <w:t>根据委托人提供的相关不动产登记证明等信息，估价对象所占用土地均为国有建设用地。经现场勘查，估价对象所在地</w:t>
      </w:r>
      <w:r>
        <w:rPr>
          <w:rFonts w:hint="default" w:ascii="Times New Roman" w:hAnsi="Times New Roman" w:eastAsia="仿宋_GB2312" w:cs="Times New Roman"/>
          <w:sz w:val="28"/>
          <w:szCs w:val="28"/>
        </w:rPr>
        <w:t>地势</w:t>
      </w:r>
      <w:r>
        <w:rPr>
          <w:rFonts w:hint="default" w:ascii="Times New Roman" w:hAnsi="Times New Roman" w:eastAsia="仿宋_GB2312" w:cs="Times New Roman"/>
          <w:sz w:val="28"/>
          <w:szCs w:val="28"/>
          <w:lang w:eastAsia="zh-CN"/>
        </w:rPr>
        <w:t>较</w:t>
      </w:r>
      <w:r>
        <w:rPr>
          <w:rFonts w:hint="default" w:ascii="Times New Roman" w:hAnsi="Times New Roman" w:eastAsia="仿宋_GB2312" w:cs="Times New Roman"/>
          <w:sz w:val="28"/>
          <w:szCs w:val="28"/>
        </w:rPr>
        <w:t>平坦，地基承载能力较强，基础设施</w:t>
      </w:r>
      <w:r>
        <w:rPr>
          <w:rFonts w:hint="eastAsia" w:eastAsia="仿宋_GB2312" w:cs="Times New Roman"/>
          <w:sz w:val="28"/>
          <w:szCs w:val="28"/>
          <w:lang w:eastAsia="zh-CN"/>
        </w:rPr>
        <w:t>配套齐全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宗地周围环境较好，无污染。</w:t>
      </w:r>
    </w:p>
    <w:p>
      <w:pPr>
        <w:spacing w:beforeLines="0" w:afterLines="0" w:line="600" w:lineRule="exact"/>
        <w:ind w:firstLine="562" w:firstLineChars="200"/>
        <w:contextualSpacing/>
        <w:rPr>
          <w:rFonts w:ascii="仿宋_GB2312" w:hAnsi="宋体" w:eastAsia="仿宋_GB2312" w:cs="宋体"/>
          <w:b/>
          <w:color w:val="FF0000"/>
          <w:sz w:val="28"/>
          <w:szCs w:val="28"/>
        </w:rPr>
      </w:pPr>
      <w:r>
        <w:rPr>
          <w:rFonts w:ascii="仿宋_GB2312" w:hAnsi="宋体" w:eastAsia="仿宋_GB2312" w:cs="宋体"/>
          <w:b/>
          <w:sz w:val="28"/>
          <w:szCs w:val="28"/>
        </w:rPr>
        <w:t>5</w:t>
      </w:r>
      <w:r>
        <w:rPr>
          <w:rFonts w:hint="eastAsia" w:ascii="仿宋_GB2312" w:hAnsi="宋体" w:eastAsia="仿宋_GB2312" w:cs="宋体"/>
          <w:b/>
          <w:sz w:val="28"/>
          <w:szCs w:val="28"/>
        </w:rPr>
        <w:t>、区位状况</w:t>
      </w:r>
    </w:p>
    <w:p>
      <w:pPr>
        <w:spacing w:beforeLines="0" w:afterLines="0" w:line="600" w:lineRule="exact"/>
        <w:ind w:firstLine="560" w:firstLineChars="200"/>
        <w:outlineLvl w:val="1"/>
        <w:rPr>
          <w:rFonts w:hint="eastAsia" w:ascii="仿宋_GB2312" w:hAnsi="宋体" w:eastAsia="仿宋_GB2312"/>
          <w:b/>
          <w:sz w:val="28"/>
          <w:szCs w:val="28"/>
        </w:rPr>
      </w:pPr>
      <w:bookmarkStart w:id="32" w:name="_Toc2068"/>
      <w:bookmarkStart w:id="33" w:name="_Toc32505"/>
      <w:r>
        <w:rPr>
          <w:rFonts w:hint="eastAsia" w:ascii="仿宋_GB2312" w:hAnsi="宋体" w:eastAsia="仿宋_GB2312" w:cs="宋体"/>
          <w:sz w:val="28"/>
          <w:szCs w:val="28"/>
        </w:rPr>
        <w:t>估价对象</w:t>
      </w:r>
      <w:r>
        <w:rPr>
          <w:rFonts w:hint="eastAsia" w:ascii="仿宋_GB2312" w:hAnsi="宋体" w:eastAsia="仿宋_GB2312" w:cs="宋体"/>
          <w:bCs w:val="0"/>
          <w:spacing w:val="0"/>
          <w:sz w:val="28"/>
          <w:szCs w:val="28"/>
          <w:lang w:eastAsia="zh-CN"/>
        </w:rPr>
        <w:t>位于潍坊市奎文区宝通街以北、清溪街以南宝通花园2号楼</w:t>
      </w:r>
      <w:r>
        <w:rPr>
          <w:rFonts w:hint="eastAsia" w:ascii="仿宋_GB2312" w:hAnsi="宋体" w:eastAsia="仿宋_GB2312" w:cs="宋体"/>
          <w:bCs w:val="0"/>
          <w:spacing w:val="0"/>
          <w:sz w:val="28"/>
          <w:szCs w:val="28"/>
          <w:lang w:val="en-US" w:eastAsia="zh-CN"/>
        </w:rPr>
        <w:t>06号</w:t>
      </w:r>
      <w:r>
        <w:rPr>
          <w:rFonts w:hint="eastAsia" w:ascii="仿宋_GB2312" w:hAnsi="宋体" w:eastAsia="仿宋_GB2312" w:cs="宋体"/>
          <w:sz w:val="28"/>
          <w:szCs w:val="28"/>
          <w:lang w:eastAsia="zh-CN"/>
        </w:rPr>
        <w:t>，北临清溪街</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南邻宝通东街</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西为景苑小区，东临宝通东街辅路。该小区所在区域交通便利</w:t>
      </w:r>
      <w:r>
        <w:rPr>
          <w:rFonts w:hint="eastAsia" w:ascii="仿宋_GB2312" w:hAnsi="宋体" w:eastAsia="仿宋_GB2312" w:cs="宋体"/>
          <w:sz w:val="28"/>
          <w:szCs w:val="28"/>
        </w:rPr>
        <w:t>，区域内各项基础设施配套</w:t>
      </w:r>
      <w:r>
        <w:rPr>
          <w:rFonts w:hint="eastAsia" w:ascii="仿宋_GB2312" w:hAnsi="宋体" w:eastAsia="仿宋_GB2312" w:cs="宋体"/>
          <w:sz w:val="28"/>
          <w:szCs w:val="28"/>
          <w:lang w:eastAsia="zh-CN"/>
        </w:rPr>
        <w:t>较好</w:t>
      </w:r>
      <w:r>
        <w:rPr>
          <w:rFonts w:hint="eastAsia" w:ascii="仿宋_GB2312" w:hAnsi="宋体" w:eastAsia="仿宋_GB2312" w:cs="宋体"/>
          <w:sz w:val="28"/>
          <w:szCs w:val="28"/>
        </w:rPr>
        <w:t>。</w:t>
      </w:r>
      <w:bookmarkEnd w:id="32"/>
      <w:bookmarkEnd w:id="33"/>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34" w:name="_Toc16796"/>
      <w:bookmarkStart w:id="35" w:name="_Toc26852"/>
      <w:bookmarkStart w:id="36" w:name="_Toc12492"/>
      <w:r>
        <w:rPr>
          <w:rStyle w:val="20"/>
          <w:rFonts w:hint="eastAsia" w:ascii="仿宋_GB2312" w:hAnsi="宋体" w:eastAsia="仿宋_GB2312" w:cs="宋体"/>
          <w:bCs/>
          <w:sz w:val="28"/>
          <w:szCs w:val="28"/>
        </w:rPr>
        <w:t>五、价值时点</w:t>
      </w:r>
      <w:bookmarkEnd w:id="34"/>
      <w:bookmarkEnd w:id="35"/>
      <w:bookmarkEnd w:id="36"/>
    </w:p>
    <w:p>
      <w:pPr>
        <w:tabs>
          <w:tab w:val="left" w:pos="7114"/>
        </w:tabs>
        <w:spacing w:beforeLines="0" w:afterLines="0" w:line="600" w:lineRule="exact"/>
        <w:ind w:firstLine="560" w:firstLineChars="200"/>
        <w:jc w:val="left"/>
        <w:rPr>
          <w:rFonts w:ascii="仿宋_GB2312" w:hAnsi="宋体" w:eastAsia="仿宋_GB2312" w:cs="宋体"/>
          <w:color w:val="FF0000"/>
          <w:sz w:val="28"/>
        </w:rPr>
      </w:pP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r>
        <w:rPr>
          <w:rFonts w:hint="eastAsia" w:ascii="仿宋_GB2312" w:hAnsi="宋体" w:eastAsia="仿宋_GB2312" w:cs="宋体"/>
          <w:sz w:val="28"/>
          <w:szCs w:val="28"/>
        </w:rPr>
        <w:t>，此日期为现场查勘开始日期。</w:t>
      </w:r>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37" w:name="_Toc23962"/>
      <w:bookmarkStart w:id="38" w:name="_Toc18465"/>
      <w:bookmarkStart w:id="39" w:name="_Toc1423"/>
      <w:r>
        <w:rPr>
          <w:rStyle w:val="20"/>
          <w:rFonts w:hint="eastAsia" w:ascii="仿宋_GB2312" w:hAnsi="宋体" w:eastAsia="仿宋_GB2312" w:cs="宋体"/>
          <w:bCs/>
          <w:sz w:val="28"/>
          <w:szCs w:val="28"/>
        </w:rPr>
        <w:t>六、价值类型</w:t>
      </w:r>
      <w:bookmarkEnd w:id="37"/>
      <w:bookmarkEnd w:id="38"/>
      <w:bookmarkEnd w:id="39"/>
    </w:p>
    <w:p>
      <w:pPr>
        <w:spacing w:beforeLines="0" w:afterLines="0" w:line="600" w:lineRule="exact"/>
        <w:ind w:firstLine="560" w:firstLineChars="200"/>
        <w:contextualSpacing/>
        <w:rPr>
          <w:rFonts w:ascii="仿宋_GB2312" w:hAnsi="宋体" w:eastAsia="仿宋_GB2312" w:cs="宋体"/>
          <w:sz w:val="28"/>
          <w:szCs w:val="28"/>
        </w:rPr>
      </w:pPr>
      <w:bookmarkStart w:id="40" w:name="_Toc389060151"/>
      <w:bookmarkStart w:id="41" w:name="_Toc389060203"/>
      <w:r>
        <w:rPr>
          <w:rFonts w:hint="eastAsia" w:ascii="仿宋_GB2312" w:hAnsi="宋体" w:eastAsia="仿宋_GB2312" w:cs="宋体"/>
          <w:sz w:val="28"/>
          <w:szCs w:val="28"/>
        </w:rPr>
        <w:t>市场价值，是指估价对象由熟悉情况的交易双方以公平交易方式在价值时点自愿进行交易的金额。</w:t>
      </w:r>
      <w:bookmarkEnd w:id="40"/>
      <w:bookmarkEnd w:id="41"/>
    </w:p>
    <w:p>
      <w:pPr>
        <w:spacing w:beforeLines="0" w:afterLines="0" w:line="600" w:lineRule="exact"/>
        <w:ind w:firstLine="562" w:firstLineChars="200"/>
        <w:contextualSpacing/>
        <w:jc w:val="left"/>
        <w:outlineLvl w:val="1"/>
        <w:rPr>
          <w:rFonts w:ascii="仿宋_GB2312" w:hAnsi="宋体" w:eastAsia="仿宋_GB2312" w:cs="宋体"/>
          <w:sz w:val="28"/>
          <w:szCs w:val="28"/>
        </w:rPr>
      </w:pPr>
      <w:bookmarkStart w:id="42" w:name="_Toc12759"/>
      <w:bookmarkStart w:id="43" w:name="_Toc32086"/>
      <w:bookmarkStart w:id="44" w:name="_Toc9749"/>
      <w:r>
        <w:rPr>
          <w:rStyle w:val="20"/>
          <w:rFonts w:hint="eastAsia" w:ascii="仿宋_GB2312" w:hAnsi="宋体" w:eastAsia="仿宋_GB2312" w:cs="宋体"/>
          <w:bCs/>
          <w:sz w:val="28"/>
          <w:szCs w:val="28"/>
        </w:rPr>
        <w:t>七、估价原则</w:t>
      </w:r>
      <w:bookmarkEnd w:id="42"/>
      <w:bookmarkEnd w:id="43"/>
      <w:bookmarkEnd w:id="44"/>
    </w:p>
    <w:p>
      <w:pPr>
        <w:spacing w:beforeLines="0" w:afterLines="0" w:line="600" w:lineRule="exact"/>
        <w:ind w:firstLine="560" w:firstLineChars="200"/>
        <w:contextualSpacing/>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、独立、客观、公正原则：</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要求站在中立的立场上，实事求是、公平正直地评估出对各方估价利害关系人均是公平合理的价值或价格的原则。</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、合法原则：</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要求估价结果是在依法判定的估价对象状况下的价值或价格的原则。房地产估价遵循合法原则，应当以估价对象的合法产权、合法使用、合法交易为前提进行。</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、价值时点原则：</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是在根据估价目的确定的某一特定时间的价值或价格的原则。房地产估价之所以要遵循价值时点原则，是因为影响房地产价格的因素是不断变化的，房地产市场是不断变化的，从而房地产价格和价值也是不断变化的。</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、替代原则：</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要求估价结果与估价对象的类似房地产在同等条件下的价值或价格偏差在合理范围内的原则。</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、最高最佳利用原则：</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45" w:name="_Toc24642"/>
      <w:bookmarkStart w:id="46" w:name="_Toc31951"/>
      <w:bookmarkStart w:id="47" w:name="_Toc25796"/>
      <w:r>
        <w:rPr>
          <w:rStyle w:val="20"/>
          <w:rFonts w:hint="eastAsia" w:ascii="仿宋_GB2312" w:hAnsi="宋体" w:eastAsia="仿宋_GB2312" w:cs="宋体"/>
          <w:bCs/>
          <w:sz w:val="28"/>
          <w:szCs w:val="28"/>
        </w:rPr>
        <w:t>八、估价依据</w:t>
      </w:r>
      <w:bookmarkEnd w:id="45"/>
      <w:bookmarkEnd w:id="46"/>
      <w:bookmarkEnd w:id="47"/>
    </w:p>
    <w:p>
      <w:pPr>
        <w:spacing w:beforeLines="0" w:afterLines="0" w:line="600" w:lineRule="exact"/>
        <w:ind w:firstLine="560" w:firstLineChars="200"/>
        <w:jc w:val="left"/>
        <w:rPr>
          <w:rFonts w:ascii="仿宋_GB2312" w:hAnsi="宋体" w:eastAsia="仿宋_GB2312" w:cs="宋体"/>
          <w:bCs/>
          <w:sz w:val="28"/>
          <w:szCs w:val="28"/>
        </w:rPr>
      </w:pPr>
      <w:r>
        <w:rPr>
          <w:rFonts w:ascii="仿宋_GB2312" w:hAnsi="宋体" w:eastAsia="仿宋_GB2312" w:cs="宋体"/>
          <w:bCs/>
          <w:sz w:val="28"/>
          <w:szCs w:val="28"/>
        </w:rPr>
        <w:t>1</w:t>
      </w:r>
      <w:r>
        <w:rPr>
          <w:rFonts w:hint="eastAsia" w:ascii="仿宋_GB2312" w:hAnsi="宋体" w:eastAsia="仿宋_GB2312" w:cs="宋体"/>
          <w:bCs/>
          <w:sz w:val="28"/>
          <w:szCs w:val="28"/>
        </w:rPr>
        <w:t>、相关房地产法律、法规、政府文件、部门规章：</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1</w:t>
      </w:r>
      <w:r>
        <w:rPr>
          <w:rFonts w:hint="eastAsia" w:ascii="仿宋_GB2312" w:hAnsi="宋体" w:eastAsia="仿宋_GB2312" w:cs="宋体"/>
          <w:bCs/>
          <w:sz w:val="28"/>
          <w:szCs w:val="28"/>
        </w:rPr>
        <w:t>）《中华人民共和国城市房地产管理法》（中华人民共和国主席令第</w:t>
      </w:r>
      <w:r>
        <w:rPr>
          <w:rFonts w:ascii="仿宋_GB2312" w:hAnsi="宋体" w:eastAsia="仿宋_GB2312" w:cs="宋体"/>
          <w:bCs/>
          <w:sz w:val="28"/>
          <w:szCs w:val="28"/>
        </w:rPr>
        <w:t>72</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2</w:t>
      </w:r>
      <w:r>
        <w:rPr>
          <w:rFonts w:hint="eastAsia" w:ascii="仿宋_GB2312" w:hAnsi="宋体" w:eastAsia="仿宋_GB2312" w:cs="宋体"/>
          <w:bCs/>
          <w:sz w:val="28"/>
          <w:szCs w:val="28"/>
        </w:rPr>
        <w:t>）《中华人民共和国土地管理法》（中华人民共和国主席令第</w:t>
      </w:r>
      <w:r>
        <w:rPr>
          <w:rFonts w:ascii="仿宋_GB2312" w:hAnsi="宋体" w:eastAsia="仿宋_GB2312" w:cs="宋体"/>
          <w:bCs/>
          <w:sz w:val="28"/>
          <w:szCs w:val="28"/>
        </w:rPr>
        <w:t>28</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3</w:t>
      </w:r>
      <w:r>
        <w:rPr>
          <w:rFonts w:hint="eastAsia" w:ascii="仿宋_GB2312" w:hAnsi="宋体" w:eastAsia="仿宋_GB2312" w:cs="宋体"/>
          <w:bCs/>
          <w:sz w:val="28"/>
          <w:szCs w:val="28"/>
        </w:rPr>
        <w:t>）《中华人民共和国民事诉讼法》（主席令</w:t>
      </w:r>
      <w:r>
        <w:rPr>
          <w:rFonts w:ascii="仿宋_GB2312" w:hAnsi="宋体" w:eastAsia="仿宋_GB2312" w:cs="宋体"/>
          <w:bCs/>
          <w:sz w:val="28"/>
          <w:szCs w:val="28"/>
        </w:rPr>
        <w:t>75</w:t>
      </w:r>
      <w:r>
        <w:rPr>
          <w:rFonts w:hint="eastAsia" w:ascii="仿宋_GB2312" w:hAnsi="宋体" w:eastAsia="仿宋_GB2312" w:cs="宋体"/>
          <w:bCs/>
          <w:sz w:val="28"/>
          <w:szCs w:val="28"/>
        </w:rPr>
        <w:t>号，</w:t>
      </w:r>
      <w:r>
        <w:rPr>
          <w:rFonts w:ascii="仿宋_GB2312" w:hAnsi="宋体" w:eastAsia="仿宋_GB2312" w:cs="宋体"/>
          <w:bCs/>
          <w:sz w:val="28"/>
          <w:szCs w:val="28"/>
        </w:rPr>
        <w:t>2008</w:t>
      </w:r>
      <w:r>
        <w:rPr>
          <w:rFonts w:hint="eastAsia" w:ascii="仿宋_GB2312" w:hAnsi="宋体" w:eastAsia="仿宋_GB2312" w:cs="宋体"/>
          <w:bCs/>
          <w:sz w:val="28"/>
          <w:szCs w:val="28"/>
        </w:rPr>
        <w:t>年</w:t>
      </w:r>
      <w:r>
        <w:rPr>
          <w:rFonts w:ascii="仿宋_GB2312" w:hAnsi="宋体" w:eastAsia="仿宋_GB2312" w:cs="宋体"/>
          <w:bCs/>
          <w:sz w:val="28"/>
          <w:szCs w:val="28"/>
        </w:rPr>
        <w:t>4</w:t>
      </w:r>
      <w:r>
        <w:rPr>
          <w:rFonts w:hint="eastAsia" w:ascii="仿宋_GB2312" w:hAnsi="宋体" w:eastAsia="仿宋_GB2312" w:cs="宋体"/>
          <w:bCs/>
          <w:sz w:val="28"/>
          <w:szCs w:val="28"/>
        </w:rPr>
        <w:t>月</w:t>
      </w:r>
      <w:r>
        <w:rPr>
          <w:rFonts w:ascii="仿宋_GB2312" w:hAnsi="宋体" w:eastAsia="仿宋_GB2312" w:cs="宋体"/>
          <w:bCs/>
          <w:sz w:val="28"/>
          <w:szCs w:val="28"/>
        </w:rPr>
        <w:t>1</w:t>
      </w:r>
      <w:r>
        <w:rPr>
          <w:rFonts w:hint="eastAsia" w:ascii="仿宋_GB2312" w:hAnsi="宋体" w:eastAsia="仿宋_GB2312" w:cs="宋体"/>
          <w:bCs/>
          <w:sz w:val="28"/>
          <w:szCs w:val="28"/>
        </w:rPr>
        <w:t>日起施行）；</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4</w:t>
      </w:r>
      <w:r>
        <w:rPr>
          <w:rFonts w:hint="eastAsia" w:ascii="仿宋_GB2312" w:hAnsi="宋体" w:eastAsia="仿宋_GB2312" w:cs="宋体"/>
          <w:bCs/>
          <w:sz w:val="28"/>
          <w:szCs w:val="28"/>
        </w:rPr>
        <w:t>）《中华人民共和国资产评估法》（主席令第</w:t>
      </w:r>
      <w:r>
        <w:rPr>
          <w:rFonts w:ascii="仿宋_GB2312" w:hAnsi="宋体" w:eastAsia="仿宋_GB2312" w:cs="宋体"/>
          <w:bCs/>
          <w:sz w:val="28"/>
          <w:szCs w:val="28"/>
        </w:rPr>
        <w:t>46</w:t>
      </w:r>
      <w:r>
        <w:rPr>
          <w:rFonts w:hint="eastAsia" w:ascii="仿宋_GB2312" w:hAnsi="宋体" w:eastAsia="仿宋_GB2312" w:cs="宋体"/>
          <w:bCs/>
          <w:sz w:val="28"/>
          <w:szCs w:val="28"/>
        </w:rPr>
        <w:t>号，</w:t>
      </w:r>
      <w:r>
        <w:rPr>
          <w:rFonts w:ascii="仿宋_GB2312" w:hAnsi="宋体" w:eastAsia="仿宋_GB2312" w:cs="宋体"/>
          <w:bCs/>
          <w:sz w:val="28"/>
          <w:szCs w:val="28"/>
        </w:rPr>
        <w:t>2016</w:t>
      </w:r>
      <w:r>
        <w:rPr>
          <w:rFonts w:hint="eastAsia" w:ascii="仿宋_GB2312" w:hAnsi="宋体" w:eastAsia="仿宋_GB2312" w:cs="宋体"/>
          <w:bCs/>
          <w:sz w:val="28"/>
          <w:szCs w:val="28"/>
        </w:rPr>
        <w:t>年</w:t>
      </w:r>
      <w:r>
        <w:rPr>
          <w:rFonts w:ascii="仿宋_GB2312" w:hAnsi="宋体" w:eastAsia="仿宋_GB2312" w:cs="宋体"/>
          <w:bCs/>
          <w:sz w:val="28"/>
          <w:szCs w:val="28"/>
        </w:rPr>
        <w:t>12</w:t>
      </w:r>
      <w:r>
        <w:rPr>
          <w:rFonts w:hint="eastAsia" w:ascii="仿宋_GB2312" w:hAnsi="宋体" w:eastAsia="仿宋_GB2312" w:cs="宋体"/>
          <w:bCs/>
          <w:sz w:val="28"/>
          <w:szCs w:val="28"/>
        </w:rPr>
        <w:t>月</w:t>
      </w:r>
      <w:r>
        <w:rPr>
          <w:rFonts w:ascii="仿宋_GB2312" w:hAnsi="宋体" w:eastAsia="仿宋_GB2312" w:cs="宋体"/>
          <w:bCs/>
          <w:sz w:val="28"/>
          <w:szCs w:val="28"/>
        </w:rPr>
        <w:t>1</w:t>
      </w:r>
      <w:r>
        <w:rPr>
          <w:rFonts w:hint="eastAsia" w:ascii="仿宋_GB2312" w:hAnsi="宋体" w:eastAsia="仿宋_GB2312" w:cs="宋体"/>
          <w:bCs/>
          <w:sz w:val="28"/>
          <w:szCs w:val="28"/>
        </w:rPr>
        <w:t>日起施行）；</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5</w:t>
      </w:r>
      <w:r>
        <w:rPr>
          <w:rFonts w:hint="eastAsia" w:ascii="仿宋_GB2312" w:hAnsi="宋体" w:eastAsia="仿宋_GB2312" w:cs="宋体"/>
          <w:bCs/>
          <w:sz w:val="28"/>
          <w:szCs w:val="28"/>
        </w:rPr>
        <w:t>）《中华人民共和国物权法》（中华人民共和国主席令第</w:t>
      </w:r>
      <w:r>
        <w:rPr>
          <w:rFonts w:ascii="仿宋_GB2312" w:hAnsi="宋体" w:eastAsia="仿宋_GB2312" w:cs="宋体"/>
          <w:bCs/>
          <w:sz w:val="28"/>
          <w:szCs w:val="28"/>
        </w:rPr>
        <w:t>62</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6</w:t>
      </w:r>
      <w:r>
        <w:rPr>
          <w:rFonts w:hint="eastAsia" w:ascii="仿宋_GB2312" w:hAnsi="宋体" w:eastAsia="仿宋_GB2312" w:cs="宋体"/>
          <w:bCs/>
          <w:sz w:val="28"/>
          <w:szCs w:val="28"/>
        </w:rPr>
        <w:t>）《中华人民共和国合同法》（中华人民共和国主席令第</w:t>
      </w:r>
      <w:r>
        <w:rPr>
          <w:rFonts w:ascii="仿宋_GB2312" w:hAnsi="宋体" w:eastAsia="仿宋_GB2312" w:cs="宋体"/>
          <w:bCs/>
          <w:sz w:val="28"/>
          <w:szCs w:val="28"/>
        </w:rPr>
        <w:t>15</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7</w:t>
      </w:r>
      <w:r>
        <w:rPr>
          <w:rFonts w:hint="eastAsia" w:ascii="仿宋_GB2312" w:hAnsi="宋体" w:eastAsia="仿宋_GB2312" w:cs="宋体"/>
          <w:bCs/>
          <w:sz w:val="28"/>
          <w:szCs w:val="28"/>
        </w:rPr>
        <w:t>）《最高人民法院关于人民法院民事执行中拍卖、变卖财产的规定》（</w:t>
      </w:r>
      <w:r>
        <w:rPr>
          <w:rFonts w:ascii="仿宋_GB2312" w:hAnsi="宋体" w:eastAsia="仿宋_GB2312" w:cs="宋体"/>
          <w:bCs/>
          <w:sz w:val="28"/>
          <w:szCs w:val="28"/>
        </w:rPr>
        <w:t>2004</w:t>
      </w:r>
      <w:r>
        <w:rPr>
          <w:rFonts w:hint="eastAsia" w:ascii="仿宋_GB2312" w:hAnsi="宋体" w:eastAsia="仿宋_GB2312" w:cs="宋体"/>
          <w:bCs/>
          <w:sz w:val="28"/>
          <w:szCs w:val="28"/>
        </w:rPr>
        <w:t>年</w:t>
      </w:r>
      <w:r>
        <w:rPr>
          <w:rFonts w:ascii="仿宋_GB2312" w:hAnsi="宋体" w:eastAsia="仿宋_GB2312" w:cs="宋体"/>
          <w:bCs/>
          <w:sz w:val="28"/>
          <w:szCs w:val="28"/>
        </w:rPr>
        <w:t>10</w:t>
      </w:r>
      <w:r>
        <w:rPr>
          <w:rFonts w:hint="eastAsia" w:ascii="仿宋_GB2312" w:hAnsi="宋体" w:eastAsia="仿宋_GB2312" w:cs="宋体"/>
          <w:bCs/>
          <w:sz w:val="28"/>
          <w:szCs w:val="28"/>
        </w:rPr>
        <w:t>月</w:t>
      </w:r>
      <w:r>
        <w:rPr>
          <w:rFonts w:ascii="仿宋_GB2312" w:hAnsi="宋体" w:eastAsia="仿宋_GB2312" w:cs="宋体"/>
          <w:bCs/>
          <w:sz w:val="28"/>
          <w:szCs w:val="28"/>
        </w:rPr>
        <w:t>26</w:t>
      </w:r>
      <w:r>
        <w:rPr>
          <w:rFonts w:hint="eastAsia" w:ascii="仿宋_GB2312" w:hAnsi="宋体" w:eastAsia="仿宋_GB2312" w:cs="宋体"/>
          <w:bCs/>
          <w:sz w:val="28"/>
          <w:szCs w:val="28"/>
        </w:rPr>
        <w:t>日，法释</w:t>
      </w:r>
      <w:r>
        <w:rPr>
          <w:rFonts w:ascii="仿宋_GB2312" w:hAnsi="宋体" w:eastAsia="仿宋_GB2312" w:cs="宋体"/>
          <w:bCs/>
          <w:sz w:val="28"/>
          <w:szCs w:val="28"/>
        </w:rPr>
        <w:t>[2004]16</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8</w:t>
      </w:r>
      <w:r>
        <w:rPr>
          <w:rFonts w:hint="eastAsia" w:ascii="仿宋_GB2312" w:hAnsi="宋体" w:eastAsia="仿宋_GB2312" w:cs="宋体"/>
          <w:bCs/>
          <w:sz w:val="28"/>
          <w:szCs w:val="28"/>
        </w:rPr>
        <w:t>）《最高人民法院关于人民法院委托评估、拍卖和变卖工作的若干规定》（</w:t>
      </w:r>
      <w:r>
        <w:rPr>
          <w:rFonts w:ascii="仿宋_GB2312" w:hAnsi="宋体" w:eastAsia="仿宋_GB2312" w:cs="宋体"/>
          <w:bCs/>
          <w:sz w:val="28"/>
          <w:szCs w:val="28"/>
        </w:rPr>
        <w:t>2009</w:t>
      </w:r>
      <w:r>
        <w:rPr>
          <w:rFonts w:hint="eastAsia" w:ascii="仿宋_GB2312" w:hAnsi="宋体" w:eastAsia="仿宋_GB2312" w:cs="宋体"/>
          <w:bCs/>
          <w:sz w:val="28"/>
          <w:szCs w:val="28"/>
        </w:rPr>
        <w:t>年</w:t>
      </w:r>
      <w:r>
        <w:rPr>
          <w:rFonts w:ascii="仿宋_GB2312" w:hAnsi="宋体" w:eastAsia="仿宋_GB2312" w:cs="宋体"/>
          <w:bCs/>
          <w:sz w:val="28"/>
          <w:szCs w:val="28"/>
        </w:rPr>
        <w:t>8</w:t>
      </w:r>
      <w:r>
        <w:rPr>
          <w:rFonts w:hint="eastAsia" w:ascii="仿宋_GB2312" w:hAnsi="宋体" w:eastAsia="仿宋_GB2312" w:cs="宋体"/>
          <w:bCs/>
          <w:sz w:val="28"/>
          <w:szCs w:val="28"/>
        </w:rPr>
        <w:t>月</w:t>
      </w:r>
      <w:r>
        <w:rPr>
          <w:rFonts w:ascii="仿宋_GB2312" w:hAnsi="宋体" w:eastAsia="仿宋_GB2312" w:cs="宋体"/>
          <w:bCs/>
          <w:sz w:val="28"/>
          <w:szCs w:val="28"/>
        </w:rPr>
        <w:t>24</w:t>
      </w:r>
      <w:r>
        <w:rPr>
          <w:rFonts w:hint="eastAsia" w:ascii="仿宋_GB2312" w:hAnsi="宋体" w:eastAsia="仿宋_GB2312" w:cs="宋体"/>
          <w:bCs/>
          <w:sz w:val="28"/>
          <w:szCs w:val="28"/>
        </w:rPr>
        <w:t>日，法释</w:t>
      </w:r>
      <w:r>
        <w:rPr>
          <w:rFonts w:ascii="仿宋_GB2312" w:hAnsi="宋体" w:eastAsia="仿宋_GB2312" w:cs="宋体"/>
          <w:bCs/>
          <w:sz w:val="28"/>
          <w:szCs w:val="28"/>
        </w:rPr>
        <w:t>[2009]16</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9</w:t>
      </w:r>
      <w:r>
        <w:rPr>
          <w:rFonts w:hint="eastAsia" w:ascii="仿宋_GB2312" w:hAnsi="宋体" w:eastAsia="仿宋_GB2312" w:cs="宋体"/>
          <w:bCs/>
          <w:sz w:val="28"/>
          <w:szCs w:val="28"/>
        </w:rPr>
        <w:t>）《最高人民法院对外委托鉴定、评估、拍卖工作若干规定》（</w:t>
      </w:r>
      <w:r>
        <w:rPr>
          <w:rFonts w:ascii="仿宋_GB2312" w:hAnsi="宋体" w:eastAsia="仿宋_GB2312" w:cs="宋体"/>
          <w:bCs/>
          <w:sz w:val="28"/>
          <w:szCs w:val="28"/>
        </w:rPr>
        <w:t>2009</w:t>
      </w:r>
      <w:r>
        <w:rPr>
          <w:rFonts w:hint="eastAsia" w:ascii="仿宋_GB2312" w:hAnsi="宋体" w:eastAsia="仿宋_GB2312" w:cs="宋体"/>
          <w:bCs/>
          <w:sz w:val="28"/>
          <w:szCs w:val="28"/>
        </w:rPr>
        <w:t>年</w:t>
      </w:r>
      <w:r>
        <w:rPr>
          <w:rFonts w:ascii="仿宋_GB2312" w:hAnsi="宋体" w:eastAsia="仿宋_GB2312" w:cs="宋体"/>
          <w:bCs/>
          <w:sz w:val="28"/>
          <w:szCs w:val="28"/>
        </w:rPr>
        <w:t>8</w:t>
      </w:r>
      <w:r>
        <w:rPr>
          <w:rFonts w:hint="eastAsia" w:ascii="仿宋_GB2312" w:hAnsi="宋体" w:eastAsia="仿宋_GB2312" w:cs="宋体"/>
          <w:bCs/>
          <w:sz w:val="28"/>
          <w:szCs w:val="28"/>
        </w:rPr>
        <w:t>月</w:t>
      </w:r>
      <w:r>
        <w:rPr>
          <w:rFonts w:ascii="仿宋_GB2312" w:hAnsi="宋体" w:eastAsia="仿宋_GB2312" w:cs="宋体"/>
          <w:bCs/>
          <w:sz w:val="28"/>
          <w:szCs w:val="28"/>
        </w:rPr>
        <w:t>24</w:t>
      </w:r>
      <w:r>
        <w:rPr>
          <w:rFonts w:hint="eastAsia" w:ascii="仿宋_GB2312" w:hAnsi="宋体" w:eastAsia="仿宋_GB2312" w:cs="宋体"/>
          <w:bCs/>
          <w:sz w:val="28"/>
          <w:szCs w:val="28"/>
        </w:rPr>
        <w:t>日，法释</w:t>
      </w:r>
      <w:r>
        <w:rPr>
          <w:rFonts w:ascii="仿宋_GB2312" w:hAnsi="宋体" w:eastAsia="仿宋_GB2312" w:cs="宋体"/>
          <w:bCs/>
          <w:sz w:val="28"/>
          <w:szCs w:val="28"/>
        </w:rPr>
        <w:t>[2009]16</w:t>
      </w:r>
      <w:r>
        <w:rPr>
          <w:rFonts w:hint="eastAsia" w:ascii="仿宋_GB2312" w:hAnsi="宋体" w:eastAsia="仿宋_GB2312" w:cs="宋体"/>
          <w:bCs/>
          <w:sz w:val="28"/>
          <w:szCs w:val="28"/>
        </w:rPr>
        <w:t>号）；</w:t>
      </w:r>
    </w:p>
    <w:p>
      <w:pPr>
        <w:spacing w:beforeLines="0" w:afterLines="0" w:line="600" w:lineRule="exact"/>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、相关技术标准：</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）《房地产估价规范》（</w:t>
      </w:r>
      <w:r>
        <w:rPr>
          <w:rFonts w:ascii="仿宋_GB2312" w:hAnsi="宋体" w:eastAsia="仿宋_GB2312" w:cs="宋体"/>
          <w:color w:val="000000"/>
          <w:sz w:val="28"/>
          <w:szCs w:val="28"/>
        </w:rPr>
        <w:t>GB/T50291-2015</w:t>
      </w:r>
      <w:r>
        <w:rPr>
          <w:rFonts w:hint="eastAsia" w:ascii="仿宋_GB2312" w:hAnsi="宋体" w:eastAsia="仿宋_GB2312" w:cs="宋体"/>
          <w:color w:val="000000"/>
          <w:sz w:val="28"/>
          <w:szCs w:val="28"/>
        </w:rPr>
        <w:t>）；</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）《房地产估价基本术语标准》（</w:t>
      </w:r>
      <w:r>
        <w:rPr>
          <w:rFonts w:ascii="仿宋_GB2312" w:hAnsi="宋体" w:eastAsia="仿宋_GB2312" w:cs="宋体"/>
          <w:color w:val="000000"/>
          <w:sz w:val="28"/>
          <w:szCs w:val="28"/>
        </w:rPr>
        <w:t>GB/T50899-2013</w:t>
      </w:r>
      <w:r>
        <w:rPr>
          <w:rFonts w:hint="eastAsia" w:ascii="仿宋_GB2312" w:hAnsi="宋体" w:eastAsia="仿宋_GB2312" w:cs="宋体"/>
          <w:color w:val="000000"/>
          <w:sz w:val="28"/>
          <w:szCs w:val="28"/>
        </w:rPr>
        <w:t>）；</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）《城镇土地估价规程》（</w:t>
      </w:r>
      <w:r>
        <w:rPr>
          <w:rFonts w:ascii="仿宋_GB2312" w:hAnsi="宋体" w:eastAsia="仿宋_GB2312" w:cs="宋体"/>
          <w:color w:val="000000"/>
          <w:sz w:val="28"/>
          <w:szCs w:val="28"/>
        </w:rPr>
        <w:t>GB/T18508-2014</w:t>
      </w: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 xml:space="preserve">                  </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4</w:t>
      </w:r>
      <w:r>
        <w:rPr>
          <w:rFonts w:hint="eastAsia" w:ascii="仿宋_GB2312" w:hAnsi="宋体" w:eastAsia="仿宋_GB2312" w:cs="宋体"/>
          <w:color w:val="000000"/>
          <w:sz w:val="28"/>
          <w:szCs w:val="28"/>
        </w:rPr>
        <w:t>）《房地产估价报告评审标准（试行）》（中国房地产估价师与房地产经纪人学会）。</w:t>
      </w:r>
    </w:p>
    <w:p>
      <w:pPr>
        <w:spacing w:beforeLines="0" w:afterLines="0" w:line="600" w:lineRule="exact"/>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、估价委托人提供的有关资料：</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eastAsia="zh-CN"/>
        </w:rPr>
        <w:t>潍坊高新技术产业开发区人民法院（2018）鲁</w:t>
      </w:r>
      <w:r>
        <w:rPr>
          <w:rFonts w:hint="eastAsia" w:ascii="仿宋_GB2312" w:hAnsi="宋体" w:eastAsia="仿宋_GB2312" w:cs="宋体"/>
          <w:color w:val="000000"/>
          <w:sz w:val="28"/>
          <w:szCs w:val="28"/>
          <w:lang w:val="en-US" w:eastAsia="zh-CN"/>
        </w:rPr>
        <w:t>0791执747号</w:t>
      </w:r>
      <w:r>
        <w:rPr>
          <w:rFonts w:hint="eastAsia" w:ascii="仿宋_GB2312" w:hAnsi="宋体" w:eastAsia="仿宋_GB2312" w:cs="宋体"/>
          <w:color w:val="000000"/>
          <w:sz w:val="28"/>
          <w:szCs w:val="28"/>
        </w:rPr>
        <w:t>鉴定委托</w:t>
      </w:r>
      <w:r>
        <w:rPr>
          <w:rFonts w:hint="eastAsia" w:ascii="仿宋_GB2312" w:hAnsi="宋体" w:eastAsia="仿宋_GB2312" w:cs="宋体"/>
          <w:color w:val="000000"/>
          <w:sz w:val="28"/>
          <w:szCs w:val="28"/>
          <w:lang w:eastAsia="zh-CN"/>
        </w:rPr>
        <w:t>函</w:t>
      </w:r>
      <w:r>
        <w:rPr>
          <w:rFonts w:hint="eastAsia" w:ascii="仿宋_GB2312" w:hAnsi="宋体" w:eastAsia="仿宋_GB2312" w:cs="宋体"/>
          <w:color w:val="000000"/>
          <w:sz w:val="28"/>
          <w:szCs w:val="28"/>
          <w:lang w:val="en-US" w:eastAsia="zh-CN"/>
        </w:rPr>
        <w:t>及鉴定委托书</w:t>
      </w:r>
      <w:r>
        <w:rPr>
          <w:rFonts w:hint="eastAsia" w:ascii="仿宋_GB2312" w:hAnsi="宋体" w:eastAsia="仿宋_GB2312" w:cs="宋体"/>
          <w:color w:val="000000"/>
          <w:sz w:val="28"/>
          <w:szCs w:val="28"/>
        </w:rPr>
        <w:t>；</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eastAsia="zh-CN"/>
        </w:rPr>
        <w:t>有关不动产信息登记表、房产证</w:t>
      </w:r>
      <w:r>
        <w:rPr>
          <w:rFonts w:hint="eastAsia" w:ascii="仿宋_GB2312" w:hAnsi="宋体" w:eastAsia="仿宋_GB2312" w:cs="宋体"/>
          <w:color w:val="000000"/>
          <w:sz w:val="28"/>
          <w:szCs w:val="28"/>
        </w:rPr>
        <w:t>。</w:t>
      </w:r>
    </w:p>
    <w:p>
      <w:pPr>
        <w:spacing w:beforeLines="0" w:afterLines="0" w:line="600" w:lineRule="exact"/>
        <w:ind w:firstLine="560" w:firstLineChars="200"/>
        <w:jc w:val="left"/>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、其他资料：</w:t>
      </w:r>
    </w:p>
    <w:p>
      <w:pPr>
        <w:spacing w:beforeLines="0" w:afterLines="0" w:line="60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）估价人员实地查勘、调查搜集的资料和数据；</w:t>
      </w:r>
    </w:p>
    <w:p>
      <w:pPr>
        <w:pStyle w:val="12"/>
        <w:spacing w:beforeLines="0" w:after="0" w:afterLines="0" w:line="600" w:lineRule="exact"/>
        <w:ind w:left="0" w:leftChars="0"/>
        <w:rPr>
          <w:rFonts w:ascii="仿宋_GB2312" w:hAnsi="宋体" w:eastAsia="仿宋_GB2312" w:cs="宋体"/>
          <w:sz w:val="28"/>
          <w:szCs w:val="28"/>
        </w:rPr>
      </w:pPr>
      <w:r>
        <w:rPr>
          <w:rFonts w:ascii="仿宋_GB2312" w:hAnsi="宋体" w:eastAsia="仿宋_GB2312" w:cs="宋体"/>
          <w:sz w:val="28"/>
          <w:szCs w:val="28"/>
        </w:rPr>
        <w:t xml:space="preserve">    </w:t>
      </w: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）估价人员掌握和收集的其他参考资料。</w:t>
      </w:r>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48" w:name="_Toc8334"/>
      <w:bookmarkStart w:id="49" w:name="_Toc29930"/>
      <w:bookmarkStart w:id="50" w:name="_Toc15939"/>
      <w:r>
        <w:rPr>
          <w:rStyle w:val="20"/>
          <w:rFonts w:hint="eastAsia" w:ascii="仿宋_GB2312" w:hAnsi="宋体" w:eastAsia="仿宋_GB2312" w:cs="宋体"/>
          <w:bCs/>
          <w:sz w:val="28"/>
          <w:szCs w:val="28"/>
        </w:rPr>
        <w:t>九、估价方法</w:t>
      </w:r>
      <w:bookmarkEnd w:id="48"/>
      <w:bookmarkEnd w:id="49"/>
      <w:bookmarkEnd w:id="50"/>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根据《房地产估价规范》，房地产估价常用的方法有比较法、收益法、成本法、假设开发法等，从理论上讲，估价对象的同类房地产在价值时点近期有较多交易的应选用比较法；估价对象或其同类房地产通常有租金等经济收入的应选用收益法；当估价对象的同类房地产没有交易或交易较少，且估价对象或其同类房地产没有租金等经济收入时应选用成本法；估价对象具有开发潜力或再开发潜力且开发完成后的价值可采用成本法以外的方法进行测算的应选用假设开发法。</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估价对象目前为正常使用，周围区域类似</w:t>
      </w:r>
      <w:r>
        <w:rPr>
          <w:rFonts w:hint="eastAsia" w:ascii="仿宋_GB2312" w:hAnsi="宋体" w:eastAsia="仿宋_GB2312" w:cs="宋体"/>
          <w:sz w:val="28"/>
          <w:szCs w:val="28"/>
          <w:lang w:eastAsia="zh-CN"/>
        </w:rPr>
        <w:t>商业</w:t>
      </w:r>
      <w:r>
        <w:rPr>
          <w:rFonts w:hint="eastAsia" w:ascii="仿宋_GB2312" w:hAnsi="宋体" w:eastAsia="仿宋_GB2312" w:cs="宋体"/>
          <w:sz w:val="28"/>
          <w:szCs w:val="28"/>
        </w:rPr>
        <w:t>房地产</w:t>
      </w:r>
      <w:r>
        <w:rPr>
          <w:rFonts w:hint="eastAsia" w:ascii="仿宋_GB2312" w:hAnsi="宋体" w:eastAsia="仿宋_GB2312" w:cs="宋体"/>
          <w:sz w:val="28"/>
          <w:szCs w:val="28"/>
          <w:lang w:eastAsia="zh-CN"/>
        </w:rPr>
        <w:t>存在</w:t>
      </w:r>
      <w:r>
        <w:rPr>
          <w:rFonts w:hint="eastAsia" w:ascii="仿宋_GB2312" w:hAnsi="宋体" w:eastAsia="仿宋_GB2312" w:cs="宋体"/>
          <w:sz w:val="28"/>
          <w:szCs w:val="28"/>
        </w:rPr>
        <w:t>租赁情况，但租金水平较难反映估价对象的客观市场价格，故不适用收益法；估价对象为已建成使用的</w:t>
      </w:r>
      <w:r>
        <w:rPr>
          <w:rFonts w:hint="eastAsia" w:ascii="仿宋_GB2312" w:hAnsi="宋体" w:eastAsia="仿宋_GB2312" w:cs="宋体"/>
          <w:sz w:val="28"/>
          <w:szCs w:val="28"/>
          <w:lang w:eastAsia="zh-CN"/>
        </w:rPr>
        <w:t>商业</w:t>
      </w:r>
      <w:r>
        <w:rPr>
          <w:rFonts w:hint="eastAsia" w:ascii="仿宋_GB2312" w:hAnsi="宋体" w:eastAsia="仿宋_GB2312" w:cs="宋体"/>
          <w:sz w:val="28"/>
          <w:szCs w:val="28"/>
        </w:rPr>
        <w:t>房地产，也不适用成本法和假设开发法进行评估。</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估价人员根据实地查看和调查，认真分析所掌握的资料，广泛搜集有关市场信息和估价对象信息，结合估价对象的用途及实际情况，全面分析影响估价对象市场价格的因素，市场上类似估价对象的交易实例较多，适宜采用比较法。经综合分析，本次确定对</w:t>
      </w:r>
      <w:r>
        <w:rPr>
          <w:rFonts w:hint="eastAsia" w:ascii="仿宋_GB2312" w:hAnsi="宋体" w:eastAsia="仿宋_GB2312" w:cs="宋体"/>
          <w:sz w:val="28"/>
          <w:szCs w:val="28"/>
          <w:lang w:eastAsia="zh-CN"/>
        </w:rPr>
        <w:t>商业</w:t>
      </w:r>
      <w:r>
        <w:rPr>
          <w:rFonts w:hint="eastAsia" w:ascii="仿宋_GB2312" w:hAnsi="宋体" w:eastAsia="仿宋_GB2312" w:cs="宋体"/>
          <w:sz w:val="28"/>
          <w:szCs w:val="28"/>
        </w:rPr>
        <w:t>房地产采用比较法进行评估。</w:t>
      </w:r>
    </w:p>
    <w:p>
      <w:pPr>
        <w:spacing w:beforeLines="0" w:afterLines="0" w:line="600" w:lineRule="exact"/>
        <w:ind w:firstLine="560" w:firstLineChars="200"/>
        <w:contextualSpacing/>
        <w:outlineLvl w:val="1"/>
        <w:rPr>
          <w:rFonts w:ascii="仿宋_GB2312" w:hAnsi="宋体" w:eastAsia="仿宋_GB2312" w:cs="宋体"/>
          <w:sz w:val="28"/>
          <w:szCs w:val="28"/>
        </w:rPr>
      </w:pPr>
      <w:bookmarkStart w:id="51" w:name="_Toc22046"/>
      <w:bookmarkStart w:id="52" w:name="_Toc26678"/>
      <w:r>
        <w:rPr>
          <w:rFonts w:hint="eastAsia" w:ascii="仿宋_GB2312" w:hAnsi="宋体" w:eastAsia="仿宋_GB2312" w:cs="宋体"/>
          <w:sz w:val="28"/>
          <w:szCs w:val="28"/>
        </w:rPr>
        <w:t>比较法：选取一定数量的可比实例，将它们与估价对象进行比较，根据其间的差异对可比实例成交价格进行处理后得到估价对象价值或价格的方法。</w:t>
      </w:r>
      <w:bookmarkEnd w:id="51"/>
      <w:bookmarkEnd w:id="52"/>
      <w:bookmarkStart w:id="53" w:name="_Toc21411"/>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54" w:name="_Toc32232"/>
      <w:bookmarkStart w:id="55" w:name="_Toc18755"/>
      <w:r>
        <w:rPr>
          <w:rFonts w:hint="eastAsia" w:ascii="仿宋_GB2312" w:hAnsi="宋体" w:eastAsia="仿宋_GB2312" w:cs="宋体"/>
          <w:b/>
          <w:sz w:val="28"/>
          <w:szCs w:val="28"/>
        </w:rPr>
        <w:t>十、估价结果</w:t>
      </w:r>
      <w:bookmarkEnd w:id="53"/>
      <w:bookmarkEnd w:id="54"/>
      <w:bookmarkEnd w:id="55"/>
    </w:p>
    <w:p>
      <w:pPr>
        <w:spacing w:beforeLines="0" w:afterLines="0" w:line="360" w:lineRule="auto"/>
        <w:ind w:firstLine="560" w:firstLineChars="200"/>
        <w:contextualSpacing/>
        <w:jc w:val="both"/>
        <w:outlineLvl w:val="1"/>
        <w:rPr>
          <w:rFonts w:hint="eastAsia" w:ascii="仿宋_GB2312" w:hAnsi="仿宋_GB2312" w:eastAsia="仿宋_GB2312" w:cs="仿宋_GB2312"/>
          <w:sz w:val="28"/>
          <w:szCs w:val="28"/>
        </w:rPr>
      </w:pPr>
      <w:bookmarkStart w:id="56" w:name="_Toc9919"/>
      <w:bookmarkStart w:id="57" w:name="_Toc3786"/>
      <w:r>
        <w:rPr>
          <w:rFonts w:hint="eastAsia" w:ascii="仿宋_GB2312" w:hAnsi="仿宋_GB2312" w:eastAsia="仿宋_GB2312" w:cs="仿宋_GB2312"/>
          <w:sz w:val="28"/>
          <w:szCs w:val="28"/>
        </w:rPr>
        <w:t>估价人员根据</w:t>
      </w:r>
      <w:r>
        <w:rPr>
          <w:rFonts w:hint="eastAsia" w:ascii="仿宋_GB2312" w:hAnsi="宋体" w:eastAsia="仿宋_GB2312" w:cs="宋体"/>
          <w:sz w:val="28"/>
          <w:szCs w:val="28"/>
        </w:rPr>
        <w:t>估价</w:t>
      </w:r>
      <w:r>
        <w:rPr>
          <w:rFonts w:hint="eastAsia" w:ascii="仿宋_GB2312" w:hAnsi="仿宋_GB2312" w:eastAsia="仿宋_GB2312" w:cs="仿宋_GB2312"/>
          <w:sz w:val="28"/>
          <w:szCs w:val="28"/>
        </w:rPr>
        <w:t>目的，遵循估价原则，采用科学的估价方法，在认真分析所掌握资料及影响估价对象价值诸因素的基础上进行了判断、测算，最终确定估价对象在价值时点的评估价值</w:t>
      </w:r>
      <w:r>
        <w:rPr>
          <w:rFonts w:hint="eastAsia" w:ascii="仿宋_GB2312" w:hAnsi="仿宋_GB2312" w:eastAsia="仿宋_GB2312" w:cs="仿宋_GB2312"/>
          <w:sz w:val="28"/>
          <w:szCs w:val="28"/>
          <w:lang w:eastAsia="zh-CN"/>
        </w:rPr>
        <w:t>共计</w:t>
      </w:r>
      <w:r>
        <w:rPr>
          <w:rFonts w:hint="eastAsia" w:ascii="仿宋_GB2312" w:hAnsi="仿宋_GB2312" w:eastAsia="仿宋_GB2312" w:cs="仿宋_GB2312"/>
          <w:color w:val="000000"/>
          <w:sz w:val="28"/>
          <w:szCs w:val="28"/>
          <w:lang w:val="en-US" w:eastAsia="zh-CN"/>
        </w:rPr>
        <w:t>1,283,670.00</w:t>
      </w:r>
      <w:r>
        <w:rPr>
          <w:rFonts w:hint="eastAsia" w:ascii="仿宋_GB2312" w:hAnsi="仿宋_GB2312" w:eastAsia="仿宋_GB2312" w:cs="仿宋_GB2312"/>
          <w:sz w:val="28"/>
          <w:szCs w:val="28"/>
        </w:rPr>
        <w:t>元，总价大写：人民币</w:t>
      </w:r>
      <w:r>
        <w:rPr>
          <w:rFonts w:hint="eastAsia" w:ascii="仿宋_GB2312" w:hAnsi="仿宋_GB2312" w:eastAsia="仿宋_GB2312" w:cs="仿宋_GB2312"/>
          <w:sz w:val="28"/>
          <w:szCs w:val="28"/>
          <w:lang w:val="en-US" w:eastAsia="zh-CN"/>
        </w:rPr>
        <w:t>壹佰贰拾捌万叁仟陆佰柒拾元整（本价值包含相应土地价值）</w:t>
      </w:r>
      <w:r>
        <w:rPr>
          <w:rFonts w:hint="eastAsia" w:ascii="仿宋_GB2312" w:hAnsi="仿宋_GB2312" w:eastAsia="仿宋_GB2312" w:cs="仿宋_GB2312"/>
          <w:sz w:val="28"/>
          <w:szCs w:val="28"/>
        </w:rPr>
        <w:t>。</w:t>
      </w:r>
      <w:bookmarkEnd w:id="56"/>
      <w:bookmarkEnd w:id="57"/>
    </w:p>
    <w:p>
      <w:pPr>
        <w:spacing w:beforeLines="0" w:afterLines="0" w:line="360" w:lineRule="auto"/>
        <w:ind w:firstLine="560" w:firstLineChars="200"/>
        <w:contextualSpacing/>
        <w:jc w:val="both"/>
        <w:outlineLvl w:val="1"/>
        <w:rPr>
          <w:rFonts w:hint="eastAsia" w:ascii="仿宋_GB2312" w:hAnsi="仿宋_GB2312" w:eastAsia="仿宋_GB2312" w:cs="仿宋_GB2312"/>
          <w:sz w:val="28"/>
          <w:szCs w:val="28"/>
        </w:rPr>
      </w:pPr>
    </w:p>
    <w:p>
      <w:pPr>
        <w:spacing w:beforeLines="0" w:afterLines="0" w:line="360" w:lineRule="auto"/>
        <w:ind w:firstLine="560" w:firstLineChars="200"/>
        <w:contextualSpacing/>
        <w:jc w:val="both"/>
        <w:outlineLvl w:val="1"/>
        <w:rPr>
          <w:rFonts w:hint="eastAsia" w:ascii="仿宋_GB2312" w:hAnsi="仿宋_GB2312" w:eastAsia="仿宋_GB2312" w:cs="仿宋_GB2312"/>
          <w:sz w:val="28"/>
          <w:szCs w:val="28"/>
        </w:rPr>
      </w:pPr>
    </w:p>
    <w:p>
      <w:pPr>
        <w:spacing w:beforeLines="0" w:afterLines="0" w:line="360" w:lineRule="auto"/>
        <w:ind w:firstLine="560" w:firstLineChars="200"/>
        <w:contextualSpacing/>
        <w:jc w:val="both"/>
        <w:outlineLvl w:val="1"/>
        <w:rPr>
          <w:rFonts w:hint="eastAsia" w:ascii="仿宋_GB2312" w:hAnsi="仿宋_GB2312" w:eastAsia="仿宋_GB2312" w:cs="仿宋_GB2312"/>
          <w:sz w:val="28"/>
          <w:szCs w:val="28"/>
        </w:rPr>
      </w:pPr>
    </w:p>
    <w:p>
      <w:pPr>
        <w:ind w:right="-160" w:rightChars="-76" w:firstLine="0" w:firstLineChars="0"/>
        <w:jc w:val="center"/>
        <w:rPr>
          <w:rFonts w:hint="eastAsia" w:ascii="黑体" w:hAnsi="黑体" w:eastAsia="黑体" w:cs="黑体"/>
          <w:spacing w:val="0"/>
          <w:sz w:val="22"/>
          <w:szCs w:val="22"/>
          <w:lang w:val="en-US" w:eastAsia="zh-CN"/>
        </w:rPr>
      </w:pPr>
      <w:r>
        <w:rPr>
          <w:rFonts w:hint="eastAsia" w:ascii="仿宋" w:hAnsi="仿宋" w:eastAsia="仿宋" w:cs="仿宋"/>
          <w:b/>
          <w:bCs/>
          <w:spacing w:val="0"/>
          <w:sz w:val="28"/>
          <w:szCs w:val="28"/>
        </w:rPr>
        <w:t>房地产估价结果</w:t>
      </w:r>
      <w:r>
        <w:rPr>
          <w:rFonts w:hint="eastAsia" w:ascii="仿宋" w:hAnsi="仿宋" w:eastAsia="仿宋" w:cs="仿宋"/>
          <w:b/>
          <w:bCs/>
          <w:spacing w:val="0"/>
          <w:sz w:val="28"/>
          <w:szCs w:val="28"/>
          <w:lang w:eastAsia="zh-CN"/>
        </w:rPr>
        <w:t>汇总表</w:t>
      </w:r>
    </w:p>
    <w:p>
      <w:pPr>
        <w:ind w:right="-160" w:rightChars="-76" w:firstLine="0" w:firstLineChars="0"/>
        <w:jc w:val="right"/>
        <w:rPr>
          <w:rFonts w:hint="eastAsia" w:ascii="仿宋" w:hAnsi="仿宋" w:eastAsia="仿宋" w:cs="仿宋"/>
          <w:color w:val="auto"/>
          <w:spacing w:val="0"/>
          <w:szCs w:val="21"/>
        </w:rPr>
      </w:pPr>
      <w:r>
        <w:rPr>
          <w:rFonts w:hint="eastAsia" w:ascii="仿宋" w:hAnsi="仿宋" w:eastAsia="仿宋" w:cs="仿宋"/>
          <w:spacing w:val="0"/>
          <w:sz w:val="18"/>
          <w:szCs w:val="18"/>
        </w:rPr>
        <w:t>金额单</w:t>
      </w:r>
      <w:r>
        <w:rPr>
          <w:rFonts w:hint="eastAsia" w:ascii="仿宋" w:hAnsi="仿宋" w:eastAsia="仿宋" w:cs="仿宋"/>
          <w:color w:val="auto"/>
          <w:spacing w:val="0"/>
          <w:sz w:val="18"/>
          <w:szCs w:val="18"/>
        </w:rPr>
        <w:t>位：元</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952"/>
        <w:gridCol w:w="574"/>
        <w:gridCol w:w="791"/>
        <w:gridCol w:w="941"/>
        <w:gridCol w:w="146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trPr>
        <w:tc>
          <w:tcPr>
            <w:tcW w:w="557"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2952" w:type="dxa"/>
            <w:vAlign w:val="center"/>
          </w:tcPr>
          <w:p>
            <w:pPr>
              <w:spacing w:line="240" w:lineRule="auto"/>
              <w:ind w:left="-174" w:leftChars="-83" w:right="-160" w:rightChars="-76"/>
              <w:jc w:val="center"/>
              <w:rPr>
                <w:rFonts w:hint="eastAsia" w:ascii="仿宋" w:hAnsi="仿宋" w:eastAsia="仿宋" w:cs="仿宋"/>
                <w:b/>
                <w:sz w:val="21"/>
                <w:szCs w:val="21"/>
              </w:rPr>
            </w:pPr>
            <w:r>
              <w:rPr>
                <w:rFonts w:hint="eastAsia" w:ascii="仿宋" w:hAnsi="仿宋" w:eastAsia="仿宋" w:cs="仿宋"/>
                <w:b/>
                <w:sz w:val="21"/>
                <w:szCs w:val="21"/>
              </w:rPr>
              <w:t>估价对象</w:t>
            </w:r>
          </w:p>
        </w:tc>
        <w:tc>
          <w:tcPr>
            <w:tcW w:w="574"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单位</w:t>
            </w:r>
          </w:p>
        </w:tc>
        <w:tc>
          <w:tcPr>
            <w:tcW w:w="791"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面积</w:t>
            </w:r>
          </w:p>
        </w:tc>
        <w:tc>
          <w:tcPr>
            <w:tcW w:w="941"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评估单价</w:t>
            </w:r>
          </w:p>
        </w:tc>
        <w:tc>
          <w:tcPr>
            <w:tcW w:w="1460"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估价结果</w:t>
            </w:r>
          </w:p>
        </w:tc>
        <w:tc>
          <w:tcPr>
            <w:tcW w:w="1247"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557"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rPr>
            </w:pPr>
            <w:r>
              <w:rPr>
                <w:rFonts w:hint="eastAsia" w:ascii="仿宋" w:hAnsi="仿宋" w:eastAsia="仿宋" w:cs="仿宋"/>
                <w:sz w:val="21"/>
                <w:szCs w:val="21"/>
              </w:rPr>
              <w:t>1</w:t>
            </w:r>
          </w:p>
        </w:tc>
        <w:tc>
          <w:tcPr>
            <w:tcW w:w="2952" w:type="dxa"/>
            <w:tcBorders>
              <w:bottom w:val="nil"/>
            </w:tcBorders>
            <w:vAlign w:val="center"/>
          </w:tcPr>
          <w:p>
            <w:pPr>
              <w:pStyle w:val="29"/>
              <w:spacing w:beforeLines="0" w:afterLines="0" w:line="240" w:lineRule="auto"/>
              <w:ind w:left="0"/>
              <w:jc w:val="center"/>
              <w:rPr>
                <w:rFonts w:hint="eastAsia" w:ascii="仿宋" w:hAnsi="仿宋" w:eastAsia="仿宋" w:cs="仿宋"/>
                <w:bCs w:val="0"/>
                <w:spacing w:val="-20"/>
                <w:kern w:val="2"/>
                <w:sz w:val="21"/>
                <w:szCs w:val="21"/>
                <w:lang w:eastAsia="zh-CN"/>
              </w:rPr>
            </w:pPr>
            <w:r>
              <w:rPr>
                <w:rFonts w:hint="eastAsia" w:ascii="仿宋" w:hAnsi="仿宋" w:eastAsia="仿宋" w:cs="仿宋"/>
                <w:bCs w:val="0"/>
                <w:spacing w:val="-20"/>
                <w:kern w:val="2"/>
                <w:sz w:val="21"/>
                <w:szCs w:val="21"/>
                <w:lang w:eastAsia="zh-CN"/>
              </w:rPr>
              <w:t>潍坊逸飞工程配套有限公司名下的</w:t>
            </w:r>
          </w:p>
          <w:p>
            <w:pPr>
              <w:pStyle w:val="29"/>
              <w:spacing w:beforeLines="0" w:afterLines="0" w:line="240" w:lineRule="auto"/>
              <w:ind w:left="0"/>
              <w:jc w:val="center"/>
              <w:rPr>
                <w:rFonts w:hint="eastAsia" w:ascii="仿宋" w:hAnsi="仿宋" w:eastAsia="仿宋" w:cs="仿宋"/>
                <w:bCs w:val="0"/>
                <w:spacing w:val="-20"/>
                <w:kern w:val="2"/>
                <w:sz w:val="21"/>
                <w:szCs w:val="21"/>
                <w:lang w:eastAsia="zh-CN"/>
              </w:rPr>
            </w:pPr>
            <w:r>
              <w:rPr>
                <w:rFonts w:hint="eastAsia" w:ascii="仿宋" w:hAnsi="仿宋" w:eastAsia="仿宋" w:cs="仿宋"/>
                <w:bCs w:val="0"/>
                <w:spacing w:val="-20"/>
                <w:kern w:val="2"/>
                <w:sz w:val="21"/>
                <w:szCs w:val="21"/>
                <w:lang w:eastAsia="zh-CN"/>
              </w:rPr>
              <w:t>位于潍坊市奎文区宝通街以北、清溪街以南宝通花园2号楼</w:t>
            </w:r>
            <w:r>
              <w:rPr>
                <w:rFonts w:hint="eastAsia" w:ascii="仿宋" w:hAnsi="仿宋" w:eastAsia="仿宋" w:cs="仿宋"/>
                <w:bCs w:val="0"/>
                <w:spacing w:val="-20"/>
                <w:kern w:val="2"/>
                <w:sz w:val="21"/>
                <w:szCs w:val="21"/>
                <w:lang w:val="en-US" w:eastAsia="zh-CN"/>
              </w:rPr>
              <w:t>06室商铺</w:t>
            </w:r>
          </w:p>
          <w:p>
            <w:pPr>
              <w:spacing w:line="240" w:lineRule="auto"/>
              <w:ind w:left="0" w:leftChars="0" w:right="-160" w:rightChars="-76"/>
              <w:jc w:val="both"/>
              <w:rPr>
                <w:rFonts w:hint="eastAsia" w:ascii="仿宋" w:hAnsi="仿宋" w:eastAsia="仿宋" w:cs="仿宋"/>
                <w:sz w:val="21"/>
                <w:szCs w:val="21"/>
                <w:lang w:val="en-US"/>
              </w:rPr>
            </w:pPr>
          </w:p>
        </w:tc>
        <w:tc>
          <w:tcPr>
            <w:tcW w:w="574"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rPr>
            </w:pPr>
            <w:r>
              <w:rPr>
                <w:rFonts w:hint="eastAsia" w:ascii="仿宋" w:hAnsi="仿宋" w:eastAsia="仿宋" w:cs="仿宋"/>
                <w:sz w:val="21"/>
                <w:szCs w:val="21"/>
              </w:rPr>
              <w:t>㎡</w:t>
            </w:r>
          </w:p>
        </w:tc>
        <w:tc>
          <w:tcPr>
            <w:tcW w:w="791"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142.63</w:t>
            </w:r>
          </w:p>
        </w:tc>
        <w:tc>
          <w:tcPr>
            <w:tcW w:w="941"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9,000.00</w:t>
            </w:r>
          </w:p>
        </w:tc>
        <w:tc>
          <w:tcPr>
            <w:tcW w:w="1460"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1,283,670.00</w:t>
            </w:r>
          </w:p>
        </w:tc>
        <w:tc>
          <w:tcPr>
            <w:tcW w:w="1247" w:type="dxa"/>
            <w:tcBorders>
              <w:bottom w:val="nil"/>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eastAsia="zh-CN"/>
              </w:rPr>
              <w:t>包含相应土地使用权价值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trPr>
        <w:tc>
          <w:tcPr>
            <w:tcW w:w="557" w:type="dxa"/>
            <w:tcBorders>
              <w:top w:val="nil"/>
              <w:bottom w:val="single" w:color="auto" w:sz="4" w:space="0"/>
            </w:tcBorders>
            <w:vAlign w:val="center"/>
          </w:tcPr>
          <w:p/>
        </w:tc>
        <w:tc>
          <w:tcPr>
            <w:tcW w:w="2952" w:type="dxa"/>
            <w:tcBorders>
              <w:top w:val="nil"/>
              <w:bottom w:val="single" w:color="auto" w:sz="4" w:space="0"/>
            </w:tcBorders>
            <w:vAlign w:val="center"/>
          </w:tcPr>
          <w:p/>
        </w:tc>
        <w:tc>
          <w:tcPr>
            <w:tcW w:w="574" w:type="dxa"/>
            <w:tcBorders>
              <w:top w:val="nil"/>
              <w:bottom w:val="single" w:color="auto" w:sz="4" w:space="0"/>
            </w:tcBorders>
            <w:vAlign w:val="center"/>
          </w:tcPr>
          <w:p/>
        </w:tc>
        <w:tc>
          <w:tcPr>
            <w:tcW w:w="791" w:type="dxa"/>
            <w:tcBorders>
              <w:top w:val="nil"/>
              <w:bottom w:val="single" w:color="auto" w:sz="4" w:space="0"/>
            </w:tcBorders>
            <w:vAlign w:val="center"/>
          </w:tcPr>
          <w:p/>
        </w:tc>
        <w:tc>
          <w:tcPr>
            <w:tcW w:w="941" w:type="dxa"/>
            <w:tcBorders>
              <w:top w:val="nil"/>
              <w:bottom w:val="single" w:color="auto" w:sz="4" w:space="0"/>
            </w:tcBorders>
            <w:vAlign w:val="center"/>
          </w:tcPr>
          <w:p/>
        </w:tc>
        <w:tc>
          <w:tcPr>
            <w:tcW w:w="1460" w:type="dxa"/>
            <w:tcBorders>
              <w:top w:val="nil"/>
              <w:bottom w:val="single" w:color="auto" w:sz="4" w:space="0"/>
            </w:tcBorders>
            <w:vAlign w:val="center"/>
          </w:tcPr>
          <w:p/>
        </w:tc>
        <w:tc>
          <w:tcPr>
            <w:tcW w:w="1247" w:type="dxa"/>
            <w:tcBorders>
              <w:top w:val="nil"/>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trPr>
        <w:tc>
          <w:tcPr>
            <w:tcW w:w="4083" w:type="dxa"/>
            <w:gridSpan w:val="3"/>
            <w:tcBorders>
              <w:top w:val="single" w:color="auto" w:sz="4" w:space="0"/>
            </w:tcBorders>
            <w:vAlign w:val="center"/>
          </w:tcPr>
          <w:p>
            <w:pPr>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合计</w:t>
            </w:r>
          </w:p>
        </w:tc>
        <w:tc>
          <w:tcPr>
            <w:tcW w:w="791" w:type="dxa"/>
            <w:tcBorders>
              <w:top w:val="single" w:color="auto" w:sz="4" w:space="0"/>
            </w:tcBorders>
            <w:vAlign w:val="center"/>
          </w:tcPr>
          <w:p>
            <w:pPr>
              <w:spacing w:line="240" w:lineRule="auto"/>
              <w:jc w:val="center"/>
              <w:rPr>
                <w:rFonts w:hint="eastAsia" w:ascii="仿宋" w:hAnsi="仿宋" w:eastAsia="仿宋" w:cs="仿宋"/>
                <w:b/>
                <w:sz w:val="21"/>
                <w:szCs w:val="21"/>
              </w:rPr>
            </w:pPr>
          </w:p>
        </w:tc>
        <w:tc>
          <w:tcPr>
            <w:tcW w:w="941" w:type="dxa"/>
            <w:tcBorders>
              <w:top w:val="single" w:color="auto" w:sz="4" w:space="0"/>
            </w:tcBorders>
            <w:vAlign w:val="center"/>
          </w:tcPr>
          <w:p>
            <w:pPr>
              <w:spacing w:line="240" w:lineRule="auto"/>
              <w:ind w:left="-107" w:leftChars="-51" w:right="-160" w:rightChars="-76"/>
              <w:jc w:val="center"/>
              <w:rPr>
                <w:rFonts w:hint="eastAsia" w:ascii="仿宋" w:hAnsi="仿宋" w:eastAsia="仿宋" w:cs="仿宋"/>
                <w:b w:val="0"/>
                <w:sz w:val="21"/>
                <w:szCs w:val="21"/>
              </w:rPr>
            </w:pPr>
            <w:r>
              <w:rPr>
                <w:rFonts w:hint="eastAsia" w:ascii="仿宋" w:hAnsi="仿宋" w:eastAsia="仿宋" w:cs="仿宋"/>
                <w:b w:val="0"/>
                <w:sz w:val="21"/>
                <w:szCs w:val="21"/>
              </w:rPr>
              <w:t>--</w:t>
            </w:r>
          </w:p>
        </w:tc>
        <w:tc>
          <w:tcPr>
            <w:tcW w:w="1460" w:type="dxa"/>
            <w:tcBorders>
              <w:top w:val="single" w:color="auto" w:sz="4" w:space="0"/>
            </w:tcBorders>
            <w:vAlign w:val="center"/>
          </w:tcPr>
          <w:p>
            <w:pPr>
              <w:spacing w:line="240" w:lineRule="auto"/>
              <w:ind w:left="-107" w:leftChars="-51" w:right="-160" w:rightChars="-76"/>
              <w:jc w:val="center"/>
              <w:rPr>
                <w:rFonts w:hint="eastAsia" w:ascii="仿宋" w:hAnsi="仿宋" w:eastAsia="仿宋" w:cs="仿宋"/>
                <w:b/>
                <w:bCs/>
                <w:sz w:val="21"/>
                <w:szCs w:val="21"/>
                <w:lang w:val="en-US"/>
              </w:rPr>
            </w:pPr>
            <w:r>
              <w:rPr>
                <w:rFonts w:hint="eastAsia" w:ascii="仿宋" w:hAnsi="仿宋" w:eastAsia="仿宋" w:cs="仿宋"/>
                <w:b/>
                <w:bCs/>
                <w:sz w:val="21"/>
                <w:szCs w:val="21"/>
                <w:lang w:val="en-US" w:eastAsia="zh-CN"/>
              </w:rPr>
              <w:t>1,283,670.00</w:t>
            </w:r>
          </w:p>
        </w:tc>
        <w:tc>
          <w:tcPr>
            <w:tcW w:w="1247" w:type="dxa"/>
            <w:tcBorders>
              <w:top w:val="single" w:color="auto" w:sz="4" w:space="0"/>
            </w:tcBorders>
            <w:vAlign w:val="center"/>
          </w:tcPr>
          <w:p>
            <w:pPr>
              <w:spacing w:line="240" w:lineRule="auto"/>
              <w:jc w:val="center"/>
              <w:rPr>
                <w:rFonts w:hint="eastAsia" w:ascii="仿宋" w:hAnsi="仿宋" w:eastAsia="仿宋" w:cs="仿宋"/>
                <w:b/>
                <w:sz w:val="21"/>
                <w:szCs w:val="21"/>
              </w:rPr>
            </w:pPr>
          </w:p>
        </w:tc>
      </w:tr>
    </w:tbl>
    <w:p>
      <w:pPr>
        <w:spacing w:line="312" w:lineRule="auto"/>
        <w:ind w:firstLine="0" w:firstLineChars="0"/>
        <w:contextualSpacing/>
        <w:outlineLvl w:val="1"/>
        <w:rPr>
          <w:rFonts w:ascii="仿宋_GB2312" w:hAnsi="宋体" w:eastAsia="仿宋_GB2312" w:cs="宋体"/>
          <w:b/>
          <w:bCs/>
          <w:sz w:val="28"/>
          <w:szCs w:val="28"/>
        </w:rPr>
      </w:pPr>
      <w:bookmarkStart w:id="58" w:name="_Toc989"/>
      <w:bookmarkStart w:id="59" w:name="_Toc4615"/>
      <w:bookmarkStart w:id="60" w:name="_Toc1123"/>
      <w:r>
        <w:rPr>
          <w:rFonts w:hint="eastAsia" w:ascii="仿宋_GB2312" w:hAnsi="宋体" w:eastAsia="仿宋_GB2312" w:cs="宋体"/>
          <w:b/>
          <w:bCs/>
          <w:sz w:val="28"/>
          <w:szCs w:val="28"/>
        </w:rPr>
        <w:t>十一、估价人员</w:t>
      </w:r>
      <w:bookmarkEnd w:id="58"/>
      <w:bookmarkEnd w:id="59"/>
      <w:bookmarkEnd w:id="60"/>
    </w:p>
    <w:p>
      <w:pPr>
        <w:spacing w:line="500" w:lineRule="exact"/>
        <w:rPr>
          <w:rFonts w:ascii="仿宋_GB2312" w:hAnsi="宋体" w:eastAsia="仿宋_GB2312" w:cs="宋体"/>
          <w:sz w:val="28"/>
          <w:szCs w:val="28"/>
        </w:rPr>
      </w:pPr>
      <w:r>
        <w:rPr>
          <w:rFonts w:ascii="仿宋_GB2312" w:hAnsi="宋体" w:eastAsia="仿宋_GB2312" w:cs="宋体"/>
          <w:sz w:val="28"/>
          <w:szCs w:val="28"/>
        </w:rPr>
        <w:t xml:space="preserve">                     </w:t>
      </w:r>
      <w:r>
        <w:rPr>
          <w:rFonts w:hint="eastAsia" w:ascii="仿宋_GB2312" w:hAnsi="宋体" w:eastAsia="仿宋_GB2312" w:cs="宋体"/>
          <w:sz w:val="28"/>
          <w:szCs w:val="28"/>
        </w:rPr>
        <w:t>注册房地产估价师</w:t>
      </w:r>
    </w:p>
    <w:tbl>
      <w:tblPr>
        <w:tblStyle w:val="18"/>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095"/>
        <w:gridCol w:w="2788"/>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222"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姓名</w:t>
            </w:r>
          </w:p>
        </w:tc>
        <w:tc>
          <w:tcPr>
            <w:tcW w:w="209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注册号</w:t>
            </w:r>
          </w:p>
        </w:tc>
        <w:tc>
          <w:tcPr>
            <w:tcW w:w="2788"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w:t>
            </w:r>
          </w:p>
        </w:tc>
        <w:tc>
          <w:tcPr>
            <w:tcW w:w="245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1222"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高守良</w:t>
            </w:r>
          </w:p>
        </w:tc>
        <w:tc>
          <w:tcPr>
            <w:tcW w:w="209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2320160055</w:t>
            </w:r>
          </w:p>
        </w:tc>
        <w:tc>
          <w:tcPr>
            <w:tcW w:w="2788" w:type="dxa"/>
            <w:vAlign w:val="center"/>
          </w:tcPr>
          <w:p>
            <w:pPr>
              <w:spacing w:line="500" w:lineRule="exact"/>
              <w:jc w:val="center"/>
              <w:rPr>
                <w:rFonts w:ascii="仿宋_GB2312" w:hAnsi="宋体" w:eastAsia="仿宋_GB2312" w:cs="宋体"/>
                <w:color w:val="000000"/>
                <w:sz w:val="28"/>
                <w:szCs w:val="28"/>
              </w:rPr>
            </w:pPr>
          </w:p>
        </w:tc>
        <w:tc>
          <w:tcPr>
            <w:tcW w:w="2455" w:type="dxa"/>
            <w:vAlign w:val="center"/>
          </w:tcPr>
          <w:p>
            <w:pPr>
              <w:spacing w:line="500" w:lineRule="exact"/>
              <w:jc w:val="left"/>
              <w:rPr>
                <w:rFonts w:ascii="仿宋_GB2312" w:hAnsi="宋体" w:eastAsia="仿宋_GB2312" w:cs="宋体"/>
                <w:sz w:val="28"/>
                <w:szCs w:val="28"/>
              </w:rPr>
            </w:pPr>
            <w:r>
              <w:rPr>
                <w:rFonts w:hint="eastAsia" w:ascii="仿宋_GB2312" w:hAnsi="宋体" w:eastAsia="仿宋_GB2312" w:cs="宋体"/>
                <w:sz w:val="28"/>
                <w:szCs w:val="28"/>
                <w:lang w:eastAsia="zh-CN"/>
              </w:rPr>
              <w:t>2019年01月14日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1222"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李  丽</w:t>
            </w:r>
          </w:p>
        </w:tc>
        <w:tc>
          <w:tcPr>
            <w:tcW w:w="2095"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3720110150</w:t>
            </w:r>
          </w:p>
        </w:tc>
        <w:tc>
          <w:tcPr>
            <w:tcW w:w="2788" w:type="dxa"/>
            <w:vAlign w:val="center"/>
          </w:tcPr>
          <w:p>
            <w:pPr>
              <w:spacing w:line="500" w:lineRule="exact"/>
              <w:jc w:val="center"/>
              <w:rPr>
                <w:rFonts w:ascii="仿宋_GB2312" w:hAnsi="宋体" w:eastAsia="仿宋_GB2312" w:cs="宋体"/>
                <w:color w:val="000000"/>
                <w:sz w:val="28"/>
                <w:szCs w:val="28"/>
              </w:rPr>
            </w:pPr>
          </w:p>
        </w:tc>
        <w:tc>
          <w:tcPr>
            <w:tcW w:w="2455" w:type="dxa"/>
            <w:vAlign w:val="center"/>
          </w:tcPr>
          <w:p>
            <w:pPr>
              <w:spacing w:line="500" w:lineRule="exact"/>
              <w:jc w:val="right"/>
              <w:rPr>
                <w:rFonts w:ascii="仿宋_GB2312" w:hAnsi="宋体" w:eastAsia="仿宋_GB2312" w:cs="宋体"/>
                <w:sz w:val="28"/>
                <w:szCs w:val="28"/>
              </w:rPr>
            </w:pPr>
            <w:r>
              <w:rPr>
                <w:rFonts w:hint="eastAsia" w:ascii="仿宋_GB2312" w:hAnsi="宋体" w:eastAsia="仿宋_GB2312" w:cs="宋体"/>
                <w:sz w:val="28"/>
                <w:szCs w:val="28"/>
                <w:lang w:eastAsia="zh-CN"/>
              </w:rPr>
              <w:t>2019年01月14日</w:t>
            </w:r>
          </w:p>
        </w:tc>
      </w:tr>
    </w:tbl>
    <w:p>
      <w:pPr>
        <w:spacing w:line="360" w:lineRule="auto"/>
        <w:ind w:firstLine="562" w:firstLineChars="200"/>
        <w:outlineLvl w:val="1"/>
        <w:rPr>
          <w:rFonts w:ascii="仿宋_GB2312" w:hAnsi="宋体" w:eastAsia="仿宋_GB2312" w:cs="宋体"/>
          <w:b/>
          <w:bCs/>
          <w:sz w:val="28"/>
          <w:szCs w:val="28"/>
        </w:rPr>
      </w:pPr>
      <w:bookmarkStart w:id="61" w:name="_Toc24657"/>
      <w:bookmarkStart w:id="62" w:name="_Toc15046"/>
      <w:bookmarkStart w:id="63" w:name="_Toc24876"/>
      <w:r>
        <w:rPr>
          <w:rFonts w:hint="eastAsia" w:ascii="仿宋_GB2312" w:hAnsi="宋体" w:eastAsia="仿宋_GB2312" w:cs="宋体"/>
          <w:b/>
          <w:sz w:val="28"/>
          <w:szCs w:val="28"/>
        </w:rPr>
        <w:t>十二、</w:t>
      </w:r>
      <w:r>
        <w:rPr>
          <w:rFonts w:hint="eastAsia" w:ascii="仿宋_GB2312" w:hAnsi="宋体" w:eastAsia="仿宋_GB2312" w:cs="宋体"/>
          <w:b/>
          <w:bCs/>
          <w:sz w:val="28"/>
          <w:szCs w:val="28"/>
        </w:rPr>
        <w:t>实地查勘期</w:t>
      </w:r>
      <w:bookmarkEnd w:id="61"/>
      <w:bookmarkEnd w:id="62"/>
      <w:bookmarkEnd w:id="63"/>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p>
    <w:p>
      <w:pPr>
        <w:spacing w:line="360" w:lineRule="auto"/>
        <w:ind w:firstLine="562" w:firstLineChars="200"/>
        <w:outlineLvl w:val="1"/>
        <w:rPr>
          <w:rFonts w:ascii="仿宋_GB2312" w:hAnsi="宋体" w:eastAsia="仿宋_GB2312" w:cs="宋体"/>
          <w:b/>
          <w:sz w:val="28"/>
          <w:szCs w:val="28"/>
        </w:rPr>
      </w:pPr>
      <w:bookmarkStart w:id="64" w:name="_Toc24403"/>
      <w:bookmarkStart w:id="65" w:name="_Toc2302"/>
      <w:bookmarkStart w:id="66" w:name="_Toc12073"/>
      <w:r>
        <w:rPr>
          <w:rFonts w:hint="eastAsia" w:ascii="仿宋_GB2312" w:hAnsi="宋体" w:eastAsia="仿宋_GB2312" w:cs="宋体"/>
          <w:b/>
          <w:sz w:val="28"/>
          <w:szCs w:val="28"/>
        </w:rPr>
        <w:t>十三、估价作业日期</w:t>
      </w:r>
      <w:bookmarkEnd w:id="64"/>
      <w:bookmarkEnd w:id="65"/>
      <w:bookmarkEnd w:id="66"/>
    </w:p>
    <w:p>
      <w:pPr>
        <w:spacing w:line="72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r>
        <w:rPr>
          <w:rFonts w:ascii="仿宋_GB2312" w:hAnsi="宋体" w:eastAsia="仿宋_GB2312" w:cs="宋体"/>
          <w:sz w:val="28"/>
          <w:szCs w:val="28"/>
        </w:rPr>
        <w:t>—</w:t>
      </w:r>
      <w:r>
        <w:rPr>
          <w:rFonts w:hint="eastAsia" w:ascii="仿宋_GB2312" w:hAnsi="宋体" w:eastAsia="仿宋_GB2312" w:cs="宋体"/>
          <w:sz w:val="28"/>
          <w:szCs w:val="28"/>
          <w:lang w:eastAsia="zh-CN"/>
        </w:rPr>
        <w:t>2019年01月14日</w:t>
      </w:r>
    </w:p>
    <w:p>
      <w:pPr>
        <w:spacing w:line="720" w:lineRule="auto"/>
        <w:ind w:firstLine="0" w:firstLineChars="0"/>
        <w:jc w:val="right"/>
        <w:rPr>
          <w:rFonts w:ascii="仿宋_GB2312" w:hAnsi="宋体" w:eastAsia="仿宋_GB2312" w:cs="宋体"/>
          <w:sz w:val="28"/>
          <w:szCs w:val="28"/>
        </w:rPr>
      </w:pP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山东富润土地房地产资产评估有限公司</w:t>
      </w:r>
    </w:p>
    <w:p>
      <w:pPr>
        <w:spacing w:line="240" w:lineRule="auto"/>
        <w:ind w:firstLine="560" w:firstLineChars="200"/>
        <w:jc w:val="both"/>
        <w:rPr>
          <w:rFonts w:hint="eastAsia" w:ascii="仿宋_GB2312" w:hAnsi="宋体" w:eastAsia="仿宋_GB2312" w:cs="宋体"/>
          <w:sz w:val="28"/>
          <w:szCs w:val="28"/>
          <w:lang w:eastAsia="zh-CN"/>
        </w:rPr>
      </w:pPr>
      <w:r>
        <w:rPr>
          <w:rFonts w:ascii="仿宋_GB2312" w:hAnsi="宋体" w:eastAsia="仿宋_GB2312" w:cs="宋体"/>
          <w:sz w:val="28"/>
          <w:szCs w:val="28"/>
        </w:rPr>
        <w:t xml:space="preserve">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二〇一九年一月十四日</w:t>
      </w:r>
    </w:p>
    <w:p>
      <w:pPr>
        <w:spacing w:line="500" w:lineRule="exact"/>
        <w:ind w:firstLine="560" w:firstLineChars="200"/>
        <w:rPr>
          <w:rFonts w:ascii="仿宋_GB2312" w:hAnsi="宋体" w:eastAsia="仿宋_GB2312" w:cs="宋体"/>
          <w:sz w:val="28"/>
          <w:szCs w:val="28"/>
        </w:rPr>
      </w:pPr>
    </w:p>
    <w:p>
      <w:pPr>
        <w:jc w:val="both"/>
        <w:outlineLvl w:val="0"/>
        <w:rPr>
          <w:rFonts w:hint="eastAsia" w:ascii="黑体" w:hAnsi="宋体" w:eastAsia="黑体" w:cs="宋体"/>
          <w:b/>
          <w:bCs/>
          <w:sz w:val="44"/>
          <w:szCs w:val="44"/>
        </w:rPr>
      </w:pPr>
      <w:r>
        <w:rPr>
          <w:rFonts w:hint="eastAsia" w:ascii="仿宋_GB2312" w:hAnsi="宋体" w:eastAsia="仿宋_GB2312" w:cs="宋体"/>
          <w:sz w:val="28"/>
          <w:szCs w:val="28"/>
          <w:lang w:val="en-US" w:eastAsia="zh-CN"/>
        </w:rPr>
        <w:t xml:space="preserve">                          </w:t>
      </w:r>
      <w:bookmarkStart w:id="67" w:name="_Toc12994"/>
      <w:bookmarkStart w:id="68" w:name="_Toc1614"/>
      <w:bookmarkStart w:id="69" w:name="_Toc2009"/>
      <w:r>
        <w:rPr>
          <w:rFonts w:hint="eastAsia" w:ascii="黑体" w:hAnsi="宋体" w:eastAsia="黑体" w:cs="宋体"/>
          <w:b/>
          <w:bCs/>
          <w:sz w:val="44"/>
          <w:szCs w:val="44"/>
        </w:rPr>
        <w:t>附</w:t>
      </w:r>
      <w:r>
        <w:rPr>
          <w:rFonts w:ascii="黑体" w:hAnsi="宋体" w:eastAsia="黑体" w:cs="宋体"/>
          <w:b/>
          <w:bCs/>
          <w:sz w:val="44"/>
          <w:szCs w:val="44"/>
        </w:rPr>
        <w:t xml:space="preserve">  </w:t>
      </w:r>
      <w:r>
        <w:rPr>
          <w:rFonts w:hint="eastAsia" w:ascii="黑体" w:hAnsi="宋体" w:eastAsia="黑体" w:cs="宋体"/>
          <w:b/>
          <w:bCs/>
          <w:sz w:val="44"/>
          <w:szCs w:val="44"/>
        </w:rPr>
        <w:t>件</w:t>
      </w:r>
      <w:bookmarkEnd w:id="67"/>
      <w:bookmarkEnd w:id="68"/>
      <w:bookmarkEnd w:id="69"/>
    </w:p>
    <w:p>
      <w:pPr>
        <w:jc w:val="both"/>
        <w:outlineLvl w:val="0"/>
        <w:rPr>
          <w:rFonts w:hint="eastAsia" w:ascii="黑体" w:hAnsi="宋体" w:eastAsia="黑体" w:cs="宋体"/>
          <w:b/>
          <w:bCs/>
          <w:sz w:val="44"/>
          <w:szCs w:val="44"/>
        </w:rPr>
      </w:pPr>
    </w:p>
    <w:p>
      <w:pPr>
        <w:ind w:firstLine="560" w:firstLineChars="200"/>
        <w:rPr>
          <w:rFonts w:hint="eastAsia" w:ascii="仿宋_GB2312" w:hAnsi="仿宋_GB2312" w:eastAsia="仿宋_GB2312" w:cs="仿宋_GB2312"/>
          <w:b w:val="0"/>
          <w:bCs w:val="0"/>
          <w:sz w:val="28"/>
          <w:szCs w:val="28"/>
        </w:rPr>
      </w:pPr>
      <w:r>
        <w:rPr>
          <w:rFonts w:hint="eastAsia" w:ascii="宋体" w:hAnsi="宋体"/>
          <w:b w:val="0"/>
          <w:bCs w:val="0"/>
          <w:sz w:val="28"/>
          <w:szCs w:val="28"/>
        </w:rPr>
        <w:t>一</w:t>
      </w:r>
      <w:r>
        <w:rPr>
          <w:rFonts w:hint="eastAsia" w:ascii="仿宋_GB2312" w:hAnsi="仿宋_GB2312" w:eastAsia="仿宋_GB2312" w:cs="仿宋_GB2312"/>
          <w:b w:val="0"/>
          <w:bCs w:val="0"/>
          <w:sz w:val="28"/>
          <w:szCs w:val="28"/>
        </w:rPr>
        <w:t>、</w:t>
      </w:r>
      <w:r>
        <w:rPr>
          <w:rFonts w:hint="eastAsia" w:ascii="仿宋_GB2312" w:hAnsi="宋体" w:eastAsia="仿宋_GB2312" w:cs="宋体"/>
          <w:sz w:val="28"/>
          <w:szCs w:val="28"/>
          <w:lang w:eastAsia="zh-CN"/>
        </w:rPr>
        <w:t>委托人提供的</w:t>
      </w:r>
      <w:r>
        <w:rPr>
          <w:rFonts w:hint="eastAsia" w:ascii="仿宋_GB2312" w:hAnsi="宋体" w:eastAsia="仿宋_GB2312" w:cs="宋体"/>
          <w:color w:val="000000"/>
          <w:sz w:val="28"/>
          <w:szCs w:val="28"/>
          <w:lang w:eastAsia="zh-CN"/>
        </w:rPr>
        <w:t>（2018）鲁</w:t>
      </w:r>
      <w:r>
        <w:rPr>
          <w:rFonts w:hint="eastAsia" w:ascii="仿宋_GB2312" w:hAnsi="宋体" w:eastAsia="仿宋_GB2312" w:cs="宋体"/>
          <w:color w:val="000000"/>
          <w:sz w:val="28"/>
          <w:szCs w:val="28"/>
          <w:lang w:val="en-US" w:eastAsia="zh-CN"/>
        </w:rPr>
        <w:t>0791执747号</w:t>
      </w:r>
      <w:r>
        <w:rPr>
          <w:rFonts w:hint="eastAsia" w:ascii="仿宋_GB2312" w:hAnsi="宋体" w:eastAsia="仿宋_GB2312" w:cs="宋体"/>
          <w:sz w:val="28"/>
          <w:szCs w:val="28"/>
        </w:rPr>
        <w:t>鉴定委托函</w:t>
      </w:r>
      <w:r>
        <w:rPr>
          <w:rFonts w:hint="eastAsia" w:ascii="仿宋_GB2312" w:hAnsi="宋体" w:eastAsia="仿宋_GB2312" w:cs="宋体"/>
          <w:sz w:val="28"/>
          <w:szCs w:val="28"/>
          <w:lang w:eastAsia="zh-CN"/>
        </w:rPr>
        <w:t>及鉴定委托书</w:t>
      </w:r>
      <w:r>
        <w:rPr>
          <w:rFonts w:hint="eastAsia" w:ascii="仿宋_GB2312" w:hAnsi="宋体" w:eastAsia="仿宋_GB2312" w:cs="宋体"/>
          <w:sz w:val="28"/>
          <w:szCs w:val="28"/>
        </w:rPr>
        <w:t>复印件</w:t>
      </w:r>
    </w:p>
    <w:p>
      <w:pPr>
        <w:ind w:firstLine="560" w:firstLineChars="200"/>
        <w:rPr>
          <w:rFonts w:hint="default" w:ascii="Times New Roman" w:hAnsi="Times New Roman" w:eastAsia="仿宋_GB2312" w:cs="Times New Roman"/>
          <w:b w:val="0"/>
          <w:bCs w:val="0"/>
          <w:sz w:val="28"/>
          <w:szCs w:val="28"/>
        </w:rPr>
      </w:pPr>
      <w:bookmarkStart w:id="70" w:name="_Toc21835"/>
      <w:r>
        <w:rPr>
          <w:rFonts w:hint="default" w:ascii="Times New Roman" w:hAnsi="Times New Roman" w:eastAsia="仿宋_GB2312" w:cs="Times New Roman"/>
          <w:b w:val="0"/>
          <w:bCs w:val="0"/>
          <w:sz w:val="28"/>
          <w:szCs w:val="28"/>
        </w:rPr>
        <w:t>二、房地产权属证明复印件</w:t>
      </w:r>
      <w:bookmarkEnd w:id="70"/>
    </w:p>
    <w:p>
      <w:pPr>
        <w:ind w:firstLine="560" w:firstLineChars="200"/>
        <w:rPr>
          <w:rFonts w:hint="default" w:ascii="Times New Roman" w:hAnsi="Times New Roman" w:eastAsia="仿宋_GB2312" w:cs="Times New Roman"/>
          <w:b w:val="0"/>
          <w:bCs w:val="0"/>
          <w:sz w:val="28"/>
          <w:szCs w:val="28"/>
        </w:rPr>
      </w:pPr>
      <w:bookmarkStart w:id="71" w:name="_Toc24446"/>
      <w:r>
        <w:rPr>
          <w:rFonts w:hint="default" w:ascii="Times New Roman" w:hAnsi="Times New Roman" w:eastAsia="仿宋_GB2312" w:cs="Times New Roman"/>
          <w:b w:val="0"/>
          <w:bCs w:val="0"/>
          <w:sz w:val="28"/>
          <w:szCs w:val="28"/>
        </w:rPr>
        <w:t>三、估价对象地理位置示意图</w:t>
      </w:r>
      <w:bookmarkEnd w:id="71"/>
    </w:p>
    <w:p>
      <w:pPr>
        <w:ind w:firstLine="560" w:firstLineChars="200"/>
        <w:rPr>
          <w:rFonts w:hint="default" w:ascii="Times New Roman" w:hAnsi="Times New Roman" w:eastAsia="仿宋_GB2312" w:cs="Times New Roman"/>
          <w:b w:val="0"/>
          <w:bCs w:val="0"/>
          <w:sz w:val="28"/>
          <w:szCs w:val="28"/>
        </w:rPr>
      </w:pPr>
      <w:bookmarkStart w:id="72" w:name="_Toc14371"/>
      <w:r>
        <w:rPr>
          <w:rFonts w:hint="default" w:ascii="Times New Roman" w:hAnsi="Times New Roman" w:eastAsia="仿宋_GB2312" w:cs="Times New Roman"/>
          <w:b w:val="0"/>
          <w:bCs w:val="0"/>
          <w:sz w:val="28"/>
          <w:szCs w:val="28"/>
        </w:rPr>
        <w:t>四、估价对象相关照片</w:t>
      </w:r>
      <w:bookmarkStart w:id="75" w:name="_GoBack"/>
      <w:bookmarkEnd w:id="75"/>
    </w:p>
    <w:bookmarkEnd w:id="72"/>
    <w:p>
      <w:pPr>
        <w:ind w:firstLine="560" w:firstLineChars="200"/>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五、估价机构</w:t>
      </w:r>
      <w:r>
        <w:rPr>
          <w:rFonts w:hint="default" w:ascii="Times New Roman" w:hAnsi="Times New Roman" w:eastAsia="仿宋_GB2312" w:cs="Times New Roman"/>
          <w:b w:val="0"/>
          <w:bCs w:val="0"/>
          <w:sz w:val="28"/>
          <w:szCs w:val="28"/>
          <w:lang w:eastAsia="zh-CN"/>
        </w:rPr>
        <w:t>资质证书复印件</w:t>
      </w:r>
    </w:p>
    <w:p>
      <w:pPr>
        <w:ind w:firstLine="560" w:firstLineChars="200"/>
        <w:rPr>
          <w:rFonts w:hint="default" w:ascii="Times New Roman" w:hAnsi="Times New Roman" w:eastAsia="仿宋_GB2312" w:cs="Times New Roman"/>
          <w:b w:val="0"/>
          <w:bCs w:val="0"/>
          <w:sz w:val="28"/>
          <w:szCs w:val="28"/>
        </w:rPr>
      </w:pPr>
      <w:bookmarkStart w:id="73" w:name="_Toc27939"/>
      <w:r>
        <w:rPr>
          <w:rFonts w:hint="default" w:ascii="Times New Roman" w:hAnsi="Times New Roman" w:eastAsia="仿宋_GB2312" w:cs="Times New Roman"/>
          <w:b w:val="0"/>
          <w:bCs w:val="0"/>
          <w:sz w:val="28"/>
          <w:szCs w:val="28"/>
        </w:rPr>
        <w:t>六、估价机构</w:t>
      </w:r>
      <w:r>
        <w:rPr>
          <w:rFonts w:hint="default" w:ascii="Times New Roman" w:hAnsi="Times New Roman" w:eastAsia="仿宋_GB2312" w:cs="Times New Roman"/>
          <w:b w:val="0"/>
          <w:bCs w:val="0"/>
          <w:sz w:val="28"/>
          <w:szCs w:val="28"/>
          <w:lang w:eastAsia="zh-CN"/>
        </w:rPr>
        <w:t>营业执照</w:t>
      </w:r>
      <w:r>
        <w:rPr>
          <w:rFonts w:hint="default" w:ascii="Times New Roman" w:hAnsi="Times New Roman" w:eastAsia="仿宋_GB2312" w:cs="Times New Roman"/>
          <w:b w:val="0"/>
          <w:bCs w:val="0"/>
          <w:sz w:val="28"/>
          <w:szCs w:val="28"/>
        </w:rPr>
        <w:t>复印件</w:t>
      </w:r>
      <w:bookmarkEnd w:id="73"/>
    </w:p>
    <w:p>
      <w:pPr>
        <w:pStyle w:val="13"/>
        <w:tabs>
          <w:tab w:val="right" w:leader="dot" w:pos="8296"/>
        </w:tabs>
        <w:spacing w:line="360" w:lineRule="auto"/>
        <w:ind w:left="0" w:leftChars="0" w:firstLine="560" w:firstLineChars="200"/>
        <w:outlineLvl w:val="1"/>
        <w:rPr>
          <w:rFonts w:ascii="仿宋_GB2312" w:eastAsia="仿宋_GB2312"/>
        </w:rPr>
      </w:pPr>
      <w:bookmarkStart w:id="74" w:name="_Toc29372"/>
      <w:r>
        <w:rPr>
          <w:rFonts w:hint="default" w:ascii="Times New Roman" w:hAnsi="Times New Roman" w:eastAsia="仿宋_GB2312" w:cs="Times New Roman"/>
          <w:b w:val="0"/>
          <w:bCs w:val="0"/>
          <w:sz w:val="28"/>
          <w:szCs w:val="28"/>
        </w:rPr>
        <w:t>七、房地产估价师注册证书复印件</w:t>
      </w:r>
      <w:bookmarkEnd w:id="74"/>
    </w:p>
    <w:sectPr>
      <w:headerReference r:id="rId6" w:type="default"/>
      <w:pgSz w:w="11906" w:h="16838"/>
      <w:pgMar w:top="1440" w:right="1800" w:bottom="1440" w:left="1800" w:header="964"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山东富润土地房地产资产评估有限公司</w:t>
    </w:r>
    <w:r>
      <w:rPr>
        <w:rFonts w:ascii="黑体" w:hAnsi="黑体" w:eastAsia="黑体"/>
        <w:sz w:val="18"/>
      </w:rPr>
      <w:t xml:space="preserve">     </w:t>
    </w:r>
    <w:r>
      <w:rPr>
        <w:rFonts w:hint="eastAsia" w:ascii="黑体" w:hAnsi="黑体" w:eastAsia="黑体"/>
        <w:sz w:val="18"/>
      </w:rPr>
      <w:t>通信地址：潍坊高新区玉泉路</w:t>
    </w:r>
    <w:r>
      <w:rPr>
        <w:rFonts w:ascii="黑体" w:hAnsi="黑体" w:eastAsia="黑体"/>
        <w:sz w:val="18"/>
      </w:rPr>
      <w:t>518</w:t>
    </w:r>
    <w:r>
      <w:rPr>
        <w:rFonts w:hint="eastAsia" w:ascii="黑体" w:hAnsi="黑体" w:eastAsia="黑体"/>
        <w:sz w:val="18"/>
      </w:rPr>
      <w:t>号玉清大厦</w:t>
    </w:r>
    <w:r>
      <w:rPr>
        <w:rFonts w:ascii="黑体" w:hAnsi="黑体" w:eastAsia="黑体"/>
        <w:sz w:val="18"/>
      </w:rPr>
      <w:t>15</w:t>
    </w:r>
    <w:r>
      <w:rPr>
        <w:rFonts w:hint="eastAsia" w:ascii="黑体" w:hAnsi="黑体" w:eastAsia="黑体"/>
        <w:sz w:val="18"/>
      </w:rPr>
      <w:t>层</w:t>
    </w:r>
    <w:r>
      <w:rPr>
        <w:rFonts w:ascii="黑体" w:hAnsi="黑体" w:eastAsia="黑体"/>
        <w:sz w:val="18"/>
      </w:rPr>
      <w:t xml:space="preserve"> </w:t>
    </w:r>
  </w:p>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邮政编码：</w:t>
    </w:r>
    <w:r>
      <w:rPr>
        <w:rFonts w:ascii="黑体" w:hAnsi="黑体" w:eastAsia="黑体"/>
        <w:sz w:val="18"/>
      </w:rPr>
      <w:t xml:space="preserve">261061    </w:t>
    </w:r>
    <w:r>
      <w:rPr>
        <w:rFonts w:hint="eastAsia" w:ascii="黑体" w:hAnsi="黑体" w:eastAsia="黑体"/>
        <w:sz w:val="18"/>
      </w:rPr>
      <w:t>电话：</w:t>
    </w:r>
    <w:r>
      <w:rPr>
        <w:rFonts w:ascii="黑体" w:hAnsi="黑体" w:eastAsia="黑体"/>
        <w:sz w:val="18"/>
      </w:rPr>
      <w:t xml:space="preserve">(0536) </w:t>
    </w:r>
    <w:r>
      <w:rPr>
        <w:rFonts w:hint="eastAsia" w:ascii="黑体" w:hAnsi="黑体" w:eastAsia="黑体"/>
        <w:sz w:val="18"/>
        <w:lang w:val="en-US" w:eastAsia="zh-CN"/>
      </w:rPr>
      <w:t>8293877</w:t>
    </w:r>
    <w:r>
      <w:rPr>
        <w:rFonts w:ascii="黑体" w:hAnsi="黑体" w:eastAsia="黑体"/>
        <w:sz w:val="18"/>
      </w:rPr>
      <w:t xml:space="preserve">  </w:t>
    </w:r>
    <w:r>
      <w:rPr>
        <w:rFonts w:hint="eastAsia" w:ascii="黑体" w:hAnsi="黑体" w:eastAsia="黑体"/>
        <w:sz w:val="18"/>
        <w:lang w:val="en-US" w:eastAsia="zh-CN"/>
      </w:rPr>
      <w:t xml:space="preserve">  </w:t>
    </w:r>
    <w:r>
      <w:rPr>
        <w:rFonts w:ascii="黑体" w:hAnsi="黑体" w:eastAsia="黑体"/>
        <w:sz w:val="18"/>
      </w:rPr>
      <w:t xml:space="preserve">  </w:t>
    </w:r>
    <w:r>
      <w:rPr>
        <w:rFonts w:hint="eastAsia" w:ascii="黑体" w:hAnsi="黑体" w:eastAsia="黑体"/>
        <w:sz w:val="18"/>
      </w:rPr>
      <w:t>邮箱：</w:t>
    </w:r>
    <w:r>
      <w:rPr>
        <w:rFonts w:ascii="黑体" w:hAnsi="黑体" w:eastAsia="黑体"/>
        <w:sz w:val="18"/>
      </w:rPr>
      <w:t>furun@sdfrpg.com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0"/>
      </w:pBdr>
      <w:spacing w:beforeLines="0" w:afterLines="0"/>
      <w:jc w:val="left"/>
      <w:rPr>
        <w:rFonts w:ascii="仿宋" w:hAnsi="仿宋" w:eastAsia="仿宋" w:cs="仿宋"/>
        <w:spacing w:val="-4"/>
        <w:sz w:val="16"/>
        <w:szCs w:val="16"/>
      </w:rPr>
    </w:pPr>
    <w:r>
      <w:rPr>
        <w:sz w:val="16"/>
      </w:rPr>
      <w:pict>
        <v:shape id="_x0000_s4097" o:spid="_x0000_s4097" o:spt="202" type="#_x0000_t202" style="position:absolute;left:0pt;margin-left:0.3pt;margin-top:34.9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9"/>
                  <w:pBdr>
                    <w:bottom w:val="single" w:color="auto" w:sz="4" w:space="0"/>
                  </w:pBdr>
                  <w:tabs>
                    <w:tab w:val="center" w:pos="4153"/>
                    <w:tab w:val="right" w:pos="8306"/>
                  </w:tabs>
                  <w:spacing w:beforeLines="0" w:afterLines="0"/>
                  <w:ind w:left="0"/>
                  <w:jc w:val="left"/>
                </w:pPr>
              </w:p>
            </w:txbxContent>
          </v:textbox>
        </v:shape>
      </w:pict>
    </w:r>
    <w:r>
      <w:rPr>
        <w:rFonts w:hint="eastAsia" w:ascii="黑体" w:hAnsi="黑体" w:eastAsia="黑体"/>
        <w:sz w:val="16"/>
        <w:szCs w:val="16"/>
        <w:lang w:eastAsia="zh-CN"/>
      </w:rPr>
      <w:t>潍坊高新技术产业开发区人民法院</w:t>
    </w:r>
    <w:r>
      <w:rPr>
        <w:rFonts w:hint="eastAsia" w:ascii="黑体" w:hAnsi="黑体" w:eastAsia="黑体"/>
        <w:sz w:val="16"/>
        <w:szCs w:val="16"/>
      </w:rPr>
      <w:t>执行案件涉及的</w:t>
    </w:r>
    <w:r>
      <w:rPr>
        <w:rFonts w:hint="eastAsia" w:ascii="黑体" w:hAnsi="黑体" w:eastAsia="黑体" w:cs="Times New Roman"/>
        <w:bCs w:val="0"/>
        <w:spacing w:val="0"/>
        <w:sz w:val="16"/>
        <w:szCs w:val="16"/>
        <w:lang w:eastAsia="zh-CN"/>
      </w:rPr>
      <w:t>宝通花园</w:t>
    </w:r>
    <w:r>
      <w:rPr>
        <w:rFonts w:hint="eastAsia" w:ascii="黑体" w:hAnsi="黑体" w:eastAsia="黑体" w:cs="Times New Roman"/>
        <w:bCs w:val="0"/>
        <w:spacing w:val="0"/>
        <w:sz w:val="16"/>
        <w:szCs w:val="16"/>
        <w:lang w:val="en-US" w:eastAsia="zh-CN"/>
      </w:rPr>
      <w:t>2号楼06室商铺</w:t>
    </w:r>
    <w:r>
      <w:rPr>
        <w:rFonts w:hint="eastAsia" w:ascii="黑体" w:hAnsi="黑体" w:eastAsia="黑体"/>
        <w:sz w:val="16"/>
        <w:szCs w:val="16"/>
        <w:lang w:eastAsia="zh-CN"/>
      </w:rPr>
      <w:t>司法鉴定评估</w:t>
    </w:r>
    <w:r>
      <w:rPr>
        <w:rFonts w:hint="eastAsia" w:ascii="黑体" w:hAnsi="黑体" w:eastAsia="黑体"/>
        <w:sz w:val="16"/>
        <w:szCs w:val="16"/>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0"/>
      </w:pBdr>
      <w:tabs>
        <w:tab w:val="center" w:pos="4153"/>
        <w:tab w:val="right" w:pos="8306"/>
      </w:tabs>
      <w:spacing w:beforeLines="0" w:afterLines="0"/>
      <w:ind w:left="0"/>
      <w:jc w:val="left"/>
      <w:rPr>
        <w:rFonts w:hint="eastAsia" w:ascii="黑体" w:hAnsi="黑体" w:eastAsia="黑体" w:cs="Times New Roman"/>
        <w:spacing w:val="0"/>
        <w:sz w:val="16"/>
        <w:szCs w:val="16"/>
        <w:lang w:val="en-US" w:eastAsia="zh-CN"/>
      </w:rPr>
    </w:pPr>
    <w:r>
      <w:rPr>
        <w:sz w:val="16"/>
      </w:rPr>
      <w:pict>
        <v:shape id="_x0000_s4099" o:spid="_x0000_s4099" o:spt="202" type="#_x0000_t202" style="position:absolute;left:0pt;margin-left:343.3pt;margin-top:6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第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PAGE  \* MERGEFORMAT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t>1</w:t>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t xml:space="preserve"> 页 共 </w:t>
                </w:r>
                <w:r>
                  <w:rPr>
                    <w:rFonts w:hint="eastAsia" w:ascii="微软雅黑" w:hAnsi="微软雅黑" w:eastAsia="微软雅黑" w:cs="微软雅黑"/>
                    <w:sz w:val="16"/>
                    <w:szCs w:val="16"/>
                    <w:lang w:val="en-US" w:eastAsia="zh-CN"/>
                  </w:rPr>
                  <w:t>15</w:t>
                </w:r>
                <w:r>
                  <w:rPr>
                    <w:rFonts w:hint="eastAsia" w:ascii="微软雅黑" w:hAnsi="微软雅黑" w:eastAsia="微软雅黑" w:cs="微软雅黑"/>
                    <w:sz w:val="16"/>
                    <w:szCs w:val="16"/>
                    <w:lang w:eastAsia="zh-CN"/>
                  </w:rPr>
                  <w:t xml:space="preserve"> 页</w:t>
                </w:r>
              </w:p>
            </w:txbxContent>
          </v:textbox>
        </v:shape>
      </w:pict>
    </w:r>
    <w:r>
      <w:rPr>
        <w:rFonts w:hint="eastAsia" w:ascii="黑体" w:hAnsi="黑体" w:eastAsia="黑体"/>
        <w:sz w:val="16"/>
        <w:szCs w:val="16"/>
        <w:lang w:eastAsia="zh-CN"/>
      </w:rPr>
      <w:t>潍坊高新技术产业开发区人民法院</w:t>
    </w:r>
    <w:r>
      <w:rPr>
        <w:rFonts w:hint="eastAsia" w:ascii="黑体" w:hAnsi="黑体" w:eastAsia="黑体"/>
        <w:sz w:val="16"/>
        <w:szCs w:val="16"/>
      </w:rPr>
      <w:t>执行案件涉及的</w:t>
    </w:r>
    <w:r>
      <w:rPr>
        <w:rFonts w:hint="eastAsia" w:ascii="黑体" w:hAnsi="黑体" w:eastAsia="黑体" w:cs="Times New Roman"/>
        <w:bCs w:val="0"/>
        <w:spacing w:val="0"/>
        <w:sz w:val="16"/>
        <w:szCs w:val="16"/>
        <w:lang w:eastAsia="zh-CN"/>
      </w:rPr>
      <w:t>宝通花园</w:t>
    </w:r>
    <w:r>
      <w:rPr>
        <w:rFonts w:hint="eastAsia" w:ascii="黑体" w:hAnsi="黑体" w:eastAsia="黑体" w:cs="Times New Roman"/>
        <w:bCs w:val="0"/>
        <w:spacing w:val="0"/>
        <w:sz w:val="16"/>
        <w:szCs w:val="16"/>
        <w:lang w:val="en-US" w:eastAsia="zh-CN"/>
      </w:rPr>
      <w:t>2号楼06室房屋</w:t>
    </w:r>
    <w:r>
      <w:rPr>
        <w:rFonts w:hint="eastAsia" w:ascii="黑体" w:hAnsi="黑体" w:eastAsia="黑体"/>
        <w:sz w:val="16"/>
        <w:szCs w:val="16"/>
        <w:lang w:eastAsia="zh-CN"/>
      </w:rPr>
      <w:t>司法鉴定评估</w:t>
    </w:r>
    <w:r>
      <w:rPr>
        <w:rFonts w:hint="eastAsia" w:ascii="黑体" w:hAnsi="黑体" w:eastAsia="黑体"/>
        <w:sz w:val="16"/>
        <w:szCs w:val="16"/>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trackRevisions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00810"/>
    <w:rsid w:val="00005BD5"/>
    <w:rsid w:val="000116C9"/>
    <w:rsid w:val="0001462A"/>
    <w:rsid w:val="000147A3"/>
    <w:rsid w:val="00015687"/>
    <w:rsid w:val="00021858"/>
    <w:rsid w:val="000278B9"/>
    <w:rsid w:val="0003159E"/>
    <w:rsid w:val="00037CA0"/>
    <w:rsid w:val="00042BC4"/>
    <w:rsid w:val="000455BE"/>
    <w:rsid w:val="00053198"/>
    <w:rsid w:val="00053D09"/>
    <w:rsid w:val="00062136"/>
    <w:rsid w:val="00062D53"/>
    <w:rsid w:val="00065AD7"/>
    <w:rsid w:val="00073E0B"/>
    <w:rsid w:val="00077948"/>
    <w:rsid w:val="00077A8D"/>
    <w:rsid w:val="00081DD7"/>
    <w:rsid w:val="00092316"/>
    <w:rsid w:val="0009454E"/>
    <w:rsid w:val="00097064"/>
    <w:rsid w:val="000A6389"/>
    <w:rsid w:val="000B115F"/>
    <w:rsid w:val="000C0BEA"/>
    <w:rsid w:val="000C10A9"/>
    <w:rsid w:val="000C12CE"/>
    <w:rsid w:val="000D36E4"/>
    <w:rsid w:val="000D3B21"/>
    <w:rsid w:val="000E2AAF"/>
    <w:rsid w:val="000E479B"/>
    <w:rsid w:val="000F2C61"/>
    <w:rsid w:val="0010234F"/>
    <w:rsid w:val="00107590"/>
    <w:rsid w:val="0011367D"/>
    <w:rsid w:val="001138E3"/>
    <w:rsid w:val="00121CF0"/>
    <w:rsid w:val="001221AF"/>
    <w:rsid w:val="0012559F"/>
    <w:rsid w:val="0013073A"/>
    <w:rsid w:val="00131D92"/>
    <w:rsid w:val="00134C0C"/>
    <w:rsid w:val="00141955"/>
    <w:rsid w:val="00142A61"/>
    <w:rsid w:val="00144B09"/>
    <w:rsid w:val="00151D9B"/>
    <w:rsid w:val="0015477E"/>
    <w:rsid w:val="0016458A"/>
    <w:rsid w:val="001662A5"/>
    <w:rsid w:val="00167679"/>
    <w:rsid w:val="00171673"/>
    <w:rsid w:val="00172A27"/>
    <w:rsid w:val="00177AA4"/>
    <w:rsid w:val="00186894"/>
    <w:rsid w:val="001877D2"/>
    <w:rsid w:val="00191DF0"/>
    <w:rsid w:val="00192095"/>
    <w:rsid w:val="00197E27"/>
    <w:rsid w:val="001A1D68"/>
    <w:rsid w:val="001A4852"/>
    <w:rsid w:val="001B3BB9"/>
    <w:rsid w:val="001C178E"/>
    <w:rsid w:val="001C31C8"/>
    <w:rsid w:val="001E10EA"/>
    <w:rsid w:val="001E5A98"/>
    <w:rsid w:val="001E61C4"/>
    <w:rsid w:val="001E68D8"/>
    <w:rsid w:val="001F62F6"/>
    <w:rsid w:val="001F74E9"/>
    <w:rsid w:val="001F7D8A"/>
    <w:rsid w:val="00200A0F"/>
    <w:rsid w:val="00200B45"/>
    <w:rsid w:val="0020200C"/>
    <w:rsid w:val="0020399C"/>
    <w:rsid w:val="00206ECC"/>
    <w:rsid w:val="00220B20"/>
    <w:rsid w:val="002225CD"/>
    <w:rsid w:val="00224EBC"/>
    <w:rsid w:val="0022640A"/>
    <w:rsid w:val="00226C25"/>
    <w:rsid w:val="00231D21"/>
    <w:rsid w:val="0023277C"/>
    <w:rsid w:val="00240B08"/>
    <w:rsid w:val="00240D52"/>
    <w:rsid w:val="00241D29"/>
    <w:rsid w:val="00242673"/>
    <w:rsid w:val="002436DE"/>
    <w:rsid w:val="00246B7B"/>
    <w:rsid w:val="002471E9"/>
    <w:rsid w:val="00247927"/>
    <w:rsid w:val="00251737"/>
    <w:rsid w:val="0025743E"/>
    <w:rsid w:val="00257444"/>
    <w:rsid w:val="0026164F"/>
    <w:rsid w:val="00267A00"/>
    <w:rsid w:val="00267EB6"/>
    <w:rsid w:val="0027371B"/>
    <w:rsid w:val="00276CA7"/>
    <w:rsid w:val="00277940"/>
    <w:rsid w:val="00280916"/>
    <w:rsid w:val="00290DD3"/>
    <w:rsid w:val="002936B1"/>
    <w:rsid w:val="002949B0"/>
    <w:rsid w:val="002965EC"/>
    <w:rsid w:val="00296CE0"/>
    <w:rsid w:val="00296D56"/>
    <w:rsid w:val="002A2491"/>
    <w:rsid w:val="002A25BB"/>
    <w:rsid w:val="002A353F"/>
    <w:rsid w:val="002A5424"/>
    <w:rsid w:val="002B2016"/>
    <w:rsid w:val="002B4D42"/>
    <w:rsid w:val="002B56C1"/>
    <w:rsid w:val="002C2B0A"/>
    <w:rsid w:val="002C46A3"/>
    <w:rsid w:val="002C7957"/>
    <w:rsid w:val="002D054E"/>
    <w:rsid w:val="002D0757"/>
    <w:rsid w:val="002D0F85"/>
    <w:rsid w:val="002D5BBE"/>
    <w:rsid w:val="002E15AD"/>
    <w:rsid w:val="002F27C0"/>
    <w:rsid w:val="002F519A"/>
    <w:rsid w:val="002F5BF0"/>
    <w:rsid w:val="002F60A6"/>
    <w:rsid w:val="003003D9"/>
    <w:rsid w:val="00302D39"/>
    <w:rsid w:val="00303A08"/>
    <w:rsid w:val="00303A51"/>
    <w:rsid w:val="0031296D"/>
    <w:rsid w:val="0032003E"/>
    <w:rsid w:val="00321306"/>
    <w:rsid w:val="00327BEA"/>
    <w:rsid w:val="003314C5"/>
    <w:rsid w:val="0033267C"/>
    <w:rsid w:val="00336246"/>
    <w:rsid w:val="0034521A"/>
    <w:rsid w:val="00356116"/>
    <w:rsid w:val="00362D6A"/>
    <w:rsid w:val="00365A7A"/>
    <w:rsid w:val="00366F8C"/>
    <w:rsid w:val="0037300F"/>
    <w:rsid w:val="00374B81"/>
    <w:rsid w:val="0037653A"/>
    <w:rsid w:val="0038038B"/>
    <w:rsid w:val="003833BA"/>
    <w:rsid w:val="003A081B"/>
    <w:rsid w:val="003A5BD5"/>
    <w:rsid w:val="003A6005"/>
    <w:rsid w:val="003A69A7"/>
    <w:rsid w:val="003B00BE"/>
    <w:rsid w:val="003B0A6D"/>
    <w:rsid w:val="003B2E98"/>
    <w:rsid w:val="003B3648"/>
    <w:rsid w:val="003B5019"/>
    <w:rsid w:val="003C0449"/>
    <w:rsid w:val="003C1F07"/>
    <w:rsid w:val="003D0EB0"/>
    <w:rsid w:val="003D22B2"/>
    <w:rsid w:val="003D3344"/>
    <w:rsid w:val="003E0957"/>
    <w:rsid w:val="003E0B5B"/>
    <w:rsid w:val="003E2138"/>
    <w:rsid w:val="003F278C"/>
    <w:rsid w:val="003F6200"/>
    <w:rsid w:val="00412694"/>
    <w:rsid w:val="00413CF2"/>
    <w:rsid w:val="00416742"/>
    <w:rsid w:val="004215D5"/>
    <w:rsid w:val="00430EC5"/>
    <w:rsid w:val="00435BC9"/>
    <w:rsid w:val="00443750"/>
    <w:rsid w:val="00456B5A"/>
    <w:rsid w:val="0046363A"/>
    <w:rsid w:val="00483D78"/>
    <w:rsid w:val="004842B2"/>
    <w:rsid w:val="00486502"/>
    <w:rsid w:val="00492170"/>
    <w:rsid w:val="00492DEC"/>
    <w:rsid w:val="004A0A77"/>
    <w:rsid w:val="004A4E65"/>
    <w:rsid w:val="004B2F7F"/>
    <w:rsid w:val="004B554D"/>
    <w:rsid w:val="004C1C19"/>
    <w:rsid w:val="004C1FC6"/>
    <w:rsid w:val="004C497A"/>
    <w:rsid w:val="004C4AD0"/>
    <w:rsid w:val="004C5AFA"/>
    <w:rsid w:val="004D177B"/>
    <w:rsid w:val="004D3871"/>
    <w:rsid w:val="004D40B0"/>
    <w:rsid w:val="004D7514"/>
    <w:rsid w:val="004E4D57"/>
    <w:rsid w:val="004E7E66"/>
    <w:rsid w:val="004E7F2B"/>
    <w:rsid w:val="004F1C64"/>
    <w:rsid w:val="004F325E"/>
    <w:rsid w:val="004F4715"/>
    <w:rsid w:val="004F5F4F"/>
    <w:rsid w:val="004F7A7F"/>
    <w:rsid w:val="00502604"/>
    <w:rsid w:val="00502F7C"/>
    <w:rsid w:val="0050413D"/>
    <w:rsid w:val="0050529F"/>
    <w:rsid w:val="00505E2F"/>
    <w:rsid w:val="005123A5"/>
    <w:rsid w:val="00522713"/>
    <w:rsid w:val="00524DB3"/>
    <w:rsid w:val="00537F98"/>
    <w:rsid w:val="00542428"/>
    <w:rsid w:val="00542FCE"/>
    <w:rsid w:val="00545A02"/>
    <w:rsid w:val="005469D3"/>
    <w:rsid w:val="00551934"/>
    <w:rsid w:val="0055717B"/>
    <w:rsid w:val="00560377"/>
    <w:rsid w:val="00564B4F"/>
    <w:rsid w:val="00570B81"/>
    <w:rsid w:val="00577012"/>
    <w:rsid w:val="0058046A"/>
    <w:rsid w:val="0058282E"/>
    <w:rsid w:val="00585CF9"/>
    <w:rsid w:val="005869F6"/>
    <w:rsid w:val="005974CE"/>
    <w:rsid w:val="0059783C"/>
    <w:rsid w:val="005A094D"/>
    <w:rsid w:val="005A28A0"/>
    <w:rsid w:val="005C2991"/>
    <w:rsid w:val="005D0E56"/>
    <w:rsid w:val="005E21F7"/>
    <w:rsid w:val="005E2AD4"/>
    <w:rsid w:val="005E5F45"/>
    <w:rsid w:val="005F1F1A"/>
    <w:rsid w:val="005F2CB1"/>
    <w:rsid w:val="00600437"/>
    <w:rsid w:val="00601A31"/>
    <w:rsid w:val="006051F2"/>
    <w:rsid w:val="0060544F"/>
    <w:rsid w:val="00606C52"/>
    <w:rsid w:val="00613F5A"/>
    <w:rsid w:val="00615F07"/>
    <w:rsid w:val="00617BD3"/>
    <w:rsid w:val="00625750"/>
    <w:rsid w:val="006347E7"/>
    <w:rsid w:val="00634D78"/>
    <w:rsid w:val="0063681E"/>
    <w:rsid w:val="00637C43"/>
    <w:rsid w:val="00640FED"/>
    <w:rsid w:val="006435D9"/>
    <w:rsid w:val="00644B5A"/>
    <w:rsid w:val="006528EB"/>
    <w:rsid w:val="00653BD5"/>
    <w:rsid w:val="00653FB6"/>
    <w:rsid w:val="0066084A"/>
    <w:rsid w:val="00662929"/>
    <w:rsid w:val="00664C8A"/>
    <w:rsid w:val="0066548A"/>
    <w:rsid w:val="0067145F"/>
    <w:rsid w:val="0067173F"/>
    <w:rsid w:val="00680AAE"/>
    <w:rsid w:val="006852AE"/>
    <w:rsid w:val="006862A9"/>
    <w:rsid w:val="006951D5"/>
    <w:rsid w:val="0069569D"/>
    <w:rsid w:val="00696BA5"/>
    <w:rsid w:val="00697D10"/>
    <w:rsid w:val="006A77ED"/>
    <w:rsid w:val="006B15C5"/>
    <w:rsid w:val="006B2CC5"/>
    <w:rsid w:val="006B300E"/>
    <w:rsid w:val="006B494F"/>
    <w:rsid w:val="006B6A80"/>
    <w:rsid w:val="006C01FC"/>
    <w:rsid w:val="006C4865"/>
    <w:rsid w:val="006D247E"/>
    <w:rsid w:val="006D6CC2"/>
    <w:rsid w:val="006E0D13"/>
    <w:rsid w:val="006E68CA"/>
    <w:rsid w:val="006F0F75"/>
    <w:rsid w:val="006F1D8A"/>
    <w:rsid w:val="006F2408"/>
    <w:rsid w:val="006F2E0F"/>
    <w:rsid w:val="006F2F55"/>
    <w:rsid w:val="006F43BF"/>
    <w:rsid w:val="006F43F1"/>
    <w:rsid w:val="006F4A26"/>
    <w:rsid w:val="006F60EF"/>
    <w:rsid w:val="006F7B66"/>
    <w:rsid w:val="00700F5B"/>
    <w:rsid w:val="0070204D"/>
    <w:rsid w:val="00706161"/>
    <w:rsid w:val="0070757B"/>
    <w:rsid w:val="00710A49"/>
    <w:rsid w:val="00712D71"/>
    <w:rsid w:val="007169DC"/>
    <w:rsid w:val="00722F57"/>
    <w:rsid w:val="0073731E"/>
    <w:rsid w:val="0074348C"/>
    <w:rsid w:val="0074360C"/>
    <w:rsid w:val="00745DFB"/>
    <w:rsid w:val="00747AF9"/>
    <w:rsid w:val="0075081F"/>
    <w:rsid w:val="00753D9B"/>
    <w:rsid w:val="00755BB8"/>
    <w:rsid w:val="007566AB"/>
    <w:rsid w:val="007608B4"/>
    <w:rsid w:val="00763CAD"/>
    <w:rsid w:val="007673C0"/>
    <w:rsid w:val="0077166A"/>
    <w:rsid w:val="0077464E"/>
    <w:rsid w:val="00776B42"/>
    <w:rsid w:val="0079207C"/>
    <w:rsid w:val="007930F2"/>
    <w:rsid w:val="0079637C"/>
    <w:rsid w:val="00797E8C"/>
    <w:rsid w:val="007A1C1A"/>
    <w:rsid w:val="007A2B67"/>
    <w:rsid w:val="007A5023"/>
    <w:rsid w:val="007C20F8"/>
    <w:rsid w:val="007C28EC"/>
    <w:rsid w:val="007C79A2"/>
    <w:rsid w:val="007F4DAC"/>
    <w:rsid w:val="00801BB3"/>
    <w:rsid w:val="00804931"/>
    <w:rsid w:val="00806F0E"/>
    <w:rsid w:val="008164B6"/>
    <w:rsid w:val="008177BC"/>
    <w:rsid w:val="008268AA"/>
    <w:rsid w:val="008268EE"/>
    <w:rsid w:val="00826E80"/>
    <w:rsid w:val="008317A6"/>
    <w:rsid w:val="008376ED"/>
    <w:rsid w:val="00841BB1"/>
    <w:rsid w:val="00841CA9"/>
    <w:rsid w:val="0084376D"/>
    <w:rsid w:val="00847390"/>
    <w:rsid w:val="008506BB"/>
    <w:rsid w:val="00855616"/>
    <w:rsid w:val="00856957"/>
    <w:rsid w:val="00864C39"/>
    <w:rsid w:val="00864F3D"/>
    <w:rsid w:val="00865D9B"/>
    <w:rsid w:val="00866E8A"/>
    <w:rsid w:val="00867B27"/>
    <w:rsid w:val="00873259"/>
    <w:rsid w:val="00874A28"/>
    <w:rsid w:val="00880052"/>
    <w:rsid w:val="0088192D"/>
    <w:rsid w:val="008822B1"/>
    <w:rsid w:val="00883702"/>
    <w:rsid w:val="008930A5"/>
    <w:rsid w:val="00897095"/>
    <w:rsid w:val="0089753D"/>
    <w:rsid w:val="008B240C"/>
    <w:rsid w:val="008B4EE6"/>
    <w:rsid w:val="008B5ED7"/>
    <w:rsid w:val="008B7B3F"/>
    <w:rsid w:val="008C32FA"/>
    <w:rsid w:val="008C70AF"/>
    <w:rsid w:val="008C7D04"/>
    <w:rsid w:val="008D0A27"/>
    <w:rsid w:val="008D1227"/>
    <w:rsid w:val="008D3D38"/>
    <w:rsid w:val="008E1873"/>
    <w:rsid w:val="008E2AEE"/>
    <w:rsid w:val="008E6217"/>
    <w:rsid w:val="008E7C0E"/>
    <w:rsid w:val="008F2259"/>
    <w:rsid w:val="008F5391"/>
    <w:rsid w:val="00904028"/>
    <w:rsid w:val="009048D4"/>
    <w:rsid w:val="00905801"/>
    <w:rsid w:val="00910C90"/>
    <w:rsid w:val="0091134C"/>
    <w:rsid w:val="009122DF"/>
    <w:rsid w:val="0091466A"/>
    <w:rsid w:val="00915E49"/>
    <w:rsid w:val="009166E8"/>
    <w:rsid w:val="00924090"/>
    <w:rsid w:val="009246E1"/>
    <w:rsid w:val="009274CA"/>
    <w:rsid w:val="00930923"/>
    <w:rsid w:val="0093305C"/>
    <w:rsid w:val="00934151"/>
    <w:rsid w:val="00935C65"/>
    <w:rsid w:val="009403F0"/>
    <w:rsid w:val="00940DFB"/>
    <w:rsid w:val="009427C1"/>
    <w:rsid w:val="00960396"/>
    <w:rsid w:val="009625A7"/>
    <w:rsid w:val="009632BE"/>
    <w:rsid w:val="00972158"/>
    <w:rsid w:val="0097366A"/>
    <w:rsid w:val="009741C5"/>
    <w:rsid w:val="00982014"/>
    <w:rsid w:val="00987065"/>
    <w:rsid w:val="00991D9A"/>
    <w:rsid w:val="00993F61"/>
    <w:rsid w:val="00995E3B"/>
    <w:rsid w:val="009A200B"/>
    <w:rsid w:val="009A21F3"/>
    <w:rsid w:val="009A2AAB"/>
    <w:rsid w:val="009A4860"/>
    <w:rsid w:val="009B2CCD"/>
    <w:rsid w:val="009B7B28"/>
    <w:rsid w:val="009C0CB9"/>
    <w:rsid w:val="009C11D8"/>
    <w:rsid w:val="009C162B"/>
    <w:rsid w:val="009C3A96"/>
    <w:rsid w:val="009C450D"/>
    <w:rsid w:val="009C793E"/>
    <w:rsid w:val="009D0EF4"/>
    <w:rsid w:val="009D5167"/>
    <w:rsid w:val="009D5DC4"/>
    <w:rsid w:val="009D6D25"/>
    <w:rsid w:val="009D75AC"/>
    <w:rsid w:val="009E1D42"/>
    <w:rsid w:val="009E322A"/>
    <w:rsid w:val="009E37E4"/>
    <w:rsid w:val="009E59AF"/>
    <w:rsid w:val="009F0167"/>
    <w:rsid w:val="009F017E"/>
    <w:rsid w:val="009F0D91"/>
    <w:rsid w:val="009F1502"/>
    <w:rsid w:val="009F2CB2"/>
    <w:rsid w:val="009F69AB"/>
    <w:rsid w:val="00A01D0B"/>
    <w:rsid w:val="00A05A42"/>
    <w:rsid w:val="00A12391"/>
    <w:rsid w:val="00A124C7"/>
    <w:rsid w:val="00A239E5"/>
    <w:rsid w:val="00A24A8E"/>
    <w:rsid w:val="00A250D7"/>
    <w:rsid w:val="00A25895"/>
    <w:rsid w:val="00A25BDF"/>
    <w:rsid w:val="00A35C93"/>
    <w:rsid w:val="00A41E22"/>
    <w:rsid w:val="00A4207B"/>
    <w:rsid w:val="00A43A24"/>
    <w:rsid w:val="00A4772F"/>
    <w:rsid w:val="00A52749"/>
    <w:rsid w:val="00A57538"/>
    <w:rsid w:val="00A62189"/>
    <w:rsid w:val="00A655FA"/>
    <w:rsid w:val="00A66813"/>
    <w:rsid w:val="00A722E5"/>
    <w:rsid w:val="00A74524"/>
    <w:rsid w:val="00A7688C"/>
    <w:rsid w:val="00A807C8"/>
    <w:rsid w:val="00A83719"/>
    <w:rsid w:val="00A871F7"/>
    <w:rsid w:val="00A87CA5"/>
    <w:rsid w:val="00A946C7"/>
    <w:rsid w:val="00A962A2"/>
    <w:rsid w:val="00A96BFE"/>
    <w:rsid w:val="00A97283"/>
    <w:rsid w:val="00A979DC"/>
    <w:rsid w:val="00AA179B"/>
    <w:rsid w:val="00AA2838"/>
    <w:rsid w:val="00AA28D6"/>
    <w:rsid w:val="00AA50DE"/>
    <w:rsid w:val="00AA7153"/>
    <w:rsid w:val="00AA7ABD"/>
    <w:rsid w:val="00AB52CD"/>
    <w:rsid w:val="00AC1CEC"/>
    <w:rsid w:val="00AC21CB"/>
    <w:rsid w:val="00AC589D"/>
    <w:rsid w:val="00AD0B96"/>
    <w:rsid w:val="00AD34BA"/>
    <w:rsid w:val="00AD3FA6"/>
    <w:rsid w:val="00AD443D"/>
    <w:rsid w:val="00AD4928"/>
    <w:rsid w:val="00AD4988"/>
    <w:rsid w:val="00AD6A6C"/>
    <w:rsid w:val="00AD720C"/>
    <w:rsid w:val="00AE1B2D"/>
    <w:rsid w:val="00AE3938"/>
    <w:rsid w:val="00AE4D65"/>
    <w:rsid w:val="00AE5AD5"/>
    <w:rsid w:val="00AE5AD8"/>
    <w:rsid w:val="00AE5E0E"/>
    <w:rsid w:val="00AE6B16"/>
    <w:rsid w:val="00AE73A9"/>
    <w:rsid w:val="00AE77A2"/>
    <w:rsid w:val="00AF2B8C"/>
    <w:rsid w:val="00AF4880"/>
    <w:rsid w:val="00AF53C4"/>
    <w:rsid w:val="00AF7E86"/>
    <w:rsid w:val="00B0159D"/>
    <w:rsid w:val="00B03272"/>
    <w:rsid w:val="00B14300"/>
    <w:rsid w:val="00B23FBB"/>
    <w:rsid w:val="00B32694"/>
    <w:rsid w:val="00B36152"/>
    <w:rsid w:val="00B42CB9"/>
    <w:rsid w:val="00B42F00"/>
    <w:rsid w:val="00B52DEB"/>
    <w:rsid w:val="00B53EE7"/>
    <w:rsid w:val="00B54F2A"/>
    <w:rsid w:val="00B60599"/>
    <w:rsid w:val="00B65D9A"/>
    <w:rsid w:val="00B71A0A"/>
    <w:rsid w:val="00B72C29"/>
    <w:rsid w:val="00B73316"/>
    <w:rsid w:val="00B73CC4"/>
    <w:rsid w:val="00B74BD4"/>
    <w:rsid w:val="00B74BF7"/>
    <w:rsid w:val="00B76DAA"/>
    <w:rsid w:val="00B76FC0"/>
    <w:rsid w:val="00B80687"/>
    <w:rsid w:val="00B8163F"/>
    <w:rsid w:val="00B82C6F"/>
    <w:rsid w:val="00B84580"/>
    <w:rsid w:val="00B86DDD"/>
    <w:rsid w:val="00B93945"/>
    <w:rsid w:val="00B95A61"/>
    <w:rsid w:val="00BA00E6"/>
    <w:rsid w:val="00BA3FBE"/>
    <w:rsid w:val="00BA7D48"/>
    <w:rsid w:val="00BB10FE"/>
    <w:rsid w:val="00BC08B8"/>
    <w:rsid w:val="00BC403C"/>
    <w:rsid w:val="00BC50C2"/>
    <w:rsid w:val="00BC648A"/>
    <w:rsid w:val="00BD6952"/>
    <w:rsid w:val="00BE1720"/>
    <w:rsid w:val="00BE431C"/>
    <w:rsid w:val="00BE4E9E"/>
    <w:rsid w:val="00BF0187"/>
    <w:rsid w:val="00BF06BE"/>
    <w:rsid w:val="00BF097F"/>
    <w:rsid w:val="00BF0B4A"/>
    <w:rsid w:val="00BF0E01"/>
    <w:rsid w:val="00BF0E16"/>
    <w:rsid w:val="00BF7240"/>
    <w:rsid w:val="00C0541A"/>
    <w:rsid w:val="00C0651C"/>
    <w:rsid w:val="00C073F6"/>
    <w:rsid w:val="00C11B6F"/>
    <w:rsid w:val="00C11CA0"/>
    <w:rsid w:val="00C14FE0"/>
    <w:rsid w:val="00C1599E"/>
    <w:rsid w:val="00C1772B"/>
    <w:rsid w:val="00C21033"/>
    <w:rsid w:val="00C237EE"/>
    <w:rsid w:val="00C242FA"/>
    <w:rsid w:val="00C34B94"/>
    <w:rsid w:val="00C36748"/>
    <w:rsid w:val="00C37337"/>
    <w:rsid w:val="00C45235"/>
    <w:rsid w:val="00C518BA"/>
    <w:rsid w:val="00C529E0"/>
    <w:rsid w:val="00C57598"/>
    <w:rsid w:val="00C61638"/>
    <w:rsid w:val="00C65862"/>
    <w:rsid w:val="00C65E05"/>
    <w:rsid w:val="00C67AB5"/>
    <w:rsid w:val="00C70B23"/>
    <w:rsid w:val="00C9310A"/>
    <w:rsid w:val="00C97740"/>
    <w:rsid w:val="00CA1029"/>
    <w:rsid w:val="00CA5224"/>
    <w:rsid w:val="00CA75DB"/>
    <w:rsid w:val="00CB0A3D"/>
    <w:rsid w:val="00CB2F6A"/>
    <w:rsid w:val="00CD0B17"/>
    <w:rsid w:val="00CD0DFC"/>
    <w:rsid w:val="00CD5222"/>
    <w:rsid w:val="00CD65D5"/>
    <w:rsid w:val="00CE4EB9"/>
    <w:rsid w:val="00CE74F7"/>
    <w:rsid w:val="00CF36EE"/>
    <w:rsid w:val="00CF3A16"/>
    <w:rsid w:val="00CF57CE"/>
    <w:rsid w:val="00CF7670"/>
    <w:rsid w:val="00D00F0E"/>
    <w:rsid w:val="00D03A0E"/>
    <w:rsid w:val="00D03E54"/>
    <w:rsid w:val="00D0704D"/>
    <w:rsid w:val="00D07A98"/>
    <w:rsid w:val="00D11C7E"/>
    <w:rsid w:val="00D12D62"/>
    <w:rsid w:val="00D17BA8"/>
    <w:rsid w:val="00D253F1"/>
    <w:rsid w:val="00D3125F"/>
    <w:rsid w:val="00D3218C"/>
    <w:rsid w:val="00D32C57"/>
    <w:rsid w:val="00D33604"/>
    <w:rsid w:val="00D43289"/>
    <w:rsid w:val="00D4707B"/>
    <w:rsid w:val="00D4797D"/>
    <w:rsid w:val="00D47ED2"/>
    <w:rsid w:val="00D60697"/>
    <w:rsid w:val="00D61ED0"/>
    <w:rsid w:val="00D6278A"/>
    <w:rsid w:val="00D72850"/>
    <w:rsid w:val="00D76DCB"/>
    <w:rsid w:val="00D805C9"/>
    <w:rsid w:val="00D82CD8"/>
    <w:rsid w:val="00D8587C"/>
    <w:rsid w:val="00D8641F"/>
    <w:rsid w:val="00D86E51"/>
    <w:rsid w:val="00D878F9"/>
    <w:rsid w:val="00D914F8"/>
    <w:rsid w:val="00D958A0"/>
    <w:rsid w:val="00D9613A"/>
    <w:rsid w:val="00D9705B"/>
    <w:rsid w:val="00D976AE"/>
    <w:rsid w:val="00D97C36"/>
    <w:rsid w:val="00DC2CDF"/>
    <w:rsid w:val="00DC3DAE"/>
    <w:rsid w:val="00DC4EA4"/>
    <w:rsid w:val="00DC5D3E"/>
    <w:rsid w:val="00DC6443"/>
    <w:rsid w:val="00DD0587"/>
    <w:rsid w:val="00DD50FD"/>
    <w:rsid w:val="00DD63D5"/>
    <w:rsid w:val="00DD7DD3"/>
    <w:rsid w:val="00DE2D13"/>
    <w:rsid w:val="00DE4D0A"/>
    <w:rsid w:val="00DF065A"/>
    <w:rsid w:val="00E0113B"/>
    <w:rsid w:val="00E01ABE"/>
    <w:rsid w:val="00E01B4C"/>
    <w:rsid w:val="00E0285B"/>
    <w:rsid w:val="00E040D7"/>
    <w:rsid w:val="00E04218"/>
    <w:rsid w:val="00E06679"/>
    <w:rsid w:val="00E10F68"/>
    <w:rsid w:val="00E14E9F"/>
    <w:rsid w:val="00E20F2D"/>
    <w:rsid w:val="00E26868"/>
    <w:rsid w:val="00E26E76"/>
    <w:rsid w:val="00E3150A"/>
    <w:rsid w:val="00E35E19"/>
    <w:rsid w:val="00E36027"/>
    <w:rsid w:val="00E40B09"/>
    <w:rsid w:val="00E41DC0"/>
    <w:rsid w:val="00E431BD"/>
    <w:rsid w:val="00E44A81"/>
    <w:rsid w:val="00E46190"/>
    <w:rsid w:val="00E5556C"/>
    <w:rsid w:val="00E57E25"/>
    <w:rsid w:val="00E62361"/>
    <w:rsid w:val="00E672F0"/>
    <w:rsid w:val="00E76304"/>
    <w:rsid w:val="00E77D82"/>
    <w:rsid w:val="00E8331A"/>
    <w:rsid w:val="00E90055"/>
    <w:rsid w:val="00E9596E"/>
    <w:rsid w:val="00E95D1B"/>
    <w:rsid w:val="00E95FF5"/>
    <w:rsid w:val="00E96C77"/>
    <w:rsid w:val="00EA117E"/>
    <w:rsid w:val="00EA3356"/>
    <w:rsid w:val="00EA5894"/>
    <w:rsid w:val="00EB15B1"/>
    <w:rsid w:val="00EC0A78"/>
    <w:rsid w:val="00EC29C6"/>
    <w:rsid w:val="00ED28AF"/>
    <w:rsid w:val="00ED3E4E"/>
    <w:rsid w:val="00ED59D8"/>
    <w:rsid w:val="00ED6F6C"/>
    <w:rsid w:val="00EE076A"/>
    <w:rsid w:val="00EE11FD"/>
    <w:rsid w:val="00EE5B26"/>
    <w:rsid w:val="00EE74B1"/>
    <w:rsid w:val="00EF4A00"/>
    <w:rsid w:val="00EF762C"/>
    <w:rsid w:val="00F000BA"/>
    <w:rsid w:val="00F06400"/>
    <w:rsid w:val="00F1254C"/>
    <w:rsid w:val="00F1704B"/>
    <w:rsid w:val="00F246E1"/>
    <w:rsid w:val="00F3175C"/>
    <w:rsid w:val="00F32D07"/>
    <w:rsid w:val="00F35FB1"/>
    <w:rsid w:val="00F36B6C"/>
    <w:rsid w:val="00F4306B"/>
    <w:rsid w:val="00F44B9D"/>
    <w:rsid w:val="00F50BDB"/>
    <w:rsid w:val="00F541FE"/>
    <w:rsid w:val="00F54220"/>
    <w:rsid w:val="00F543AF"/>
    <w:rsid w:val="00F55CC0"/>
    <w:rsid w:val="00F63ABC"/>
    <w:rsid w:val="00F70B8D"/>
    <w:rsid w:val="00F72AE4"/>
    <w:rsid w:val="00F74AE6"/>
    <w:rsid w:val="00F77751"/>
    <w:rsid w:val="00F860BB"/>
    <w:rsid w:val="00F86B2F"/>
    <w:rsid w:val="00F90A41"/>
    <w:rsid w:val="00FA04ED"/>
    <w:rsid w:val="00FA59B0"/>
    <w:rsid w:val="00FA7891"/>
    <w:rsid w:val="00FA7DB6"/>
    <w:rsid w:val="00FA7FC8"/>
    <w:rsid w:val="00FB4215"/>
    <w:rsid w:val="00FC1642"/>
    <w:rsid w:val="00FC4F08"/>
    <w:rsid w:val="00FC53BB"/>
    <w:rsid w:val="00FC600C"/>
    <w:rsid w:val="00FD09C7"/>
    <w:rsid w:val="00FE4639"/>
    <w:rsid w:val="00FE75A5"/>
    <w:rsid w:val="00FF5D5A"/>
    <w:rsid w:val="00FF7416"/>
    <w:rsid w:val="018E79FD"/>
    <w:rsid w:val="01AD7BD3"/>
    <w:rsid w:val="01DA4225"/>
    <w:rsid w:val="023E741B"/>
    <w:rsid w:val="029849E3"/>
    <w:rsid w:val="03011423"/>
    <w:rsid w:val="034B6875"/>
    <w:rsid w:val="038D3960"/>
    <w:rsid w:val="04453520"/>
    <w:rsid w:val="04C1169A"/>
    <w:rsid w:val="05727E33"/>
    <w:rsid w:val="057E0623"/>
    <w:rsid w:val="05BE44CE"/>
    <w:rsid w:val="06273383"/>
    <w:rsid w:val="06395EDE"/>
    <w:rsid w:val="07106AF6"/>
    <w:rsid w:val="07AE338A"/>
    <w:rsid w:val="07D441B0"/>
    <w:rsid w:val="080E48C5"/>
    <w:rsid w:val="08C14368"/>
    <w:rsid w:val="08C35BD6"/>
    <w:rsid w:val="0937130C"/>
    <w:rsid w:val="093C5120"/>
    <w:rsid w:val="096A67E0"/>
    <w:rsid w:val="098373AE"/>
    <w:rsid w:val="09F8131E"/>
    <w:rsid w:val="0A18019D"/>
    <w:rsid w:val="0A733993"/>
    <w:rsid w:val="0AAE2DCA"/>
    <w:rsid w:val="0ADD102A"/>
    <w:rsid w:val="0B075588"/>
    <w:rsid w:val="0B334E65"/>
    <w:rsid w:val="0C2621AC"/>
    <w:rsid w:val="0C26560C"/>
    <w:rsid w:val="0C80291D"/>
    <w:rsid w:val="0CB71D6A"/>
    <w:rsid w:val="0DB63E8C"/>
    <w:rsid w:val="0DD77C44"/>
    <w:rsid w:val="0EE75C0C"/>
    <w:rsid w:val="0FB826F6"/>
    <w:rsid w:val="10781CD8"/>
    <w:rsid w:val="109C40AB"/>
    <w:rsid w:val="10B4288D"/>
    <w:rsid w:val="1174617B"/>
    <w:rsid w:val="11887DE0"/>
    <w:rsid w:val="121D721F"/>
    <w:rsid w:val="128156F9"/>
    <w:rsid w:val="12E50FC2"/>
    <w:rsid w:val="13733B85"/>
    <w:rsid w:val="13A96E78"/>
    <w:rsid w:val="14246B24"/>
    <w:rsid w:val="1462076B"/>
    <w:rsid w:val="14C41AA0"/>
    <w:rsid w:val="1531556D"/>
    <w:rsid w:val="15525230"/>
    <w:rsid w:val="1554222F"/>
    <w:rsid w:val="15C0088F"/>
    <w:rsid w:val="163254FA"/>
    <w:rsid w:val="16AB47F5"/>
    <w:rsid w:val="17181479"/>
    <w:rsid w:val="175B4887"/>
    <w:rsid w:val="17A55A62"/>
    <w:rsid w:val="181A47CE"/>
    <w:rsid w:val="182576B8"/>
    <w:rsid w:val="18466DDD"/>
    <w:rsid w:val="18EC1CED"/>
    <w:rsid w:val="193718B8"/>
    <w:rsid w:val="1B7D2FED"/>
    <w:rsid w:val="1BA95E92"/>
    <w:rsid w:val="1BD72E6B"/>
    <w:rsid w:val="1BE35FA4"/>
    <w:rsid w:val="1C6646A5"/>
    <w:rsid w:val="1D0033CF"/>
    <w:rsid w:val="1D395868"/>
    <w:rsid w:val="1D3D02DE"/>
    <w:rsid w:val="1D843DCE"/>
    <w:rsid w:val="1E19067B"/>
    <w:rsid w:val="1E4D713D"/>
    <w:rsid w:val="1ED0474E"/>
    <w:rsid w:val="1F096226"/>
    <w:rsid w:val="205D3279"/>
    <w:rsid w:val="21D4767A"/>
    <w:rsid w:val="21E94D31"/>
    <w:rsid w:val="21EF2A32"/>
    <w:rsid w:val="225B2E57"/>
    <w:rsid w:val="22D738DB"/>
    <w:rsid w:val="238E2E63"/>
    <w:rsid w:val="23B8745C"/>
    <w:rsid w:val="23EF0782"/>
    <w:rsid w:val="25190621"/>
    <w:rsid w:val="263A6A08"/>
    <w:rsid w:val="265B63BC"/>
    <w:rsid w:val="265C51C0"/>
    <w:rsid w:val="269464F2"/>
    <w:rsid w:val="26A036EA"/>
    <w:rsid w:val="26ED4E96"/>
    <w:rsid w:val="27066912"/>
    <w:rsid w:val="271D67DF"/>
    <w:rsid w:val="27DB07F8"/>
    <w:rsid w:val="28B10D82"/>
    <w:rsid w:val="28C818DB"/>
    <w:rsid w:val="296F6B4E"/>
    <w:rsid w:val="29AB7904"/>
    <w:rsid w:val="2A572EB4"/>
    <w:rsid w:val="2A651620"/>
    <w:rsid w:val="2A6A6FA4"/>
    <w:rsid w:val="2B2406C7"/>
    <w:rsid w:val="2B790F57"/>
    <w:rsid w:val="2B9B7BA6"/>
    <w:rsid w:val="2BC574CA"/>
    <w:rsid w:val="2C040A80"/>
    <w:rsid w:val="2C0C4E20"/>
    <w:rsid w:val="2C716529"/>
    <w:rsid w:val="2C96138D"/>
    <w:rsid w:val="2CEC1B94"/>
    <w:rsid w:val="2DC723C0"/>
    <w:rsid w:val="2DF45D26"/>
    <w:rsid w:val="2E114B08"/>
    <w:rsid w:val="2E6C13F6"/>
    <w:rsid w:val="2E90197E"/>
    <w:rsid w:val="2EB7304E"/>
    <w:rsid w:val="2F3B7ABC"/>
    <w:rsid w:val="2F6B36E8"/>
    <w:rsid w:val="2FD9510C"/>
    <w:rsid w:val="309B6237"/>
    <w:rsid w:val="30A13049"/>
    <w:rsid w:val="30DD4D3A"/>
    <w:rsid w:val="319C3BAC"/>
    <w:rsid w:val="329D3696"/>
    <w:rsid w:val="33090C0B"/>
    <w:rsid w:val="336A7DF1"/>
    <w:rsid w:val="339104B6"/>
    <w:rsid w:val="33A666B2"/>
    <w:rsid w:val="3424001A"/>
    <w:rsid w:val="34DA64C3"/>
    <w:rsid w:val="353E6C2D"/>
    <w:rsid w:val="355E07ED"/>
    <w:rsid w:val="35653EA9"/>
    <w:rsid w:val="35D94090"/>
    <w:rsid w:val="36025D7D"/>
    <w:rsid w:val="36061DCE"/>
    <w:rsid w:val="365E14E4"/>
    <w:rsid w:val="369E4B5F"/>
    <w:rsid w:val="3784117F"/>
    <w:rsid w:val="37C14201"/>
    <w:rsid w:val="37E167BB"/>
    <w:rsid w:val="388D62EF"/>
    <w:rsid w:val="38C251DF"/>
    <w:rsid w:val="38FA5B13"/>
    <w:rsid w:val="38FD6346"/>
    <w:rsid w:val="394D2298"/>
    <w:rsid w:val="39F31BFD"/>
    <w:rsid w:val="39F623A3"/>
    <w:rsid w:val="3A315208"/>
    <w:rsid w:val="3A40313F"/>
    <w:rsid w:val="3A8B27FF"/>
    <w:rsid w:val="3AA472C4"/>
    <w:rsid w:val="3AC75889"/>
    <w:rsid w:val="3AFB4866"/>
    <w:rsid w:val="3B0A0904"/>
    <w:rsid w:val="3B8445DF"/>
    <w:rsid w:val="3CA005C8"/>
    <w:rsid w:val="3CF50A57"/>
    <w:rsid w:val="3CFB6349"/>
    <w:rsid w:val="3DBE301A"/>
    <w:rsid w:val="3EC0494C"/>
    <w:rsid w:val="3F2030BB"/>
    <w:rsid w:val="3F5D5755"/>
    <w:rsid w:val="401024ED"/>
    <w:rsid w:val="402E64E1"/>
    <w:rsid w:val="407E51BA"/>
    <w:rsid w:val="412E58BC"/>
    <w:rsid w:val="41E81745"/>
    <w:rsid w:val="426B0703"/>
    <w:rsid w:val="427C16D1"/>
    <w:rsid w:val="42AC65FF"/>
    <w:rsid w:val="42F729F9"/>
    <w:rsid w:val="43313EE2"/>
    <w:rsid w:val="440B55BD"/>
    <w:rsid w:val="44493E11"/>
    <w:rsid w:val="44C66A64"/>
    <w:rsid w:val="451F6DCF"/>
    <w:rsid w:val="454113E6"/>
    <w:rsid w:val="45581E9E"/>
    <w:rsid w:val="45DA012D"/>
    <w:rsid w:val="46581ACB"/>
    <w:rsid w:val="46EB7C45"/>
    <w:rsid w:val="471778F8"/>
    <w:rsid w:val="47191761"/>
    <w:rsid w:val="4728162F"/>
    <w:rsid w:val="479C078C"/>
    <w:rsid w:val="47B944B8"/>
    <w:rsid w:val="4807745D"/>
    <w:rsid w:val="49272998"/>
    <w:rsid w:val="49947A50"/>
    <w:rsid w:val="49D427A6"/>
    <w:rsid w:val="4A1104A5"/>
    <w:rsid w:val="4A70213E"/>
    <w:rsid w:val="4B6A1E11"/>
    <w:rsid w:val="4BBF0B1F"/>
    <w:rsid w:val="4C835ADF"/>
    <w:rsid w:val="4CB05F2B"/>
    <w:rsid w:val="4D313BB2"/>
    <w:rsid w:val="4D602B96"/>
    <w:rsid w:val="4D742A00"/>
    <w:rsid w:val="4DB44A86"/>
    <w:rsid w:val="4DF06992"/>
    <w:rsid w:val="4EA050EE"/>
    <w:rsid w:val="4ED142E8"/>
    <w:rsid w:val="4FE30CC1"/>
    <w:rsid w:val="50A60D08"/>
    <w:rsid w:val="51763659"/>
    <w:rsid w:val="51A96806"/>
    <w:rsid w:val="51B95053"/>
    <w:rsid w:val="51D2479E"/>
    <w:rsid w:val="528A779E"/>
    <w:rsid w:val="52D05702"/>
    <w:rsid w:val="52F066E7"/>
    <w:rsid w:val="533E38A0"/>
    <w:rsid w:val="534E295D"/>
    <w:rsid w:val="539B3E96"/>
    <w:rsid w:val="54400953"/>
    <w:rsid w:val="55146C62"/>
    <w:rsid w:val="5563264A"/>
    <w:rsid w:val="55A0308A"/>
    <w:rsid w:val="56BD09E7"/>
    <w:rsid w:val="57574A15"/>
    <w:rsid w:val="57EC2C4F"/>
    <w:rsid w:val="58603182"/>
    <w:rsid w:val="58686F30"/>
    <w:rsid w:val="58A4348F"/>
    <w:rsid w:val="58C8321D"/>
    <w:rsid w:val="58FD4E6A"/>
    <w:rsid w:val="59450DEB"/>
    <w:rsid w:val="5A6500DC"/>
    <w:rsid w:val="5B09251C"/>
    <w:rsid w:val="5B742790"/>
    <w:rsid w:val="5B7C7BDA"/>
    <w:rsid w:val="5C59248E"/>
    <w:rsid w:val="5CAA5454"/>
    <w:rsid w:val="5CBE74DB"/>
    <w:rsid w:val="5CE65575"/>
    <w:rsid w:val="5D7D2E9C"/>
    <w:rsid w:val="5DB55DDA"/>
    <w:rsid w:val="5E137882"/>
    <w:rsid w:val="5EB96059"/>
    <w:rsid w:val="5EEF3184"/>
    <w:rsid w:val="5F5C47B4"/>
    <w:rsid w:val="60D70C34"/>
    <w:rsid w:val="61293330"/>
    <w:rsid w:val="61356E1E"/>
    <w:rsid w:val="61A42096"/>
    <w:rsid w:val="621630D1"/>
    <w:rsid w:val="625A11CB"/>
    <w:rsid w:val="62824521"/>
    <w:rsid w:val="62E04946"/>
    <w:rsid w:val="62EB5BC0"/>
    <w:rsid w:val="630E4191"/>
    <w:rsid w:val="633B5956"/>
    <w:rsid w:val="64172445"/>
    <w:rsid w:val="644A182E"/>
    <w:rsid w:val="64735938"/>
    <w:rsid w:val="64B7454D"/>
    <w:rsid w:val="6637243F"/>
    <w:rsid w:val="66470E30"/>
    <w:rsid w:val="66712D74"/>
    <w:rsid w:val="66CA5AD3"/>
    <w:rsid w:val="66CC7698"/>
    <w:rsid w:val="66E93665"/>
    <w:rsid w:val="67373176"/>
    <w:rsid w:val="67E3597E"/>
    <w:rsid w:val="685E23F7"/>
    <w:rsid w:val="69FF6959"/>
    <w:rsid w:val="6A2B1A1D"/>
    <w:rsid w:val="6A9F5496"/>
    <w:rsid w:val="6B217229"/>
    <w:rsid w:val="6B551BF4"/>
    <w:rsid w:val="6B76444A"/>
    <w:rsid w:val="6BBA7643"/>
    <w:rsid w:val="6BC35AFA"/>
    <w:rsid w:val="6C0703EF"/>
    <w:rsid w:val="6C5853A7"/>
    <w:rsid w:val="6C855C7D"/>
    <w:rsid w:val="6CDD3D72"/>
    <w:rsid w:val="6D9C388E"/>
    <w:rsid w:val="6E92150F"/>
    <w:rsid w:val="6F094148"/>
    <w:rsid w:val="6F2914EE"/>
    <w:rsid w:val="6F95748C"/>
    <w:rsid w:val="70030318"/>
    <w:rsid w:val="706B6B12"/>
    <w:rsid w:val="70C87C89"/>
    <w:rsid w:val="7117160D"/>
    <w:rsid w:val="72B13A7D"/>
    <w:rsid w:val="730536D4"/>
    <w:rsid w:val="732E24E4"/>
    <w:rsid w:val="73644FF5"/>
    <w:rsid w:val="73760D88"/>
    <w:rsid w:val="738F587E"/>
    <w:rsid w:val="7493211A"/>
    <w:rsid w:val="74CF3D84"/>
    <w:rsid w:val="74D30EA5"/>
    <w:rsid w:val="75CD1E3D"/>
    <w:rsid w:val="75D37D7D"/>
    <w:rsid w:val="76312372"/>
    <w:rsid w:val="775B0B42"/>
    <w:rsid w:val="776A4268"/>
    <w:rsid w:val="778B076E"/>
    <w:rsid w:val="77FF2A18"/>
    <w:rsid w:val="781A1B38"/>
    <w:rsid w:val="78B9139F"/>
    <w:rsid w:val="79B77FBE"/>
    <w:rsid w:val="7A0B621A"/>
    <w:rsid w:val="7A520548"/>
    <w:rsid w:val="7A645C3C"/>
    <w:rsid w:val="7B377718"/>
    <w:rsid w:val="7B592C5C"/>
    <w:rsid w:val="7BFC4821"/>
    <w:rsid w:val="7C2B7519"/>
    <w:rsid w:val="7CFB3EA8"/>
    <w:rsid w:val="7D054C7E"/>
    <w:rsid w:val="7DAF30C1"/>
    <w:rsid w:val="7DD60D82"/>
    <w:rsid w:val="7DE67E61"/>
    <w:rsid w:val="7E415A78"/>
    <w:rsid w:val="7E477D21"/>
    <w:rsid w:val="7F0D2397"/>
    <w:rsid w:val="7F675C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2"/>
    <w:semiHidden/>
    <w:qFormat/>
    <w:uiPriority w:val="99"/>
    <w:rPr>
      <w:b/>
      <w:bCs/>
    </w:rPr>
  </w:style>
  <w:style w:type="paragraph" w:styleId="5">
    <w:name w:val="annotation text"/>
    <w:basedOn w:val="1"/>
    <w:link w:val="21"/>
    <w:semiHidden/>
    <w:qFormat/>
    <w:uiPriority w:val="99"/>
    <w:pPr>
      <w:jc w:val="left"/>
    </w:pPr>
  </w:style>
  <w:style w:type="paragraph" w:styleId="6">
    <w:name w:val="Body Text"/>
    <w:basedOn w:val="1"/>
    <w:link w:val="23"/>
    <w:qFormat/>
    <w:uiPriority w:val="99"/>
    <w:rPr>
      <w:rFonts w:ascii="仿宋_GB2312" w:eastAsia="仿宋_GB2312"/>
      <w:sz w:val="32"/>
    </w:rPr>
  </w:style>
  <w:style w:type="paragraph" w:styleId="7">
    <w:name w:val="Date"/>
    <w:basedOn w:val="1"/>
    <w:next w:val="1"/>
    <w:link w:val="24"/>
    <w:qFormat/>
    <w:uiPriority w:val="99"/>
    <w:pPr>
      <w:ind w:left="100" w:leftChars="2500"/>
    </w:pPr>
  </w:style>
  <w:style w:type="paragraph" w:styleId="8">
    <w:name w:val="Balloon Text"/>
    <w:basedOn w:val="1"/>
    <w:link w:val="25"/>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style>
  <w:style w:type="paragraph" w:styleId="12">
    <w:name w:val="Body Text Indent 3"/>
    <w:basedOn w:val="1"/>
    <w:link w:val="28"/>
    <w:qFormat/>
    <w:uiPriority w:val="99"/>
    <w:pPr>
      <w:spacing w:after="120"/>
      <w:ind w:left="420" w:leftChars="200"/>
    </w:pPr>
    <w:rPr>
      <w:sz w:val="16"/>
      <w:szCs w:val="16"/>
    </w:rPr>
  </w:style>
  <w:style w:type="paragraph" w:styleId="13">
    <w:name w:val="toc 2"/>
    <w:basedOn w:val="1"/>
    <w:next w:val="1"/>
    <w:qFormat/>
    <w:uiPriority w:val="99"/>
    <w:pPr>
      <w:ind w:left="420" w:leftChars="200"/>
    </w:p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locked/>
    <w:uiPriority w:val="99"/>
    <w:rPr>
      <w:rFonts w:ascii="Arial" w:hAnsi="Arial" w:eastAsia="黑体"/>
      <w:b/>
      <w:kern w:val="2"/>
      <w:sz w:val="32"/>
      <w:lang w:val="en-US" w:eastAsia="zh-CN"/>
    </w:rPr>
  </w:style>
  <w:style w:type="character" w:customStyle="1" w:styleId="21">
    <w:name w:val="批注文字 Char"/>
    <w:basedOn w:val="14"/>
    <w:link w:val="5"/>
    <w:semiHidden/>
    <w:qFormat/>
    <w:uiPriority w:val="99"/>
    <w:rPr>
      <w:szCs w:val="24"/>
    </w:rPr>
  </w:style>
  <w:style w:type="character" w:customStyle="1" w:styleId="22">
    <w:name w:val="批注主题 Char"/>
    <w:basedOn w:val="21"/>
    <w:link w:val="4"/>
    <w:semiHidden/>
    <w:qFormat/>
    <w:uiPriority w:val="99"/>
    <w:rPr>
      <w:b/>
      <w:bCs/>
    </w:rPr>
  </w:style>
  <w:style w:type="character" w:customStyle="1" w:styleId="23">
    <w:name w:val="正文文本 Char"/>
    <w:basedOn w:val="14"/>
    <w:link w:val="6"/>
    <w:semiHidden/>
    <w:qFormat/>
    <w:uiPriority w:val="99"/>
    <w:rPr>
      <w:szCs w:val="24"/>
    </w:rPr>
  </w:style>
  <w:style w:type="character" w:customStyle="1" w:styleId="24">
    <w:name w:val="日期 Char"/>
    <w:basedOn w:val="14"/>
    <w:link w:val="7"/>
    <w:semiHidden/>
    <w:qFormat/>
    <w:uiPriority w:val="99"/>
    <w:rPr>
      <w:szCs w:val="24"/>
    </w:rPr>
  </w:style>
  <w:style w:type="character" w:customStyle="1" w:styleId="25">
    <w:name w:val="批注框文本 Char"/>
    <w:basedOn w:val="14"/>
    <w:link w:val="8"/>
    <w:semiHidden/>
    <w:qFormat/>
    <w:uiPriority w:val="99"/>
    <w:rPr>
      <w:sz w:val="0"/>
      <w:szCs w:val="0"/>
    </w:rPr>
  </w:style>
  <w:style w:type="character" w:customStyle="1" w:styleId="26">
    <w:name w:val="页脚 Char"/>
    <w:basedOn w:val="14"/>
    <w:link w:val="9"/>
    <w:semiHidden/>
    <w:qFormat/>
    <w:uiPriority w:val="99"/>
    <w:rPr>
      <w:sz w:val="18"/>
      <w:szCs w:val="18"/>
    </w:rPr>
  </w:style>
  <w:style w:type="character" w:customStyle="1" w:styleId="27">
    <w:name w:val="页眉 Char"/>
    <w:basedOn w:val="14"/>
    <w:link w:val="10"/>
    <w:semiHidden/>
    <w:qFormat/>
    <w:uiPriority w:val="99"/>
    <w:rPr>
      <w:sz w:val="18"/>
      <w:szCs w:val="18"/>
    </w:rPr>
  </w:style>
  <w:style w:type="character" w:customStyle="1" w:styleId="28">
    <w:name w:val="正文文本缩进 3 Char"/>
    <w:basedOn w:val="14"/>
    <w:link w:val="12"/>
    <w:semiHidden/>
    <w:qFormat/>
    <w:uiPriority w:val="99"/>
    <w:rPr>
      <w:sz w:val="16"/>
      <w:szCs w:val="16"/>
    </w:rPr>
  </w:style>
  <w:style w:type="paragraph" w:customStyle="1" w:styleId="29">
    <w:name w:val="p0"/>
    <w:basedOn w:val="1"/>
    <w:qFormat/>
    <w:uiPriority w:val="99"/>
    <w:pPr>
      <w:widowControl/>
      <w:spacing w:line="365" w:lineRule="atLeast"/>
      <w:ind w:left="1"/>
      <w:textAlignment w:val="bottom"/>
    </w:pPr>
    <w:rPr>
      <w:kern w:val="0"/>
      <w:sz w:val="20"/>
      <w:szCs w:val="20"/>
    </w:rPr>
  </w:style>
  <w:style w:type="paragraph" w:customStyle="1" w:styleId="30">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1284</Words>
  <Characters>7320</Characters>
  <Lines>61</Lines>
  <Paragraphs>17</Paragraphs>
  <TotalTime>0</TotalTime>
  <ScaleCrop>false</ScaleCrop>
  <LinksUpToDate>false</LinksUpToDate>
  <CharactersWithSpaces>8587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2015-12-09T07:48:00Z</dcterms:created>
  <dc:creator>推荐书</dc:creator>
  <cp:lastModifiedBy>高守良</cp:lastModifiedBy>
  <cp:lastPrinted>2019-01-15T05:45:08Z</cp:lastPrinted>
  <dcterms:modified xsi:type="dcterms:W3CDTF">2019-01-15T05:45:12Z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