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本资产评估报告依据中国资产评估准则编制</w:t>
      </w:r>
    </w:p>
    <w:p>
      <w:pPr>
        <w:spacing w:before="100" w:beforeAutospacing="1" w:line="360" w:lineRule="auto"/>
        <w:jc w:val="center"/>
        <w:rPr>
          <w:rFonts w:asciiTheme="minorEastAsia" w:hAnsiTheme="minorEastAsia" w:eastAsiaTheme="minorEastAsia"/>
          <w:b/>
          <w:sz w:val="36"/>
          <w:szCs w:val="36"/>
        </w:rPr>
      </w:pPr>
    </w:p>
    <w:p>
      <w:pPr>
        <w:spacing w:before="100" w:beforeAutospacing="1" w:line="360" w:lineRule="auto"/>
        <w:jc w:val="center"/>
        <w:rPr>
          <w:rFonts w:asciiTheme="minorEastAsia" w:hAnsiTheme="minorEastAsia" w:eastAsiaTheme="minorEastAsia"/>
          <w:b/>
          <w:sz w:val="36"/>
          <w:szCs w:val="36"/>
        </w:rPr>
      </w:pPr>
    </w:p>
    <w:p>
      <w:pPr>
        <w:spacing w:line="360" w:lineRule="auto"/>
        <w:jc w:val="center"/>
        <w:rPr>
          <w:rFonts w:asciiTheme="minorEastAsia" w:hAnsiTheme="minorEastAsia" w:eastAsiaTheme="minorEastAsia"/>
          <w:b/>
          <w:bCs/>
          <w:sz w:val="36"/>
          <w:szCs w:val="36"/>
        </w:rPr>
      </w:pPr>
      <w:r>
        <w:rPr>
          <w:rFonts w:hint="eastAsia" w:asciiTheme="minorEastAsia" w:hAnsiTheme="minorEastAsia" w:eastAsiaTheme="minorEastAsia"/>
          <w:b/>
          <w:sz w:val="36"/>
          <w:szCs w:val="36"/>
          <w:lang w:eastAsia="zh-CN"/>
        </w:rPr>
        <w:t>潍坊鑫捷国际货运代理有限公司与高密市康麦源食品有限公司执行案涉及的高密市康麦源食品有限公司所属的粉条加工设备</w:t>
      </w:r>
      <w:r>
        <w:rPr>
          <w:rFonts w:hint="eastAsia" w:asciiTheme="minorEastAsia" w:hAnsiTheme="minorEastAsia" w:eastAsiaTheme="minorEastAsia"/>
          <w:b/>
          <w:bCs/>
          <w:sz w:val="36"/>
          <w:szCs w:val="36"/>
        </w:rPr>
        <w:t>资产评估报告</w:t>
      </w:r>
    </w:p>
    <w:p>
      <w:pPr>
        <w:spacing w:line="360" w:lineRule="auto"/>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青振评报字[2018]第</w:t>
      </w:r>
      <w:r>
        <w:rPr>
          <w:rFonts w:hint="eastAsia" w:asciiTheme="minorEastAsia" w:hAnsiTheme="minorEastAsia" w:eastAsiaTheme="minorEastAsia"/>
          <w:bCs/>
          <w:sz w:val="24"/>
          <w:szCs w:val="24"/>
          <w:lang w:val="en-US" w:eastAsia="zh-CN"/>
        </w:rPr>
        <w:t>0581</w:t>
      </w:r>
      <w:r>
        <w:rPr>
          <w:rFonts w:hint="eastAsia" w:asciiTheme="minorEastAsia" w:hAnsiTheme="minorEastAsia" w:eastAsiaTheme="minorEastAsia"/>
          <w:bCs/>
          <w:sz w:val="24"/>
          <w:szCs w:val="24"/>
        </w:rPr>
        <w:t>号</w:t>
      </w:r>
    </w:p>
    <w:p>
      <w:pPr>
        <w:spacing w:line="360" w:lineRule="auto"/>
        <w:jc w:val="center"/>
        <w:rPr>
          <w:rFonts w:asciiTheme="minorEastAsia" w:hAnsiTheme="minorEastAsia" w:eastAsiaTheme="minorEastAsia"/>
          <w:sz w:val="28"/>
          <w:szCs w:val="28"/>
        </w:rPr>
      </w:pPr>
      <w:r>
        <w:rPr>
          <w:rFonts w:hint="eastAsia" w:asciiTheme="minorEastAsia" w:hAnsiTheme="minorEastAsia" w:eastAsiaTheme="minorEastAsia"/>
          <w:bCs/>
          <w:sz w:val="28"/>
          <w:szCs w:val="28"/>
        </w:rPr>
        <w:t>（共</w:t>
      </w:r>
      <w:r>
        <w:rPr>
          <w:rFonts w:hint="eastAsia" w:asciiTheme="minorEastAsia" w:hAnsiTheme="minorEastAsia" w:eastAsiaTheme="minorEastAsia"/>
          <w:bCs/>
          <w:sz w:val="28"/>
          <w:szCs w:val="28"/>
          <w:lang w:val="en-US" w:eastAsia="zh-CN"/>
        </w:rPr>
        <w:t>1</w:t>
      </w:r>
      <w:r>
        <w:rPr>
          <w:rFonts w:hint="eastAsia" w:asciiTheme="minorEastAsia" w:hAnsiTheme="minorEastAsia" w:eastAsiaTheme="minorEastAsia"/>
          <w:bCs/>
          <w:sz w:val="28"/>
          <w:szCs w:val="28"/>
        </w:rPr>
        <w:t xml:space="preserve"> 册  第</w:t>
      </w:r>
      <w:r>
        <w:rPr>
          <w:rFonts w:hint="eastAsia" w:asciiTheme="minorEastAsia" w:hAnsiTheme="minorEastAsia" w:eastAsiaTheme="minorEastAsia"/>
          <w:bCs/>
          <w:sz w:val="28"/>
          <w:szCs w:val="28"/>
          <w:lang w:val="en-US" w:eastAsia="zh-CN"/>
        </w:rPr>
        <w:t>1</w:t>
      </w:r>
      <w:r>
        <w:rPr>
          <w:rFonts w:hint="eastAsia" w:asciiTheme="minorEastAsia" w:hAnsiTheme="minorEastAsia" w:eastAsiaTheme="minorEastAsia"/>
          <w:bCs/>
          <w:sz w:val="28"/>
          <w:szCs w:val="28"/>
        </w:rPr>
        <w:t>册）</w:t>
      </w:r>
    </w:p>
    <w:p/>
    <w:p/>
    <w:p/>
    <w:p/>
    <w:p/>
    <w:p/>
    <w:p/>
    <w:p/>
    <w:p/>
    <w:p/>
    <w:p/>
    <w:p/>
    <w:p/>
    <w:p/>
    <w:p/>
    <w:p/>
    <w:p/>
    <w:p/>
    <w:p/>
    <w:p/>
    <w:p/>
    <w:p>
      <w:pPr>
        <w:jc w:val="center"/>
        <w:rPr>
          <w:rFonts w:asciiTheme="minorEastAsia" w:hAnsiTheme="minorEastAsia" w:eastAsiaTheme="minorEastAsia"/>
          <w:b/>
          <w:bCs/>
          <w:sz w:val="28"/>
        </w:rPr>
      </w:pPr>
      <w:r>
        <w:rPr>
          <w:rFonts w:hint="eastAsia" w:asciiTheme="minorEastAsia" w:hAnsiTheme="minorEastAsia" w:eastAsiaTheme="minorEastAsia"/>
          <w:b/>
          <w:bCs/>
          <w:sz w:val="28"/>
        </w:rPr>
        <w:t>青岛振青资产评估有限责任公司</w:t>
      </w:r>
    </w:p>
    <w:p>
      <w:pPr>
        <w:jc w:val="center"/>
        <w:rPr>
          <w:rFonts w:asciiTheme="minorEastAsia" w:hAnsiTheme="minorEastAsia" w:eastAsiaTheme="minorEastAsia"/>
          <w:b/>
          <w:bCs/>
          <w:sz w:val="28"/>
        </w:rPr>
      </w:pPr>
      <w:r>
        <w:rPr>
          <w:rFonts w:hint="eastAsia" w:asciiTheme="minorEastAsia" w:hAnsiTheme="minorEastAsia" w:eastAsiaTheme="minorEastAsia"/>
          <w:b/>
          <w:bCs/>
          <w:sz w:val="28"/>
        </w:rPr>
        <w:t>二〇一八年</w:t>
      </w:r>
      <w:r>
        <w:rPr>
          <w:rFonts w:hint="eastAsia" w:asciiTheme="minorEastAsia" w:hAnsiTheme="minorEastAsia" w:eastAsiaTheme="minorEastAsia"/>
          <w:b/>
          <w:bCs/>
          <w:sz w:val="28"/>
          <w:lang w:eastAsia="zh-CN"/>
        </w:rPr>
        <w:t>十二</w:t>
      </w:r>
      <w:r>
        <w:rPr>
          <w:rFonts w:hint="eastAsia" w:asciiTheme="minorEastAsia" w:hAnsiTheme="minorEastAsia" w:eastAsiaTheme="minorEastAsia"/>
          <w:b/>
          <w:bCs/>
          <w:sz w:val="28"/>
        </w:rPr>
        <w:t>月</w:t>
      </w:r>
      <w:r>
        <w:rPr>
          <w:rFonts w:hint="eastAsia" w:asciiTheme="minorEastAsia" w:hAnsiTheme="minorEastAsia" w:eastAsiaTheme="minorEastAsia"/>
          <w:b/>
          <w:bCs/>
          <w:sz w:val="28"/>
          <w:lang w:val="en-US" w:eastAsia="zh-CN"/>
        </w:rPr>
        <w:t>二</w:t>
      </w:r>
      <w:r>
        <w:rPr>
          <w:rFonts w:hint="eastAsia" w:asciiTheme="minorEastAsia" w:hAnsiTheme="minorEastAsia" w:eastAsiaTheme="minorEastAsia"/>
          <w:b/>
          <w:bCs/>
          <w:sz w:val="28"/>
          <w:lang w:eastAsia="zh-CN"/>
        </w:rPr>
        <w:t>十</w:t>
      </w:r>
      <w:r>
        <w:rPr>
          <w:rFonts w:hint="eastAsia" w:asciiTheme="minorEastAsia" w:hAnsiTheme="minorEastAsia" w:eastAsiaTheme="minorEastAsia"/>
          <w:b/>
          <w:bCs/>
          <w:sz w:val="28"/>
          <w:lang w:val="en-US" w:eastAsia="zh-CN"/>
        </w:rPr>
        <w:t>五</w:t>
      </w:r>
      <w:r>
        <w:rPr>
          <w:rFonts w:hint="eastAsia" w:asciiTheme="minorEastAsia" w:hAnsiTheme="minorEastAsia" w:eastAsiaTheme="minorEastAsia"/>
          <w:b/>
          <w:bCs/>
          <w:sz w:val="28"/>
        </w:rPr>
        <w:t>日</w:t>
      </w:r>
    </w:p>
    <w:p>
      <w:pPr>
        <w:tabs>
          <w:tab w:val="left" w:pos="1785"/>
        </w:tabs>
      </w:pPr>
    </w:p>
    <w:p/>
    <w:p>
      <w:pPr>
        <w:sectPr>
          <w:headerReference r:id="rId3" w:type="default"/>
          <w:pgSz w:w="11906" w:h="16838"/>
          <w:pgMar w:top="1440" w:right="1800" w:bottom="1440" w:left="1800" w:header="851" w:footer="992" w:gutter="0"/>
          <w:cols w:space="425" w:num="1"/>
          <w:docGrid w:type="lines" w:linePitch="312" w:charSpace="0"/>
        </w:sectPr>
      </w:pPr>
    </w:p>
    <w:p>
      <w:pPr>
        <w:spacing w:before="100" w:beforeAutospacing="1" w:after="100" w:afterAutospacing="1" w:line="360" w:lineRule="auto"/>
        <w:jc w:val="center"/>
        <w:rPr>
          <w:sz w:val="32"/>
          <w:szCs w:val="32"/>
        </w:rPr>
      </w:pPr>
      <w:r>
        <w:rPr>
          <w:rFonts w:hint="eastAsia"/>
          <w:sz w:val="32"/>
          <w:szCs w:val="32"/>
        </w:rPr>
        <w:t>评估报告目录</w:t>
      </w:r>
    </w:p>
    <w:p>
      <w:pPr>
        <w:pStyle w:val="19"/>
        <w:rPr>
          <w:rFonts w:asciiTheme="minorHAnsi" w:hAnsiTheme="minorHAnsi" w:eastAsiaTheme="minorEastAsia" w:cstheme="minorBidi"/>
          <w:b w:val="0"/>
          <w:sz w:val="21"/>
          <w:szCs w:val="22"/>
        </w:rPr>
      </w:pPr>
      <w:r>
        <w:fldChar w:fldCharType="begin"/>
      </w:r>
      <w:r>
        <w:instrText xml:space="preserve"> TOC \o "1-3" \h \z \u </w:instrText>
      </w:r>
      <w:r>
        <w:fldChar w:fldCharType="separate"/>
      </w:r>
      <w:r>
        <w:fldChar w:fldCharType="begin"/>
      </w:r>
      <w:r>
        <w:instrText xml:space="preserve"> HYPERLINK \l "_Toc493752477" </w:instrText>
      </w:r>
      <w:r>
        <w:fldChar w:fldCharType="separate"/>
      </w:r>
      <w:r>
        <w:rPr>
          <w:rStyle w:val="25"/>
          <w:rFonts w:hint="eastAsia"/>
        </w:rPr>
        <w:t>声明</w:t>
      </w:r>
      <w:r>
        <w:tab/>
      </w:r>
      <w:r>
        <w:fldChar w:fldCharType="begin"/>
      </w:r>
      <w:r>
        <w:instrText xml:space="preserve"> PAGEREF _Toc493752477 \h </w:instrText>
      </w:r>
      <w:r>
        <w:fldChar w:fldCharType="separate"/>
      </w:r>
      <w:r>
        <w:t>1</w:t>
      </w:r>
      <w:r>
        <w:fldChar w:fldCharType="end"/>
      </w:r>
      <w:r>
        <w:fldChar w:fldCharType="end"/>
      </w:r>
    </w:p>
    <w:p>
      <w:pPr>
        <w:pStyle w:val="19"/>
        <w:rPr>
          <w:rFonts w:asciiTheme="minorHAnsi" w:hAnsiTheme="minorHAnsi" w:eastAsiaTheme="minorEastAsia" w:cstheme="minorBidi"/>
          <w:b w:val="0"/>
          <w:sz w:val="21"/>
          <w:szCs w:val="22"/>
        </w:rPr>
      </w:pPr>
      <w:r>
        <w:fldChar w:fldCharType="begin"/>
      </w:r>
      <w:r>
        <w:instrText xml:space="preserve"> HYPERLINK \l "_Toc493752478" </w:instrText>
      </w:r>
      <w:r>
        <w:fldChar w:fldCharType="separate"/>
      </w:r>
      <w:r>
        <w:rPr>
          <w:rStyle w:val="25"/>
          <w:rFonts w:hint="eastAsia"/>
        </w:rPr>
        <w:t>资产评估报告摘要</w:t>
      </w:r>
      <w:r>
        <w:tab/>
      </w:r>
      <w:r>
        <w:fldChar w:fldCharType="begin"/>
      </w:r>
      <w:r>
        <w:instrText xml:space="preserve"> PAGEREF _Toc493752478 \h </w:instrText>
      </w:r>
      <w:r>
        <w:fldChar w:fldCharType="separate"/>
      </w:r>
      <w:r>
        <w:t>2</w:t>
      </w:r>
      <w:r>
        <w:fldChar w:fldCharType="end"/>
      </w:r>
      <w:r>
        <w:fldChar w:fldCharType="end"/>
      </w:r>
    </w:p>
    <w:p>
      <w:pPr>
        <w:pStyle w:val="19"/>
        <w:rPr>
          <w:rFonts w:asciiTheme="minorHAnsi" w:hAnsiTheme="minorHAnsi" w:eastAsiaTheme="minorEastAsia" w:cstheme="minorBidi"/>
          <w:b w:val="0"/>
          <w:sz w:val="21"/>
          <w:szCs w:val="22"/>
        </w:rPr>
      </w:pPr>
      <w:r>
        <w:fldChar w:fldCharType="begin"/>
      </w:r>
      <w:r>
        <w:instrText xml:space="preserve"> HYPERLINK \l "_Toc493752479" </w:instrText>
      </w:r>
      <w:r>
        <w:fldChar w:fldCharType="separate"/>
      </w:r>
      <w:r>
        <w:rPr>
          <w:rStyle w:val="25"/>
          <w:rFonts w:hint="eastAsia"/>
        </w:rPr>
        <w:t>资产评估报告正文</w:t>
      </w:r>
      <w:r>
        <w:tab/>
      </w:r>
      <w:r>
        <w:fldChar w:fldCharType="begin"/>
      </w:r>
      <w:r>
        <w:instrText xml:space="preserve"> PAGEREF _Toc493752479 \h </w:instrText>
      </w:r>
      <w:r>
        <w:fldChar w:fldCharType="separate"/>
      </w:r>
      <w:r>
        <w:t>3</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"_Toc493752480" </w:instrText>
      </w:r>
      <w:r>
        <w:fldChar w:fldCharType="separate"/>
      </w:r>
      <w:r>
        <w:rPr>
          <w:rStyle w:val="25"/>
          <w:rFonts w:hint="eastAsia"/>
        </w:rPr>
        <w:t>一、委托人、被评估单位及资产评估委托合同约定的其他资产评估报告使用人的概况</w:t>
      </w:r>
      <w:r>
        <w:tab/>
      </w:r>
      <w:r>
        <w:fldChar w:fldCharType="begin"/>
      </w:r>
      <w:r>
        <w:instrText xml:space="preserve"> PAGEREF _Toc493752480 \h </w:instrText>
      </w:r>
      <w:r>
        <w:fldChar w:fldCharType="separate"/>
      </w:r>
      <w:r>
        <w:t>3</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"_Toc493752481" </w:instrText>
      </w:r>
      <w:r>
        <w:fldChar w:fldCharType="separate"/>
      </w:r>
      <w:r>
        <w:rPr>
          <w:rStyle w:val="25"/>
          <w:rFonts w:hint="eastAsia"/>
        </w:rPr>
        <w:t>二、评估目的</w:t>
      </w:r>
      <w:r>
        <w:tab/>
      </w:r>
      <w:r>
        <w:fldChar w:fldCharType="begin"/>
      </w:r>
      <w:r>
        <w:instrText xml:space="preserve"> PAGEREF _Toc493752481 \h </w:instrText>
      </w:r>
      <w:r>
        <w:fldChar w:fldCharType="separate"/>
      </w:r>
      <w:r>
        <w:t>3</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"_Toc493752482" </w:instrText>
      </w:r>
      <w:r>
        <w:fldChar w:fldCharType="separate"/>
      </w:r>
      <w:r>
        <w:rPr>
          <w:rStyle w:val="25"/>
          <w:rFonts w:hint="eastAsia"/>
        </w:rPr>
        <w:t>三、评估对象和评估范围</w:t>
      </w:r>
      <w:r>
        <w:tab/>
      </w:r>
      <w:r>
        <w:rPr>
          <w:rFonts w:hint="eastAsia"/>
          <w:lang w:val="en-US" w:eastAsia="zh-CN"/>
        </w:rPr>
        <w:t>4</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"_Toc493752483" </w:instrText>
      </w:r>
      <w:r>
        <w:fldChar w:fldCharType="separate"/>
      </w:r>
      <w:r>
        <w:rPr>
          <w:rStyle w:val="25"/>
          <w:rFonts w:hint="eastAsia"/>
        </w:rPr>
        <w:t>四、价值类型</w:t>
      </w:r>
      <w:r>
        <w:tab/>
      </w:r>
      <w:r>
        <w:rPr>
          <w:rFonts w:hint="eastAsia"/>
          <w:lang w:val="en-US" w:eastAsia="zh-CN"/>
        </w:rPr>
        <w:t>5</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"_Toc493752484" </w:instrText>
      </w:r>
      <w:r>
        <w:fldChar w:fldCharType="separate"/>
      </w:r>
      <w:r>
        <w:rPr>
          <w:rStyle w:val="25"/>
          <w:rFonts w:hint="eastAsia"/>
        </w:rPr>
        <w:t>五、评估基准日</w:t>
      </w:r>
      <w:r>
        <w:tab/>
      </w:r>
      <w:r>
        <w:rPr>
          <w:rFonts w:hint="eastAsia"/>
          <w:lang w:val="en-US" w:eastAsia="zh-CN"/>
        </w:rPr>
        <w:t>5</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"_Toc493752485" </w:instrText>
      </w:r>
      <w:r>
        <w:fldChar w:fldCharType="separate"/>
      </w:r>
      <w:r>
        <w:rPr>
          <w:rStyle w:val="25"/>
          <w:rFonts w:hint="eastAsia"/>
        </w:rPr>
        <w:t>六、评估依据</w:t>
      </w:r>
      <w:r>
        <w:tab/>
      </w:r>
      <w:r>
        <w:rPr>
          <w:rFonts w:hint="eastAsia"/>
          <w:lang w:val="en-US" w:eastAsia="zh-CN"/>
        </w:rPr>
        <w:t>5</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"_Toc493752486" </w:instrText>
      </w:r>
      <w:r>
        <w:fldChar w:fldCharType="separate"/>
      </w:r>
      <w:r>
        <w:rPr>
          <w:rStyle w:val="25"/>
          <w:rFonts w:hint="eastAsia"/>
        </w:rPr>
        <w:t>七、评估方法</w:t>
      </w:r>
      <w:r>
        <w:tab/>
      </w:r>
      <w:r>
        <w:rPr>
          <w:rFonts w:hint="eastAsia"/>
          <w:lang w:val="en-US" w:eastAsia="zh-CN"/>
        </w:rPr>
        <w:t>6</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"_Toc493752487" </w:instrText>
      </w:r>
      <w:r>
        <w:fldChar w:fldCharType="separate"/>
      </w:r>
      <w:r>
        <w:rPr>
          <w:rStyle w:val="25"/>
          <w:rFonts w:hint="eastAsia"/>
        </w:rPr>
        <w:t>八、评估程序实施过程和情况</w:t>
      </w:r>
      <w:r>
        <w:tab/>
      </w:r>
      <w:r>
        <w:rPr>
          <w:rFonts w:hint="eastAsia"/>
          <w:lang w:val="en-US" w:eastAsia="zh-CN"/>
        </w:rPr>
        <w:t>7</w:t>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"_Toc493752488" </w:instrText>
      </w:r>
      <w:r>
        <w:fldChar w:fldCharType="separate"/>
      </w:r>
      <w:r>
        <w:rPr>
          <w:rStyle w:val="25"/>
          <w:rFonts w:hint="eastAsia"/>
        </w:rPr>
        <w:t>九、评估假设</w:t>
      </w:r>
      <w:r>
        <w:tab/>
      </w:r>
      <w:r>
        <w:fldChar w:fldCharType="begin"/>
      </w:r>
      <w:r>
        <w:instrText xml:space="preserve"> PAGEREF _Toc493752488 \h </w:instrText>
      </w:r>
      <w:r>
        <w:fldChar w:fldCharType="separate"/>
      </w:r>
      <w:r>
        <w:t>8</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"_Toc493752489" </w:instrText>
      </w:r>
      <w:r>
        <w:fldChar w:fldCharType="separate"/>
      </w:r>
      <w:r>
        <w:rPr>
          <w:rStyle w:val="25"/>
          <w:rFonts w:hint="eastAsia"/>
        </w:rPr>
        <w:t>十、评估结论</w:t>
      </w:r>
      <w:r>
        <w:tab/>
      </w:r>
      <w:r>
        <w:fldChar w:fldCharType="begin"/>
      </w:r>
      <w:r>
        <w:instrText xml:space="preserve"> PAGEREF _Toc493752489 \h </w:instrText>
      </w:r>
      <w:r>
        <w:fldChar w:fldCharType="separate"/>
      </w:r>
      <w:r>
        <w:t>9</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"_Toc493752490" </w:instrText>
      </w:r>
      <w:r>
        <w:fldChar w:fldCharType="separate"/>
      </w:r>
      <w:r>
        <w:rPr>
          <w:rStyle w:val="25"/>
          <w:rFonts w:hint="eastAsia"/>
        </w:rPr>
        <w:t>十一、特别事项说明</w:t>
      </w:r>
      <w:r>
        <w:tab/>
      </w:r>
      <w:r>
        <w:fldChar w:fldCharType="begin"/>
      </w:r>
      <w:r>
        <w:instrText xml:space="preserve"> PAGEREF _Toc493752490 \h </w:instrText>
      </w:r>
      <w:r>
        <w:fldChar w:fldCharType="separate"/>
      </w:r>
      <w:r>
        <w:t>9</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"_Toc493752491" </w:instrText>
      </w:r>
      <w:r>
        <w:fldChar w:fldCharType="separate"/>
      </w:r>
      <w:r>
        <w:rPr>
          <w:rStyle w:val="25"/>
          <w:rFonts w:hint="eastAsia"/>
        </w:rPr>
        <w:t>十二、资产评估报告使用限制说明</w:t>
      </w:r>
      <w:r>
        <w:tab/>
      </w:r>
      <w:r>
        <w:fldChar w:fldCharType="begin"/>
      </w:r>
      <w:r>
        <w:instrText xml:space="preserve"> PAGEREF _Toc493752491 \h </w:instrText>
      </w:r>
      <w:r>
        <w:fldChar w:fldCharType="separate"/>
      </w:r>
      <w:r>
        <w:t>10</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"_Toc493752492" </w:instrText>
      </w:r>
      <w:r>
        <w:fldChar w:fldCharType="separate"/>
      </w:r>
      <w:r>
        <w:rPr>
          <w:rStyle w:val="25"/>
          <w:rFonts w:hint="eastAsia"/>
        </w:rPr>
        <w:t>十三、资产评估报告日</w:t>
      </w:r>
      <w:r>
        <w:tab/>
      </w:r>
      <w:r>
        <w:fldChar w:fldCharType="begin"/>
      </w:r>
      <w:r>
        <w:instrText xml:space="preserve"> PAGEREF _Toc493752492 \h </w:instrText>
      </w:r>
      <w:r>
        <w:fldChar w:fldCharType="separate"/>
      </w:r>
      <w:r>
        <w:t>1</w:t>
      </w:r>
      <w:r>
        <w:rPr>
          <w:rFonts w:hint="eastAsia"/>
          <w:lang w:val="en-US" w:eastAsia="zh-CN"/>
        </w:rPr>
        <w:t>1</w:t>
      </w:r>
      <w:r>
        <w:fldChar w:fldCharType="end"/>
      </w:r>
      <w:r>
        <w:fldChar w:fldCharType="end"/>
      </w:r>
    </w:p>
    <w:p>
      <w:pPr>
        <w:pStyle w:val="21"/>
        <w:tabs>
          <w:tab w:val="right" w:leader="dot" w:pos="8296"/>
        </w:tabs>
        <w:ind w:left="420"/>
        <w:rPr>
          <w:rFonts w:asciiTheme="minorHAnsi" w:hAnsiTheme="minorHAnsi" w:eastAsiaTheme="minorEastAsia" w:cstheme="minorBidi"/>
          <w:sz w:val="21"/>
          <w:szCs w:val="22"/>
        </w:rPr>
      </w:pPr>
      <w:r>
        <w:fldChar w:fldCharType="begin"/>
      </w:r>
      <w:r>
        <w:instrText xml:space="preserve"> HYPERLINK \l "_Toc493752493" </w:instrText>
      </w:r>
      <w:r>
        <w:fldChar w:fldCharType="separate"/>
      </w:r>
      <w:r>
        <w:rPr>
          <w:rStyle w:val="25"/>
          <w:rFonts w:hint="eastAsia"/>
        </w:rPr>
        <w:t>十四、资产评估专业人员签名和资产评估机构印章</w:t>
      </w:r>
      <w:r>
        <w:tab/>
      </w:r>
      <w:r>
        <w:fldChar w:fldCharType="begin"/>
      </w:r>
      <w:r>
        <w:instrText xml:space="preserve"> PAGEREF _Toc493752493 \h </w:instrText>
      </w:r>
      <w:r>
        <w:fldChar w:fldCharType="separate"/>
      </w:r>
      <w:r>
        <w:t>1</w:t>
      </w:r>
      <w:r>
        <w:rPr>
          <w:rFonts w:hint="eastAsia"/>
          <w:lang w:val="en-US" w:eastAsia="zh-CN"/>
        </w:rPr>
        <w:t>1</w:t>
      </w:r>
      <w:r>
        <w:fldChar w:fldCharType="end"/>
      </w:r>
      <w:r>
        <w:fldChar w:fldCharType="end"/>
      </w:r>
    </w:p>
    <w:p>
      <w:pPr>
        <w:pStyle w:val="19"/>
        <w:rPr>
          <w:rFonts w:asciiTheme="minorHAnsi" w:hAnsiTheme="minorHAnsi" w:eastAsiaTheme="minorEastAsia" w:cstheme="minorBidi"/>
          <w:b w:val="0"/>
          <w:sz w:val="21"/>
          <w:szCs w:val="22"/>
        </w:rPr>
      </w:pPr>
      <w:r>
        <w:fldChar w:fldCharType="begin"/>
      </w:r>
      <w:r>
        <w:instrText xml:space="preserve"> HYPERLINK \l "_Toc493752494" </w:instrText>
      </w:r>
      <w:r>
        <w:fldChar w:fldCharType="separate"/>
      </w:r>
      <w:r>
        <w:rPr>
          <w:rStyle w:val="25"/>
          <w:rFonts w:hint="eastAsia"/>
        </w:rPr>
        <w:t>附件</w:t>
      </w:r>
      <w:r>
        <w:tab/>
      </w:r>
      <w:r>
        <w:fldChar w:fldCharType="begin"/>
      </w:r>
      <w:r>
        <w:instrText xml:space="preserve"> PAGEREF _Toc493752494 \h </w:instrText>
      </w:r>
      <w:r>
        <w:fldChar w:fldCharType="separate"/>
      </w:r>
      <w:r>
        <w:t>1</w:t>
      </w:r>
      <w:r>
        <w:rPr>
          <w:rFonts w:hint="eastAsia"/>
          <w:lang w:val="en-US" w:eastAsia="zh-CN"/>
        </w:rPr>
        <w:t>2</w:t>
      </w:r>
      <w:r>
        <w:fldChar w:fldCharType="end"/>
      </w:r>
      <w:r>
        <w:fldChar w:fldCharType="end"/>
      </w:r>
    </w:p>
    <w:p>
      <w:pPr>
        <w:tabs>
          <w:tab w:val="left" w:pos="1155"/>
        </w:tabs>
        <w:spacing w:before="100" w:beforeAutospacing="1" w:line="360" w:lineRule="auto"/>
        <w:rPr>
          <w:sz w:val="24"/>
          <w:szCs w:val="24"/>
        </w:rPr>
      </w:pPr>
      <w:r>
        <w:rPr>
          <w:sz w:val="24"/>
        </w:rPr>
        <w:fldChar w:fldCharType="end"/>
      </w:r>
      <w:r>
        <w:rPr>
          <w:sz w:val="24"/>
        </w:rPr>
        <w:tab/>
      </w:r>
    </w:p>
    <w:p>
      <w:pPr>
        <w:spacing w:line="360" w:lineRule="auto"/>
        <w:ind w:firstLine="480" w:firstLineChars="200"/>
        <w:rPr>
          <w:sz w:val="24"/>
          <w:szCs w:val="24"/>
        </w:rPr>
      </w:pPr>
    </w:p>
    <w:p>
      <w:pPr>
        <w:tabs>
          <w:tab w:val="left" w:pos="1455"/>
        </w:tabs>
        <w:rPr>
          <w:sz w:val="44"/>
          <w:szCs w:val="44"/>
        </w:rPr>
      </w:pPr>
      <w:r>
        <w:rPr>
          <w:sz w:val="44"/>
          <w:szCs w:val="44"/>
        </w:rPr>
        <w:tab/>
      </w:r>
    </w:p>
    <w:p>
      <w:pPr>
        <w:rPr>
          <w:sz w:val="44"/>
          <w:szCs w:val="44"/>
        </w:rPr>
      </w:pPr>
    </w:p>
    <w:p>
      <w:pPr>
        <w:tabs>
          <w:tab w:val="left" w:pos="5325"/>
        </w:tabs>
        <w:rPr>
          <w:sz w:val="44"/>
          <w:szCs w:val="44"/>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sz w:val="44"/>
          <w:szCs w:val="44"/>
        </w:rPr>
        <w:tab/>
      </w:r>
    </w:p>
    <w:p>
      <w:pPr>
        <w:pStyle w:val="2"/>
        <w:spacing w:before="0" w:after="0"/>
        <w:jc w:val="center"/>
        <w:rPr>
          <w:sz w:val="32"/>
          <w:szCs w:val="32"/>
        </w:rPr>
      </w:pPr>
      <w:bookmarkStart w:id="0" w:name="一"/>
      <w:bookmarkStart w:id="1" w:name="_Toc208276977"/>
      <w:bookmarkStart w:id="2" w:name="_Toc493752477"/>
      <w:bookmarkStart w:id="3" w:name="_Toc334186084"/>
      <w:r>
        <w:rPr>
          <w:sz w:val="32"/>
          <w:szCs w:val="32"/>
        </w:rPr>
        <w:t>声明</w:t>
      </w:r>
      <w:bookmarkEnd w:id="0"/>
      <w:bookmarkEnd w:id="1"/>
      <w:bookmarkEnd w:id="2"/>
      <w:bookmarkEnd w:id="3"/>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一、本资产评估报告依据财政部发布的资产评估基本准则和中国资产评估协会发布的资产评估执业准则和职业道德准则编制。</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二、本资产评估机构及其资产评估师遵守法律、行政法规和资产评估准则，坚持独立、客观、公正的原则，并对所出具的资产评估报告依法承担责任。</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本资产评估报告仅供委托人、资产评估委托合同中约定的其他资产评估报告使用人和法律、行政法规规定的资产评估报告使用人使用；除此之外，其他任何机构和个人不能成为资产评估报告的使用人。</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本资产评估机构及资产评估师提示资产评估报告使用人应当正确理解评估结论，评估结论不等同于评估对象可实现价格，评估结论不应当被认为是对评估对象可实现价格的保证。</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四、评估对象涉及的资产清单由委托人、被评估单位申报并经其采用签名、盖章或法律允许的其他方式确认；委托人和其他相关当事人依法对其提供资料的真实性、完整性、合法性负责。</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资产评估师已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pStyle w:val="7"/>
        <w:spacing w:line="360" w:lineRule="auto"/>
        <w:ind w:firstLine="480" w:firstLineChars="200"/>
        <w:rPr>
          <w:rFonts w:ascii="宋体" w:hAnsi="宋体" w:eastAsia="宋体"/>
          <w:sz w:val="24"/>
          <w:szCs w:val="24"/>
        </w:rPr>
      </w:pPr>
      <w:r>
        <w:rPr>
          <w:rFonts w:hint="eastAsia" w:ascii="宋体" w:hAnsi="宋体" w:eastAsia="宋体"/>
          <w:sz w:val="24"/>
          <w:szCs w:val="24"/>
        </w:rPr>
        <w:t>六、本资产评估机构及资产评估师与资产评估报告中的</w:t>
      </w:r>
      <w:r>
        <w:rPr>
          <w:rFonts w:ascii="宋体" w:hAnsi="宋体" w:eastAsia="宋体"/>
          <w:sz w:val="24"/>
          <w:szCs w:val="24"/>
        </w:rPr>
        <w:t>评估对象没有现存或者预期的利益关系</w:t>
      </w:r>
      <w:r>
        <w:rPr>
          <w:rFonts w:hint="eastAsia" w:ascii="宋体" w:hAnsi="宋体" w:eastAsia="宋体"/>
          <w:sz w:val="24"/>
          <w:szCs w:val="24"/>
        </w:rPr>
        <w:t>，</w:t>
      </w:r>
      <w:r>
        <w:rPr>
          <w:rFonts w:ascii="宋体" w:hAnsi="宋体" w:eastAsia="宋体"/>
          <w:sz w:val="24"/>
          <w:szCs w:val="24"/>
        </w:rPr>
        <w:t>与相关当事人没有现存或者预期的利益关系，对相关当事人不存在偏见。</w:t>
      </w:r>
    </w:p>
    <w:p>
      <w:pPr>
        <w:snapToGrid w:val="0"/>
        <w:spacing w:line="360" w:lineRule="auto"/>
        <w:ind w:firstLine="480" w:firstLineChars="200"/>
        <w:rPr>
          <w:rFonts w:ascii="宋体" w:hAnsi="宋体"/>
          <w:sz w:val="24"/>
          <w:szCs w:val="24"/>
        </w:rPr>
      </w:pPr>
      <w:r>
        <w:rPr>
          <w:rFonts w:hint="eastAsia" w:ascii="宋体" w:hAnsi="宋体" w:cs="华文仿宋"/>
          <w:kern w:val="0"/>
          <w:sz w:val="24"/>
          <w:szCs w:val="24"/>
        </w:rPr>
        <w:t>七、</w:t>
      </w:r>
      <w:r>
        <w:rPr>
          <w:rFonts w:hint="eastAsia" w:ascii="宋体" w:hAnsi="宋体"/>
          <w:sz w:val="24"/>
          <w:szCs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pPr>
        <w:spacing w:line="360" w:lineRule="auto"/>
        <w:ind w:firstLine="504"/>
        <w:rPr>
          <w:rFonts w:ascii="宋体" w:hAnsi="宋体" w:cs="华文仿宋"/>
          <w:color w:val="FF0000"/>
          <w:kern w:val="0"/>
          <w:sz w:val="24"/>
          <w:szCs w:val="24"/>
        </w:rPr>
        <w:sectPr>
          <w:footerReference r:id="rId6" w:type="default"/>
          <w:pgSz w:w="11906" w:h="16838"/>
          <w:pgMar w:top="1440" w:right="1800" w:bottom="1440" w:left="1800" w:header="851" w:footer="992" w:gutter="0"/>
          <w:pgNumType w:start="1"/>
          <w:cols w:space="425" w:num="1"/>
          <w:docGrid w:type="lines" w:linePitch="381" w:charSpace="0"/>
        </w:sectPr>
      </w:pPr>
    </w:p>
    <w:p>
      <w:pPr>
        <w:pStyle w:val="2"/>
        <w:spacing w:before="0" w:after="0" w:line="360" w:lineRule="auto"/>
        <w:jc w:val="center"/>
        <w:rPr>
          <w:sz w:val="32"/>
          <w:szCs w:val="32"/>
        </w:rPr>
      </w:pPr>
      <w:bookmarkStart w:id="4" w:name="二"/>
      <w:bookmarkStart w:id="5" w:name="_Toc334186085"/>
      <w:bookmarkStart w:id="6" w:name="_Toc493752478"/>
      <w:r>
        <w:rPr>
          <w:rFonts w:hint="eastAsia" w:cs="仿宋_GB2312" w:asciiTheme="minorEastAsia" w:hAnsiTheme="minorEastAsia" w:eastAsiaTheme="minorEastAsia"/>
          <w:b/>
          <w:kern w:val="0"/>
          <w:sz w:val="32"/>
          <w:szCs w:val="32"/>
        </w:rPr>
        <w:t>潍坊鑫捷国际货运代理有限公司与高密市康麦源食品有限公司执行案涉及的高密市康麦源食品有限公司所属的粉条加工设备</w:t>
      </w:r>
      <w:r>
        <w:rPr>
          <w:rFonts w:hint="eastAsia"/>
          <w:sz w:val="32"/>
          <w:szCs w:val="32"/>
        </w:rPr>
        <w:t>资产</w:t>
      </w:r>
      <w:r>
        <w:rPr>
          <w:sz w:val="32"/>
          <w:szCs w:val="32"/>
        </w:rPr>
        <w:t>评估报告摘要</w:t>
      </w:r>
      <w:bookmarkEnd w:id="4"/>
      <w:bookmarkEnd w:id="5"/>
      <w:bookmarkEnd w:id="6"/>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青振</w:t>
      </w:r>
      <w:r>
        <w:rPr>
          <w:rFonts w:asciiTheme="minorEastAsia" w:hAnsiTheme="minorEastAsia" w:eastAsiaTheme="minorEastAsia"/>
          <w:szCs w:val="21"/>
        </w:rPr>
        <w:t>评报字[</w:t>
      </w:r>
      <w:r>
        <w:rPr>
          <w:rFonts w:hint="eastAsia" w:asciiTheme="minorEastAsia" w:hAnsiTheme="minorEastAsia" w:eastAsiaTheme="minorEastAsia"/>
          <w:szCs w:val="21"/>
        </w:rPr>
        <w:t>2018</w:t>
      </w:r>
      <w:r>
        <w:rPr>
          <w:rFonts w:asciiTheme="minorEastAsia" w:hAnsiTheme="minorEastAsia" w:eastAsiaTheme="minorEastAsia"/>
          <w:szCs w:val="21"/>
        </w:rPr>
        <w:t>]第</w:t>
      </w:r>
      <w:r>
        <w:rPr>
          <w:rFonts w:hint="eastAsia" w:asciiTheme="minorEastAsia" w:hAnsiTheme="minorEastAsia" w:eastAsiaTheme="minorEastAsia"/>
          <w:color w:val="auto"/>
          <w:szCs w:val="21"/>
          <w:lang w:val="en-US" w:eastAsia="zh-CN"/>
        </w:rPr>
        <w:t>0581</w:t>
      </w:r>
      <w:r>
        <w:rPr>
          <w:rFonts w:asciiTheme="minorEastAsia" w:hAnsiTheme="minorEastAsia" w:eastAsiaTheme="minorEastAsia"/>
          <w:szCs w:val="21"/>
        </w:rPr>
        <w:t>号</w:t>
      </w:r>
    </w:p>
    <w:p>
      <w:pPr>
        <w:spacing w:before="100" w:beforeAutospacing="1"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青岛振青资产评估有限责任公司接受青岛海事法院的委托，根据有关法律、行政法规和资产评估准则，坚持独立、客观、公正的原则，按照必要的评估程序，对</w:t>
      </w:r>
      <w:r>
        <w:rPr>
          <w:rFonts w:hint="eastAsia" w:asciiTheme="minorEastAsia" w:hAnsiTheme="minorEastAsia" w:eastAsiaTheme="minorEastAsia"/>
          <w:sz w:val="24"/>
          <w:szCs w:val="24"/>
          <w:lang w:eastAsia="zh-CN"/>
        </w:rPr>
        <w:t>潍坊鑫捷国际货运代理有限公司与</w:t>
      </w:r>
      <w:r>
        <w:rPr>
          <w:rFonts w:hint="eastAsia" w:asciiTheme="minorEastAsia" w:hAnsiTheme="minorEastAsia" w:eastAsiaTheme="minorEastAsia"/>
          <w:color w:val="auto"/>
          <w:sz w:val="24"/>
          <w:szCs w:val="24"/>
        </w:rPr>
        <w:t>高密市康麦源食品有限公司</w:t>
      </w:r>
      <w:r>
        <w:rPr>
          <w:rFonts w:hint="eastAsia" w:asciiTheme="minorEastAsia" w:hAnsiTheme="minorEastAsia" w:eastAsiaTheme="minorEastAsia"/>
          <w:color w:val="auto"/>
          <w:sz w:val="24"/>
          <w:szCs w:val="24"/>
          <w:lang w:eastAsia="zh-CN"/>
        </w:rPr>
        <w:t>执行案涉及</w:t>
      </w:r>
      <w:r>
        <w:rPr>
          <w:rFonts w:hint="eastAsia" w:asciiTheme="minorEastAsia" w:hAnsiTheme="minorEastAsia" w:eastAsiaTheme="minorEastAsia"/>
          <w:sz w:val="24"/>
          <w:szCs w:val="24"/>
        </w:rPr>
        <w:t>的高密市康麦源食品有限公司</w:t>
      </w:r>
      <w:r>
        <w:rPr>
          <w:rFonts w:hint="eastAsia" w:asciiTheme="minorEastAsia" w:hAnsiTheme="minorEastAsia" w:eastAsiaTheme="minorEastAsia"/>
          <w:sz w:val="24"/>
          <w:szCs w:val="24"/>
          <w:lang w:eastAsia="zh-CN"/>
        </w:rPr>
        <w:t>所属的粉条加工设备</w:t>
      </w:r>
      <w:r>
        <w:rPr>
          <w:rFonts w:hint="eastAsia" w:asciiTheme="minorEastAsia" w:hAnsiTheme="minorEastAsia" w:eastAsiaTheme="minorEastAsia"/>
          <w:sz w:val="24"/>
          <w:szCs w:val="24"/>
        </w:rPr>
        <w:t>在评估基准日的</w:t>
      </w:r>
      <w:r>
        <w:rPr>
          <w:rFonts w:hint="eastAsia" w:asciiTheme="minorEastAsia" w:hAnsiTheme="minorEastAsia" w:eastAsiaTheme="minorEastAsia"/>
          <w:color w:val="auto"/>
          <w:sz w:val="24"/>
          <w:szCs w:val="24"/>
          <w:lang w:eastAsia="zh-CN"/>
        </w:rPr>
        <w:t>市场</w:t>
      </w:r>
      <w:r>
        <w:rPr>
          <w:rFonts w:hint="eastAsia" w:asciiTheme="minorEastAsia" w:hAnsiTheme="minorEastAsia" w:eastAsiaTheme="minorEastAsia"/>
          <w:color w:val="auto"/>
          <w:sz w:val="24"/>
          <w:szCs w:val="24"/>
        </w:rPr>
        <w:t>价值进</w:t>
      </w:r>
      <w:r>
        <w:rPr>
          <w:rFonts w:hint="eastAsia" w:asciiTheme="minorEastAsia" w:hAnsiTheme="minorEastAsia" w:eastAsiaTheme="minorEastAsia"/>
          <w:sz w:val="24"/>
          <w:szCs w:val="24"/>
        </w:rPr>
        <w:t>行了评估。现将评估报告摘要如下：</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评估目的：</w:t>
      </w:r>
      <w:r>
        <w:rPr>
          <w:rFonts w:hint="eastAsia" w:asciiTheme="minorEastAsia" w:hAnsiTheme="minorEastAsia" w:eastAsiaTheme="minorEastAsia"/>
          <w:sz w:val="24"/>
          <w:szCs w:val="24"/>
        </w:rPr>
        <w:t>对潍坊鑫捷国际货运代理有限公司与高密市康麦源食品有限公司执行案涉及的高密市康麦源食品有限公司所属的粉条加工设备进行评估，为拍卖提供价值参考依据</w:t>
      </w:r>
      <w:r>
        <w:rPr>
          <w:rFonts w:hint="eastAsia" w:asciiTheme="minorEastAsia" w:hAnsiTheme="minorEastAsia" w:eastAsiaTheme="minorEastAsia"/>
          <w:sz w:val="24"/>
          <w:szCs w:val="24"/>
          <w:lang w:eastAsia="zh-CN"/>
        </w:rPr>
        <w:t>。</w:t>
      </w:r>
    </w:p>
    <w:p>
      <w:pPr>
        <w:spacing w:line="360" w:lineRule="auto"/>
        <w:ind w:firstLine="480" w:firstLineChars="20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评估对象</w:t>
      </w:r>
      <w:r>
        <w:rPr>
          <w:rFonts w:hint="eastAsia" w:asciiTheme="minorEastAsia" w:hAnsiTheme="minorEastAsia" w:eastAsiaTheme="minorEastAsia"/>
          <w:sz w:val="24"/>
          <w:szCs w:val="24"/>
        </w:rPr>
        <w:t>和评估范围：评估对象为潍坊鑫捷国际货运代理有限公司与高密市康麦源食品有限公司执行案涉及的高密市康麦源食品有限公司所属的粉条加工设</w:t>
      </w:r>
      <w:r>
        <w:rPr>
          <w:rFonts w:hint="eastAsia" w:asciiTheme="minorEastAsia" w:hAnsiTheme="minorEastAsia" w:eastAsiaTheme="minorEastAsia"/>
          <w:color w:val="auto"/>
          <w:sz w:val="24"/>
          <w:szCs w:val="24"/>
        </w:rPr>
        <w:t>备</w:t>
      </w:r>
      <w:r>
        <w:rPr>
          <w:rFonts w:hint="eastAsia" w:ascii="宋体" w:hAnsi="宋体"/>
          <w:color w:val="auto"/>
          <w:sz w:val="24"/>
          <w:szCs w:val="24"/>
        </w:rPr>
        <w:t>价值</w:t>
      </w:r>
      <w:r>
        <w:rPr>
          <w:rFonts w:hint="eastAsia" w:asciiTheme="minorEastAsia" w:hAnsiTheme="minorEastAsia" w:eastAsiaTheme="minorEastAsia"/>
          <w:sz w:val="24"/>
          <w:szCs w:val="24"/>
        </w:rPr>
        <w:t>。评估范围为高密市康麦源食品有限公司所属的粉条加工设备。包括</w:t>
      </w:r>
      <w:r>
        <w:rPr>
          <w:rFonts w:hint="eastAsia" w:asciiTheme="minorEastAsia" w:hAnsiTheme="minorEastAsia" w:eastAsiaTheme="minorEastAsia"/>
          <w:sz w:val="24"/>
          <w:szCs w:val="24"/>
          <w:lang w:eastAsia="zh-CN"/>
        </w:rPr>
        <w:t>分离机与刮刀离心机各一台（</w:t>
      </w:r>
      <w:r>
        <w:rPr>
          <w:rFonts w:hint="eastAsia" w:asciiTheme="minorEastAsia" w:hAnsiTheme="minorEastAsia" w:eastAsiaTheme="minorEastAsia"/>
          <w:sz w:val="24"/>
          <w:szCs w:val="24"/>
          <w:lang w:val="en-US" w:eastAsia="zh-CN"/>
        </w:rPr>
        <w:t>以实物为准</w:t>
      </w:r>
      <w:r>
        <w:rPr>
          <w:rFonts w:hint="eastAsia" w:asciiTheme="minorEastAsia" w:hAnsiTheme="minorEastAsia" w:eastAsiaTheme="minorEastAsia"/>
          <w:sz w:val="24"/>
          <w:szCs w:val="24"/>
          <w:lang w:eastAsia="zh-CN"/>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价值类型：</w:t>
      </w:r>
      <w:r>
        <w:rPr>
          <w:rFonts w:hint="eastAsia" w:asciiTheme="minorEastAsia" w:hAnsiTheme="minorEastAsia" w:eastAsiaTheme="minorEastAsia"/>
          <w:sz w:val="24"/>
          <w:szCs w:val="24"/>
          <w:lang w:eastAsia="zh-CN"/>
        </w:rPr>
        <w:t>市场</w:t>
      </w:r>
      <w:r>
        <w:rPr>
          <w:rFonts w:asciiTheme="minorEastAsia" w:hAnsiTheme="minorEastAsia" w:eastAsiaTheme="minorEastAsia"/>
          <w:sz w:val="24"/>
          <w:szCs w:val="24"/>
        </w:rPr>
        <w:t>价值</w:t>
      </w:r>
      <w:r>
        <w:rPr>
          <w:rFonts w:hint="eastAsia" w:asciiTheme="minorEastAsia" w:hAnsiTheme="minorEastAsia" w:eastAsiaTheme="minorEastAsia"/>
          <w:sz w:val="24"/>
          <w:szCs w:val="24"/>
        </w:rPr>
        <w:t>。</w:t>
      </w:r>
    </w:p>
    <w:p>
      <w:pPr>
        <w:tabs>
          <w:tab w:val="left" w:pos="1350"/>
        </w:tabs>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sz w:val="24"/>
          <w:szCs w:val="24"/>
        </w:rPr>
        <w:t>四、</w:t>
      </w:r>
      <w:r>
        <w:rPr>
          <w:rFonts w:asciiTheme="minorEastAsia" w:hAnsiTheme="minorEastAsia" w:eastAsiaTheme="minorEastAsia"/>
          <w:sz w:val="24"/>
          <w:szCs w:val="24"/>
        </w:rPr>
        <w:t>评估基准日：</w:t>
      </w:r>
      <w:r>
        <w:rPr>
          <w:rFonts w:hint="eastAsia" w:asciiTheme="minorEastAsia" w:hAnsiTheme="minorEastAsia" w:eastAsiaTheme="minorEastAsia"/>
          <w:sz w:val="24"/>
          <w:szCs w:val="24"/>
          <w:lang w:val="en-US" w:eastAsia="zh-CN"/>
        </w:rPr>
        <w:t>2018</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19</w:t>
      </w:r>
      <w:r>
        <w:rPr>
          <w:rFonts w:asciiTheme="minorEastAsia" w:hAnsiTheme="minorEastAsia" w:eastAsiaTheme="minorEastAsia"/>
          <w:color w:val="auto"/>
          <w:sz w:val="24"/>
          <w:szCs w:val="24"/>
        </w:rPr>
        <w:t>日。</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sz w:val="24"/>
          <w:szCs w:val="24"/>
        </w:rPr>
        <w:t>评估方法：</w:t>
      </w:r>
      <w:r>
        <w:rPr>
          <w:rFonts w:hint="eastAsia"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lang w:eastAsia="zh-CN"/>
        </w:rPr>
        <w:t>成本法</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w:t>
      </w:r>
      <w:r>
        <w:rPr>
          <w:rFonts w:asciiTheme="minorEastAsia" w:hAnsiTheme="minorEastAsia" w:eastAsiaTheme="minorEastAsia"/>
          <w:sz w:val="24"/>
          <w:szCs w:val="24"/>
        </w:rPr>
        <w:t>评估结论：</w:t>
      </w:r>
      <w:r>
        <w:rPr>
          <w:rFonts w:hint="eastAsia" w:asciiTheme="minorEastAsia" w:hAnsiTheme="minorEastAsia" w:eastAsiaTheme="minorEastAsia"/>
          <w:sz w:val="24"/>
          <w:szCs w:val="24"/>
        </w:rPr>
        <w:t>评估基准日,委托评估的粉条加工设备评估价</w:t>
      </w:r>
      <w:r>
        <w:rPr>
          <w:rFonts w:hint="eastAsia" w:asciiTheme="minorEastAsia" w:hAnsiTheme="minorEastAsia" w:eastAsiaTheme="minorEastAsia"/>
          <w:color w:val="auto"/>
          <w:sz w:val="24"/>
          <w:szCs w:val="24"/>
        </w:rPr>
        <w:t>值为</w:t>
      </w:r>
      <w:r>
        <w:rPr>
          <w:rFonts w:hint="eastAsia" w:asciiTheme="minorEastAsia" w:hAnsiTheme="minorEastAsia" w:eastAsiaTheme="minorEastAsia"/>
          <w:color w:val="auto"/>
          <w:sz w:val="24"/>
          <w:szCs w:val="24"/>
          <w:lang w:val="en-US" w:eastAsia="zh-CN"/>
        </w:rPr>
        <w:t>4.05</w:t>
      </w:r>
      <w:r>
        <w:rPr>
          <w:rFonts w:hint="eastAsia" w:asciiTheme="minorEastAsia" w:hAnsiTheme="minorEastAsia" w:eastAsiaTheme="minorEastAsia"/>
          <w:color w:val="auto"/>
          <w:sz w:val="24"/>
          <w:szCs w:val="24"/>
        </w:rPr>
        <w:t>万元</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、评估结论使用有效期：</w:t>
      </w:r>
      <w:r>
        <w:rPr>
          <w:rFonts w:hint="eastAsia" w:asciiTheme="minorEastAsia" w:hAnsiTheme="minorEastAsia" w:eastAsiaTheme="minorEastAsia"/>
          <w:sz w:val="24"/>
          <w:szCs w:val="24"/>
        </w:rPr>
        <w:t>本资产评估报告仅为资产评估报告中描述的行为提供价值参考，评估结论的使用有效期限自评估基准日起一年有效。</w:t>
      </w:r>
    </w:p>
    <w:p>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w:t>
      </w:r>
      <w:r>
        <w:rPr>
          <w:rFonts w:asciiTheme="minorEastAsia" w:hAnsiTheme="minorEastAsia" w:eastAsiaTheme="minorEastAsia"/>
          <w:color w:val="auto"/>
          <w:sz w:val="24"/>
          <w:szCs w:val="24"/>
        </w:rPr>
        <w:t>、对评估结论产生影响的特别事项：</w:t>
      </w:r>
    </w:p>
    <w:p>
      <w:pPr>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1、</w:t>
      </w:r>
      <w:r>
        <w:rPr>
          <w:rFonts w:hint="eastAsia" w:asciiTheme="minorEastAsia" w:hAnsiTheme="minorEastAsia" w:eastAsiaTheme="minorEastAsia"/>
          <w:color w:val="auto"/>
          <w:sz w:val="24"/>
          <w:szCs w:val="24"/>
        </w:rPr>
        <w:t>竞买人在公告规定的咨询看样时间内进行实地查看，竞买人应认真咨询查看，了解标的物现状，一旦参加竞买，即表明已完全了解标的物的情况，接受标的物的一切现状，并愿承担相关责任。评估机构及评估人员不承担标的物瑕疵保证。</w:t>
      </w:r>
    </w:p>
    <w:p>
      <w:pPr>
        <w:spacing w:line="360" w:lineRule="auto"/>
        <w:ind w:firstLine="480" w:firstLineChars="200"/>
        <w:rPr>
          <w:rFonts w:hint="eastAsia"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、青岛海事法院（2018）青海法技鉴字第133号鉴定委托书的内容产权持有人为高密市康麦源食品有限公司，但受条件限制，我们没有取得购销合同、发票等直接产权证明材料。</w:t>
      </w:r>
    </w:p>
    <w:p>
      <w:pPr>
        <w:tabs>
          <w:tab w:val="left" w:pos="315"/>
        </w:tabs>
        <w:spacing w:line="360" w:lineRule="auto"/>
        <w:ind w:firstLine="480" w:firstLineChars="200"/>
        <w:rPr>
          <w:rFonts w:asciiTheme="minorEastAsia" w:hAnsiTheme="minorEastAsia" w:eastAsiaTheme="minorEastAsia"/>
          <w:sz w:val="24"/>
          <w:szCs w:val="24"/>
        </w:rPr>
      </w:pPr>
      <w:r>
        <w:rPr>
          <w:rFonts w:hint="eastAsia" w:ascii="宋体" w:hAnsi="宋体" w:cs="华文仿宋"/>
          <w:sz w:val="24"/>
          <w:szCs w:val="24"/>
        </w:rPr>
        <w:t>资产评估报告使用人应当充分考虑资产评估报告中载明的假设、限定条件、特别事项说明及其对评估结论的影响。</w:t>
      </w:r>
    </w:p>
    <w:p>
      <w:pPr>
        <w:tabs>
          <w:tab w:val="left" w:pos="0"/>
        </w:tabs>
        <w:spacing w:line="360" w:lineRule="auto"/>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以上内容摘自</w:t>
      </w:r>
      <w:r>
        <w:rPr>
          <w:rFonts w:hint="eastAsia" w:asciiTheme="minorEastAsia" w:hAnsiTheme="minorEastAsia" w:eastAsiaTheme="minorEastAsia"/>
          <w:b/>
          <w:sz w:val="24"/>
          <w:szCs w:val="24"/>
        </w:rPr>
        <w:t>资产</w:t>
      </w:r>
      <w:r>
        <w:rPr>
          <w:rFonts w:asciiTheme="minorEastAsia" w:hAnsiTheme="minorEastAsia" w:eastAsiaTheme="minorEastAsia"/>
          <w:b/>
          <w:sz w:val="24"/>
          <w:szCs w:val="24"/>
        </w:rPr>
        <w:t>评估报告正文，欲了解本评估</w:t>
      </w:r>
      <w:r>
        <w:rPr>
          <w:rFonts w:hint="eastAsia" w:asciiTheme="minorEastAsia" w:hAnsiTheme="minorEastAsia" w:eastAsiaTheme="minorEastAsia"/>
          <w:b/>
          <w:sz w:val="24"/>
          <w:szCs w:val="24"/>
        </w:rPr>
        <w:t>业务</w:t>
      </w:r>
      <w:r>
        <w:rPr>
          <w:rFonts w:asciiTheme="minorEastAsia" w:hAnsiTheme="minorEastAsia" w:eastAsiaTheme="minorEastAsia"/>
          <w:b/>
          <w:sz w:val="24"/>
          <w:szCs w:val="24"/>
        </w:rPr>
        <w:t>的详细情况和</w:t>
      </w:r>
      <w:r>
        <w:rPr>
          <w:rFonts w:hint="eastAsia" w:asciiTheme="minorEastAsia" w:hAnsiTheme="minorEastAsia" w:eastAsiaTheme="minorEastAsia"/>
          <w:b/>
          <w:sz w:val="24"/>
          <w:szCs w:val="24"/>
        </w:rPr>
        <w:t>正确</w:t>
      </w:r>
      <w:r>
        <w:rPr>
          <w:rFonts w:asciiTheme="minorEastAsia" w:hAnsiTheme="minorEastAsia" w:eastAsiaTheme="minorEastAsia"/>
          <w:b/>
          <w:sz w:val="24"/>
          <w:szCs w:val="24"/>
        </w:rPr>
        <w:t>理解评估结论，应当阅读</w:t>
      </w:r>
      <w:r>
        <w:rPr>
          <w:rFonts w:hint="eastAsia" w:asciiTheme="minorEastAsia" w:hAnsiTheme="minorEastAsia" w:eastAsiaTheme="minorEastAsia"/>
          <w:b/>
          <w:sz w:val="24"/>
          <w:szCs w:val="24"/>
        </w:rPr>
        <w:t>资产</w:t>
      </w:r>
      <w:r>
        <w:rPr>
          <w:rFonts w:asciiTheme="minorEastAsia" w:hAnsiTheme="minorEastAsia" w:eastAsiaTheme="minorEastAsia"/>
          <w:b/>
          <w:sz w:val="24"/>
          <w:szCs w:val="24"/>
        </w:rPr>
        <w:t>评估报告正文。</w:t>
      </w:r>
    </w:p>
    <w:p>
      <w:pPr>
        <w:pStyle w:val="2"/>
        <w:spacing w:before="0" w:after="0" w:line="360" w:lineRule="auto"/>
        <w:jc w:val="center"/>
        <w:rPr>
          <w:rFonts w:hint="eastAsia" w:cs="仿宋_GB2312" w:asciiTheme="minorEastAsia" w:hAnsiTheme="minorEastAsia" w:eastAsiaTheme="minorEastAsia"/>
          <w:b/>
          <w:kern w:val="0"/>
          <w:sz w:val="32"/>
          <w:szCs w:val="32"/>
        </w:rPr>
      </w:pPr>
      <w:bookmarkStart w:id="7" w:name="_Toc493752479"/>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pStyle w:val="2"/>
        <w:spacing w:before="0" w:after="0" w:line="360" w:lineRule="auto"/>
        <w:jc w:val="center"/>
        <w:rPr>
          <w:rFonts w:hint="eastAsia" w:cs="仿宋_GB2312" w:asciiTheme="minorEastAsia" w:hAnsiTheme="minorEastAsia" w:eastAsiaTheme="minorEastAsia"/>
          <w:b/>
          <w:kern w:val="0"/>
          <w:sz w:val="32"/>
          <w:szCs w:val="32"/>
        </w:rPr>
      </w:pPr>
    </w:p>
    <w:p>
      <w:pPr>
        <w:rPr>
          <w:rFonts w:hint="eastAsia" w:cs="仿宋_GB2312" w:asciiTheme="minorEastAsia" w:hAnsiTheme="minorEastAsia" w:eastAsiaTheme="minorEastAsia"/>
          <w:b/>
          <w:kern w:val="0"/>
          <w:sz w:val="32"/>
          <w:szCs w:val="32"/>
        </w:rPr>
      </w:pPr>
    </w:p>
    <w:p>
      <w:pPr>
        <w:rPr>
          <w:rFonts w:hint="eastAsia" w:cs="仿宋_GB2312" w:asciiTheme="minorEastAsia" w:hAnsiTheme="minorEastAsia" w:eastAsiaTheme="minorEastAsia"/>
          <w:b/>
          <w:kern w:val="0"/>
          <w:sz w:val="32"/>
          <w:szCs w:val="32"/>
        </w:rPr>
      </w:pPr>
    </w:p>
    <w:p>
      <w:pPr>
        <w:pStyle w:val="2"/>
        <w:spacing w:before="0" w:after="0" w:line="360" w:lineRule="auto"/>
        <w:jc w:val="center"/>
        <w:rPr>
          <w:sz w:val="32"/>
          <w:szCs w:val="32"/>
        </w:rPr>
      </w:pPr>
      <w:r>
        <w:rPr>
          <w:rFonts w:hint="eastAsia" w:cs="仿宋_GB2312" w:asciiTheme="minorEastAsia" w:hAnsiTheme="minorEastAsia" w:eastAsiaTheme="minorEastAsia"/>
          <w:b/>
          <w:kern w:val="0"/>
          <w:sz w:val="32"/>
          <w:szCs w:val="32"/>
        </w:rPr>
        <w:t>潍坊鑫捷国际货运代理有限公司与高密市康麦源食品有限公司执行案涉及的高密市康麦源食品有限公司所属的粉条加工设备</w:t>
      </w:r>
      <w:r>
        <w:rPr>
          <w:rFonts w:hint="eastAsia"/>
          <w:sz w:val="32"/>
          <w:szCs w:val="32"/>
        </w:rPr>
        <w:t>资产</w:t>
      </w:r>
      <w:r>
        <w:rPr>
          <w:sz w:val="32"/>
          <w:szCs w:val="32"/>
        </w:rPr>
        <w:t>评估报告</w:t>
      </w:r>
      <w:r>
        <w:rPr>
          <w:rFonts w:hint="eastAsia"/>
          <w:sz w:val="32"/>
          <w:szCs w:val="32"/>
        </w:rPr>
        <w:t>正文</w:t>
      </w:r>
      <w:bookmarkEnd w:id="7"/>
    </w:p>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青振</w:t>
      </w:r>
      <w:r>
        <w:rPr>
          <w:rFonts w:asciiTheme="minorEastAsia" w:hAnsiTheme="minorEastAsia" w:eastAsiaTheme="minorEastAsia"/>
          <w:szCs w:val="21"/>
        </w:rPr>
        <w:t>评报字[201</w:t>
      </w:r>
      <w:r>
        <w:rPr>
          <w:rFonts w:hint="eastAsia" w:asciiTheme="minorEastAsia" w:hAnsiTheme="minorEastAsia" w:eastAsiaTheme="minorEastAsia"/>
          <w:szCs w:val="21"/>
        </w:rPr>
        <w:t>8</w:t>
      </w:r>
      <w:r>
        <w:rPr>
          <w:rFonts w:asciiTheme="minorEastAsia" w:hAnsiTheme="minorEastAsia" w:eastAsiaTheme="minorEastAsia"/>
          <w:szCs w:val="21"/>
        </w:rPr>
        <w:t>]第</w:t>
      </w:r>
      <w:r>
        <w:rPr>
          <w:rFonts w:hint="eastAsia" w:asciiTheme="minorEastAsia" w:hAnsiTheme="minorEastAsia" w:eastAsiaTheme="minorEastAsia"/>
          <w:color w:val="auto"/>
          <w:szCs w:val="21"/>
          <w:lang w:val="en-US" w:eastAsia="zh-CN"/>
        </w:rPr>
        <w:t>0581</w:t>
      </w:r>
      <w:r>
        <w:rPr>
          <w:rFonts w:asciiTheme="minorEastAsia" w:hAnsiTheme="minorEastAsia" w:eastAsiaTheme="minorEastAsia"/>
          <w:szCs w:val="21"/>
        </w:rPr>
        <w:t>号</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青岛振青</w:t>
      </w:r>
      <w:r>
        <w:rPr>
          <w:rFonts w:asciiTheme="minorEastAsia" w:hAnsiTheme="minorEastAsia" w:eastAsiaTheme="minorEastAsia"/>
          <w:sz w:val="24"/>
          <w:szCs w:val="24"/>
        </w:rPr>
        <w:t>资产评估有限责任公司接受</w:t>
      </w:r>
      <w:r>
        <w:rPr>
          <w:rFonts w:hint="eastAsia" w:asciiTheme="minorEastAsia" w:hAnsiTheme="minorEastAsia" w:eastAsiaTheme="minorEastAsia"/>
          <w:sz w:val="24"/>
          <w:szCs w:val="24"/>
        </w:rPr>
        <w:t>青岛海事法院</w:t>
      </w:r>
      <w:r>
        <w:rPr>
          <w:rFonts w:asciiTheme="minorEastAsia" w:hAnsiTheme="minorEastAsia" w:eastAsiaTheme="minorEastAsia"/>
          <w:sz w:val="24"/>
          <w:szCs w:val="24"/>
        </w:rPr>
        <w:t>的委托，</w:t>
      </w:r>
      <w:r>
        <w:rPr>
          <w:rFonts w:hint="eastAsia" w:asciiTheme="minorEastAsia" w:hAnsiTheme="minorEastAsia" w:eastAsiaTheme="minorEastAsia"/>
          <w:sz w:val="24"/>
          <w:szCs w:val="24"/>
        </w:rPr>
        <w:t>按照法律、行政法规和资产评估准则的规定，坚持独立、客观和公正的原则，采用</w:t>
      </w:r>
      <w:r>
        <w:rPr>
          <w:rFonts w:hint="eastAsia" w:asciiTheme="minorEastAsia" w:hAnsiTheme="minorEastAsia" w:eastAsiaTheme="minorEastAsia"/>
          <w:sz w:val="24"/>
          <w:szCs w:val="24"/>
          <w:lang w:eastAsia="zh-CN"/>
        </w:rPr>
        <w:t>成本法</w:t>
      </w:r>
      <w:r>
        <w:rPr>
          <w:rFonts w:hint="eastAsia" w:asciiTheme="minorEastAsia" w:hAnsiTheme="minorEastAsia" w:eastAsiaTheme="minorEastAsia"/>
          <w:sz w:val="24"/>
          <w:szCs w:val="24"/>
        </w:rPr>
        <w:t>，按照必要的评估程序，对潍坊鑫捷国际货运代理有限公司与高密市康麦源食品有限公司执行案涉及的高密市康麦源食品有限公司所属的粉条加工设备在</w:t>
      </w:r>
      <w:r>
        <w:rPr>
          <w:rFonts w:hint="eastAsia" w:asciiTheme="minorEastAsia" w:hAnsiTheme="minorEastAsia" w:eastAsiaTheme="minorEastAsia"/>
          <w:sz w:val="24"/>
          <w:szCs w:val="24"/>
          <w:lang w:val="en-US" w:eastAsia="zh-CN"/>
        </w:rPr>
        <w:t>2018</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19</w:t>
      </w:r>
      <w:r>
        <w:rPr>
          <w:rFonts w:hint="eastAsia" w:asciiTheme="minorEastAsia" w:hAnsiTheme="minorEastAsia" w:eastAsiaTheme="minorEastAsia"/>
          <w:color w:val="auto"/>
          <w:sz w:val="24"/>
          <w:szCs w:val="24"/>
        </w:rPr>
        <w:t>日的</w:t>
      </w:r>
      <w:r>
        <w:rPr>
          <w:rFonts w:hint="eastAsia" w:asciiTheme="minorEastAsia" w:hAnsiTheme="minorEastAsia" w:eastAsiaTheme="minorEastAsia"/>
          <w:sz w:val="24"/>
          <w:szCs w:val="24"/>
          <w:lang w:eastAsia="zh-CN"/>
        </w:rPr>
        <w:t>市场</w:t>
      </w:r>
      <w:r>
        <w:rPr>
          <w:rFonts w:hint="eastAsia" w:asciiTheme="minorEastAsia" w:hAnsiTheme="minorEastAsia" w:eastAsiaTheme="minorEastAsia"/>
          <w:sz w:val="24"/>
          <w:szCs w:val="24"/>
        </w:rPr>
        <w:t>价值进行了评估。现将资产评估情况报告如下：</w:t>
      </w:r>
    </w:p>
    <w:p>
      <w:pPr>
        <w:pStyle w:val="3"/>
        <w:ind w:firstLine="482"/>
      </w:pPr>
      <w:bookmarkStart w:id="8" w:name="_Toc334186087"/>
      <w:bookmarkStart w:id="9" w:name="_Toc493752480"/>
      <w:r>
        <w:t>一、</w:t>
      </w:r>
      <w:bookmarkStart w:id="10" w:name="三03"/>
      <w:r>
        <w:t>委托</w:t>
      </w:r>
      <w:bookmarkEnd w:id="10"/>
      <w:r>
        <w:rPr>
          <w:rFonts w:hint="eastAsia"/>
        </w:rPr>
        <w:t>人</w:t>
      </w:r>
      <w:r>
        <w:t>、产权持有人及</w:t>
      </w:r>
      <w:bookmarkEnd w:id="8"/>
      <w:r>
        <w:rPr>
          <w:rFonts w:hint="eastAsia"/>
        </w:rPr>
        <w:t>资产评估委托合同约定的其他资产评估报告使用人的概况</w:t>
      </w:r>
      <w:bookmarkEnd w:id="9"/>
    </w:p>
    <w:p>
      <w:pPr>
        <w:tabs>
          <w:tab w:val="left" w:pos="0"/>
        </w:tabs>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委托方：青岛海事法院。</w:t>
      </w:r>
    </w:p>
    <w:p>
      <w:pPr>
        <w:tabs>
          <w:tab w:val="left" w:pos="0"/>
        </w:tabs>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本评估报告的使用者为委托方、经济行为相关的当事方。</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除国家法律法规另有规定外，任何未经评估机构和委托方确认的机构或个人不能由于得到评估报告而成为评估报告使用者。</w:t>
      </w:r>
    </w:p>
    <w:p>
      <w:pPr>
        <w:tabs>
          <w:tab w:val="left" w:pos="0"/>
        </w:tabs>
        <w:spacing w:line="360" w:lineRule="auto"/>
        <w:ind w:firstLine="480" w:firstLineChars="200"/>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（一）产权持有人</w:t>
      </w:r>
      <w:r>
        <w:rPr>
          <w:rFonts w:hint="eastAsia" w:asciiTheme="minorEastAsia" w:hAnsiTheme="minorEastAsia" w:eastAsiaTheme="minorEastAsia"/>
          <w:sz w:val="24"/>
          <w:szCs w:val="24"/>
          <w:lang w:eastAsia="zh-CN"/>
        </w:rPr>
        <w:t>：高密市康麦源食品有限公司</w:t>
      </w:r>
    </w:p>
    <w:p>
      <w:pPr>
        <w:tabs>
          <w:tab w:val="left" w:pos="0"/>
        </w:tabs>
        <w:spacing w:line="360" w:lineRule="auto"/>
        <w:ind w:firstLine="480" w:firstLineChars="200"/>
        <w:rPr>
          <w:rFonts w:asciiTheme="minorEastAsia" w:hAnsiTheme="minorEastAsia" w:eastAsiaTheme="minorEastAsia"/>
          <w:color w:val="FF0000"/>
          <w:sz w:val="24"/>
          <w:szCs w:val="24"/>
        </w:rPr>
      </w:pPr>
      <w:r>
        <w:rPr>
          <w:rFonts w:hint="eastAsia" w:ascii="宋体" w:hAnsi="宋体"/>
          <w:sz w:val="24"/>
          <w:szCs w:val="24"/>
        </w:rPr>
        <w:t>（</w:t>
      </w:r>
      <w:r>
        <w:rPr>
          <w:rFonts w:hint="eastAsia" w:ascii="宋体" w:hAnsi="宋体"/>
          <w:sz w:val="24"/>
          <w:szCs w:val="24"/>
          <w:lang w:eastAsia="zh-CN"/>
        </w:rPr>
        <w:t>二</w:t>
      </w:r>
      <w:r>
        <w:rPr>
          <w:rFonts w:hint="eastAsia" w:ascii="宋体" w:hAnsi="宋体"/>
          <w:sz w:val="24"/>
          <w:szCs w:val="24"/>
        </w:rPr>
        <w:t>）本资产评估报告仅供委托人和国家法律、法规规定的资产评估报告使用人使用，不得被其他任何第三方使用或依赖。</w:t>
      </w:r>
    </w:p>
    <w:p>
      <w:pPr>
        <w:pStyle w:val="3"/>
        <w:ind w:firstLine="482"/>
      </w:pPr>
      <w:bookmarkStart w:id="11" w:name="_Toc493752481"/>
      <w:bookmarkStart w:id="12" w:name="_Toc334186088"/>
      <w:r>
        <w:t>二、</w:t>
      </w:r>
      <w:bookmarkStart w:id="13" w:name="三04"/>
      <w:r>
        <w:t>评估目的</w:t>
      </w:r>
      <w:bookmarkEnd w:id="11"/>
      <w:bookmarkEnd w:id="12"/>
      <w:bookmarkEnd w:id="13"/>
    </w:p>
    <w:p>
      <w:pPr>
        <w:tabs>
          <w:tab w:val="left" w:pos="0"/>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对潍坊鑫捷国际货运代理有限公司与高密市康麦源食品有限公司执行案涉及的高密市康麦源食品有限公司所属的粉条加工设备进行评估，为拍卖提供价值参考依据。</w:t>
      </w:r>
    </w:p>
    <w:p>
      <w:pPr>
        <w:pStyle w:val="3"/>
        <w:ind w:firstLine="482"/>
        <w:rPr>
          <w:rFonts w:ascii="宋体" w:hAnsi="宋体"/>
          <w:b w:val="0"/>
          <w:bCs w:val="0"/>
          <w:szCs w:val="24"/>
        </w:rPr>
      </w:pPr>
      <w:bookmarkStart w:id="14" w:name="_Toc334186089"/>
      <w:bookmarkStart w:id="15" w:name="_Toc493752482"/>
      <w:r>
        <w:t>三、</w:t>
      </w:r>
      <w:bookmarkStart w:id="16" w:name="三05"/>
      <w:r>
        <w:t>评估对象和评估范围</w:t>
      </w:r>
      <w:bookmarkEnd w:id="14"/>
      <w:bookmarkEnd w:id="15"/>
      <w:bookmarkEnd w:id="16"/>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（一）评估对象</w:t>
      </w:r>
    </w:p>
    <w:p>
      <w:pPr>
        <w:tabs>
          <w:tab w:val="left" w:pos="0"/>
        </w:tabs>
        <w:spacing w:line="360" w:lineRule="auto"/>
        <w:ind w:firstLine="480" w:firstLineChars="200"/>
        <w:rPr>
          <w:rFonts w:ascii="宋体" w:hAnsi="宋体"/>
          <w:color w:val="FF0000"/>
          <w:sz w:val="24"/>
          <w:szCs w:val="24"/>
        </w:rPr>
      </w:pPr>
      <w:r>
        <w:rPr>
          <w:rFonts w:hint="eastAsia" w:ascii="宋体" w:hAnsi="宋体"/>
          <w:sz w:val="24"/>
          <w:szCs w:val="24"/>
        </w:rPr>
        <w:t>评估对象为潍坊鑫捷国际货运代理有限公司与高密市康麦源食品有限公司执行案涉及的高密市康麦源食品有限公司所属的粉条加工设备价值</w:t>
      </w:r>
      <w:r>
        <w:rPr>
          <w:rFonts w:hint="eastAsia" w:ascii="宋体" w:hAnsi="宋体"/>
          <w:color w:val="FF0000"/>
          <w:sz w:val="24"/>
          <w:szCs w:val="24"/>
        </w:rPr>
        <w:t>。</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宋体" w:hAnsi="宋体"/>
          <w:color w:val="FF0000"/>
          <w:sz w:val="24"/>
          <w:szCs w:val="24"/>
        </w:rPr>
        <w:t xml:space="preserve"> </w:t>
      </w:r>
      <w:r>
        <w:rPr>
          <w:rFonts w:hint="eastAsia" w:asciiTheme="minorEastAsia" w:hAnsiTheme="minorEastAsia" w:eastAsiaTheme="minorEastAsia"/>
          <w:sz w:val="24"/>
          <w:szCs w:val="24"/>
        </w:rPr>
        <w:t>（二）</w:t>
      </w:r>
      <w:r>
        <w:rPr>
          <w:rFonts w:asciiTheme="minorEastAsia" w:hAnsiTheme="minorEastAsia" w:eastAsiaTheme="minorEastAsia"/>
          <w:sz w:val="24"/>
          <w:szCs w:val="24"/>
        </w:rPr>
        <w:t>评估范围</w:t>
      </w:r>
    </w:p>
    <w:p>
      <w:pPr>
        <w:tabs>
          <w:tab w:val="left" w:pos="0"/>
        </w:tabs>
        <w:spacing w:line="360" w:lineRule="auto"/>
        <w:ind w:firstLine="480" w:firstLineChars="200"/>
        <w:rPr>
          <w:rFonts w:ascii="宋体" w:hAnsi="宋体"/>
          <w:color w:val="FF0000"/>
          <w:sz w:val="24"/>
          <w:szCs w:val="24"/>
          <w:lang w:val="en-US"/>
        </w:rPr>
      </w:pPr>
      <w:bookmarkStart w:id="17" w:name="_Toc334186090"/>
      <w:r>
        <w:rPr>
          <w:rFonts w:hint="eastAsia" w:ascii="宋体" w:hAnsi="宋体"/>
          <w:sz w:val="24"/>
          <w:szCs w:val="24"/>
        </w:rPr>
        <w:t>评估范围为高密市康麦源食品有限公司所属的粉条加工设备。包括分离机与刮刀离心机各一台。</w:t>
      </w:r>
      <w:r>
        <w:rPr>
          <w:rFonts w:hint="eastAsia" w:ascii="宋体" w:hAnsi="宋体"/>
          <w:sz w:val="24"/>
          <w:szCs w:val="24"/>
          <w:lang w:val="en-US" w:eastAsia="zh-CN"/>
        </w:rPr>
        <w:t>以上设备均已停用1年以上。</w:t>
      </w:r>
    </w:p>
    <w:p>
      <w:pPr>
        <w:tabs>
          <w:tab w:val="left" w:pos="0"/>
        </w:tabs>
        <w:spacing w:line="360" w:lineRule="auto"/>
        <w:ind w:firstLine="480" w:firstLineChars="200"/>
        <w:rPr>
          <w:rFonts w:hint="eastAsia" w:eastAsia="宋体" w:asciiTheme="minorEastAsia" w:hAnsiTheme="minorEastAsia"/>
          <w:color w:val="auto"/>
          <w:sz w:val="24"/>
          <w:szCs w:val="24"/>
          <w:lang w:val="en-US" w:eastAsia="zh-CN"/>
        </w:rPr>
      </w:pPr>
      <w:r>
        <w:rPr>
          <w:rFonts w:hint="eastAsia" w:ascii="宋体" w:hAnsi="宋体"/>
          <w:color w:val="auto"/>
          <w:sz w:val="24"/>
          <w:szCs w:val="24"/>
        </w:rPr>
        <w:t>委估设备资产存放于高密市康麦源食品有限公司厂房内。现场勘察</w:t>
      </w:r>
      <w:r>
        <w:rPr>
          <w:rFonts w:hint="eastAsia" w:ascii="宋体" w:hAnsi="宋体"/>
          <w:color w:val="auto"/>
          <w:sz w:val="24"/>
          <w:szCs w:val="24"/>
          <w:lang w:val="en-US" w:eastAsia="zh-CN"/>
        </w:rPr>
        <w:t>时</w:t>
      </w:r>
      <w:r>
        <w:rPr>
          <w:rFonts w:hint="eastAsia" w:ascii="宋体" w:hAnsi="宋体"/>
          <w:color w:val="auto"/>
          <w:sz w:val="24"/>
          <w:szCs w:val="24"/>
        </w:rPr>
        <w:t>，委估</w:t>
      </w:r>
      <w:r>
        <w:rPr>
          <w:rFonts w:hint="eastAsia" w:ascii="宋体" w:hAnsi="宋体"/>
          <w:color w:val="auto"/>
          <w:sz w:val="24"/>
          <w:szCs w:val="24"/>
          <w:lang w:val="en-US" w:eastAsia="zh-CN"/>
        </w:rPr>
        <w:t>设备已无铭牌，据高密市康麦源食品有限公司有关人员介绍委估资产购置于2013年7月，查封设备名称实为脱水机和烘干机</w:t>
      </w:r>
      <w:r>
        <w:rPr>
          <w:rFonts w:hint="eastAsia" w:ascii="宋体" w:hAnsi="宋体"/>
          <w:color w:val="auto"/>
          <w:sz w:val="24"/>
          <w:szCs w:val="24"/>
          <w:lang w:eastAsia="zh-CN"/>
        </w:rPr>
        <w:t>，</w:t>
      </w:r>
      <w:r>
        <w:rPr>
          <w:rFonts w:hint="eastAsia" w:ascii="宋体" w:hAnsi="宋体"/>
          <w:color w:val="auto"/>
          <w:sz w:val="24"/>
          <w:szCs w:val="24"/>
          <w:lang w:val="en-US" w:eastAsia="zh-CN"/>
        </w:rPr>
        <w:t>脱水机型号</w:t>
      </w:r>
      <w:r>
        <w:rPr>
          <w:rFonts w:hint="eastAsia" w:ascii="宋体" w:hAnsi="宋体"/>
          <w:color w:val="auto"/>
          <w:sz w:val="24"/>
          <w:szCs w:val="24"/>
        </w:rPr>
        <w:t>为</w:t>
      </w:r>
      <w:r>
        <w:rPr>
          <w:rFonts w:hint="eastAsia" w:ascii="宋体" w:hAnsi="宋体"/>
          <w:color w:val="auto"/>
          <w:sz w:val="24"/>
          <w:szCs w:val="24"/>
          <w:lang w:val="en-US" w:eastAsia="zh-CN"/>
        </w:rPr>
        <w:t>1250，烘干机包括离心通风机（型号为4-68）等.具体资产以实物为准。</w:t>
      </w:r>
    </w:p>
    <w:p>
      <w:pPr>
        <w:pStyle w:val="3"/>
        <w:ind w:firstLine="482"/>
      </w:pPr>
      <w:bookmarkStart w:id="18" w:name="_Toc493752483"/>
      <w:r>
        <w:t>四、</w:t>
      </w:r>
      <w:bookmarkStart w:id="19" w:name="三06"/>
      <w:r>
        <w:t>价值类型</w:t>
      </w:r>
      <w:bookmarkEnd w:id="17"/>
      <w:bookmarkEnd w:id="18"/>
      <w:bookmarkEnd w:id="19"/>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根据评估目的实现的要求，结合评估对象自身的功能、使用方式和利用状态等条件的制约，本次评估价值类型选用市场价值。</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市场价值是指自愿买方和自愿卖方在各自理性行事且未受任何强迫压制的情况下，评估对象在评估基准日进行正常公平交易的价值估计数额。</w:t>
      </w:r>
    </w:p>
    <w:p>
      <w:pPr>
        <w:pStyle w:val="3"/>
        <w:ind w:firstLine="482"/>
      </w:pPr>
      <w:bookmarkStart w:id="20" w:name="_Toc334186091"/>
      <w:bookmarkStart w:id="21" w:name="_Toc493752484"/>
      <w:r>
        <w:t>五、</w:t>
      </w:r>
      <w:bookmarkStart w:id="22" w:name="三07"/>
      <w:r>
        <w:t>评估基准日</w:t>
      </w:r>
      <w:bookmarkEnd w:id="20"/>
      <w:bookmarkEnd w:id="21"/>
      <w:bookmarkEnd w:id="22"/>
    </w:p>
    <w:p>
      <w:pPr>
        <w:tabs>
          <w:tab w:val="left" w:pos="0"/>
        </w:tabs>
        <w:spacing w:line="360" w:lineRule="auto"/>
        <w:ind w:firstLine="480" w:firstLineChars="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本项目选定现场勘查日2018 年1</w:t>
      </w:r>
      <w:r>
        <w:rPr>
          <w:rFonts w:hint="eastAsia" w:asciiTheme="minorEastAsia" w:hAnsiTheme="minorEastAsia" w:eastAsiaTheme="minorEastAsia"/>
          <w:color w:val="auto"/>
          <w:sz w:val="24"/>
          <w:szCs w:val="24"/>
          <w:lang w:val="en-US" w:eastAsia="zh-CN"/>
        </w:rPr>
        <w:t>2</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lang w:val="en-US" w:eastAsia="zh-CN"/>
        </w:rPr>
        <w:t>19</w:t>
      </w:r>
      <w:r>
        <w:rPr>
          <w:rFonts w:hint="eastAsia" w:asciiTheme="minorEastAsia" w:hAnsiTheme="minorEastAsia" w:eastAsiaTheme="minorEastAsia"/>
          <w:color w:val="auto"/>
          <w:sz w:val="24"/>
          <w:szCs w:val="24"/>
        </w:rPr>
        <w:t>日为评估基准日。</w:t>
      </w:r>
    </w:p>
    <w:p>
      <w:pPr>
        <w:tabs>
          <w:tab w:val="left" w:pos="0"/>
        </w:tabs>
        <w:spacing w:line="360" w:lineRule="auto"/>
        <w:ind w:firstLine="480" w:firstLineChars="200"/>
        <w:rPr>
          <w:rFonts w:asciiTheme="minorEastAsia" w:hAnsiTheme="minorEastAsia" w:eastAsiaTheme="minorEastAsia"/>
          <w:color w:val="FF0000"/>
          <w:sz w:val="24"/>
          <w:szCs w:val="24"/>
        </w:rPr>
      </w:pPr>
      <w:r>
        <w:rPr>
          <w:rFonts w:hint="eastAsia" w:asciiTheme="minorEastAsia" w:hAnsiTheme="minorEastAsia" w:eastAsiaTheme="minorEastAsia"/>
          <w:color w:val="auto"/>
          <w:sz w:val="24"/>
          <w:szCs w:val="24"/>
        </w:rPr>
        <w:t>本报告书中一切取价标准均为评估基准日有效的价格标准</w:t>
      </w:r>
      <w:r>
        <w:rPr>
          <w:rFonts w:asciiTheme="minorEastAsia" w:hAnsiTheme="minorEastAsia" w:eastAsiaTheme="minorEastAsia"/>
          <w:color w:val="auto"/>
          <w:sz w:val="24"/>
          <w:szCs w:val="24"/>
        </w:rPr>
        <w:t>。</w:t>
      </w:r>
    </w:p>
    <w:p>
      <w:pPr>
        <w:pStyle w:val="3"/>
        <w:ind w:firstLine="482"/>
      </w:pPr>
      <w:bookmarkStart w:id="23" w:name="_Toc493752485"/>
      <w:bookmarkStart w:id="24" w:name="_Toc334186092"/>
      <w:r>
        <w:t>六、</w:t>
      </w:r>
      <w:bookmarkStart w:id="25" w:name="三08"/>
      <w:r>
        <w:t>评估依据</w:t>
      </w:r>
      <w:bookmarkEnd w:id="23"/>
      <w:bookmarkEnd w:id="24"/>
      <w:bookmarkEnd w:id="25"/>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（一）</w:t>
      </w:r>
      <w:r>
        <w:rPr>
          <w:rFonts w:hint="eastAsia" w:asciiTheme="minorEastAsia" w:hAnsiTheme="minorEastAsia" w:eastAsiaTheme="minorEastAsia"/>
          <w:sz w:val="24"/>
          <w:szCs w:val="24"/>
        </w:rPr>
        <w:t>经济</w:t>
      </w:r>
      <w:r>
        <w:rPr>
          <w:rFonts w:asciiTheme="minorEastAsia" w:hAnsiTheme="minorEastAsia" w:eastAsiaTheme="minorEastAsia"/>
          <w:sz w:val="24"/>
          <w:szCs w:val="24"/>
        </w:rPr>
        <w:t>行为依据</w:t>
      </w:r>
    </w:p>
    <w:p>
      <w:pPr>
        <w:pStyle w:val="54"/>
        <w:numPr>
          <w:ilvl w:val="0"/>
          <w:numId w:val="1"/>
        </w:numPr>
        <w:tabs>
          <w:tab w:val="left" w:pos="0"/>
        </w:tabs>
        <w:spacing w:line="360" w:lineRule="auto"/>
        <w:ind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青岛海事法院（2018）青海法技鉴字第13</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号鉴定委托书；</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（二）法规依据</w:t>
      </w:r>
    </w:p>
    <w:p>
      <w:pPr>
        <w:widowControl/>
        <w:numPr>
          <w:ilvl w:val="0"/>
          <w:numId w:val="2"/>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《中华人民共和国资产评估法》(2016年7月2日第十二届全国人民代表大会常务委员会第二十一次会议通过)；</w:t>
      </w:r>
    </w:p>
    <w:p>
      <w:pPr>
        <w:widowControl/>
        <w:numPr>
          <w:ilvl w:val="0"/>
          <w:numId w:val="2"/>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《中华人民共和国公司法》(2013年12月28日第十二届全国人民代表大会常务委员会第六次会议通过修正)；</w:t>
      </w:r>
    </w:p>
    <w:p>
      <w:pPr>
        <w:widowControl/>
        <w:numPr>
          <w:ilvl w:val="0"/>
          <w:numId w:val="2"/>
        </w:numPr>
        <w:adjustRightInd w:val="0"/>
        <w:snapToGrid w:val="0"/>
        <w:spacing w:line="360" w:lineRule="auto"/>
        <w:ind w:left="0" w:firstLine="424" w:firstLineChars="177"/>
        <w:rPr>
          <w:rFonts w:ascii="宋体" w:hAnsi="宋体"/>
          <w:sz w:val="24"/>
          <w:szCs w:val="24"/>
        </w:rPr>
      </w:pPr>
      <w:r>
        <w:rPr>
          <w:rFonts w:ascii="宋体" w:hAnsi="宋体"/>
          <w:sz w:val="24"/>
          <w:szCs w:val="24"/>
        </w:rPr>
        <w:t>《中华人民共和国增值税暂行条例实施细则》(财政部、国家税务总局令第65号)；</w:t>
      </w:r>
    </w:p>
    <w:p>
      <w:pPr>
        <w:widowControl/>
        <w:numPr>
          <w:ilvl w:val="0"/>
          <w:numId w:val="2"/>
        </w:numPr>
        <w:adjustRightInd w:val="0"/>
        <w:snapToGrid w:val="0"/>
        <w:spacing w:line="360" w:lineRule="auto"/>
        <w:ind w:left="0" w:firstLine="424" w:firstLineChars="177"/>
        <w:rPr>
          <w:rFonts w:ascii="宋体" w:hAnsi="宋体"/>
          <w:sz w:val="24"/>
          <w:szCs w:val="24"/>
        </w:rPr>
      </w:pPr>
      <w:r>
        <w:rPr>
          <w:rFonts w:hint="eastAsia" w:ascii="宋体" w:hAnsi="宋体"/>
          <w:sz w:val="24"/>
          <w:szCs w:val="24"/>
        </w:rPr>
        <w:t>《关于全面推开营业税改征增值税试点的通知》(财税第</w:t>
      </w:r>
      <w:r>
        <w:rPr>
          <w:rFonts w:ascii="宋体" w:hAnsi="宋体"/>
          <w:sz w:val="24"/>
          <w:szCs w:val="24"/>
        </w:rPr>
        <w:t>[2016]</w:t>
      </w:r>
      <w:r>
        <w:rPr>
          <w:rFonts w:hint="eastAsia" w:ascii="宋体" w:hAnsi="宋体"/>
          <w:sz w:val="24"/>
          <w:szCs w:val="24"/>
        </w:rPr>
        <w:t>36号)；</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（三）评估准则依据</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基本准则</w:t>
      </w:r>
      <w:r>
        <w:rPr>
          <w:rFonts w:asciiTheme="minorEastAsia" w:hAnsiTheme="minorEastAsia" w:eastAsiaTheme="minorEastAsia"/>
          <w:sz w:val="24"/>
          <w:szCs w:val="24"/>
        </w:rPr>
        <w:t>》（财</w:t>
      </w:r>
      <w:r>
        <w:rPr>
          <w:rFonts w:hint="eastAsia" w:asciiTheme="minorEastAsia" w:hAnsiTheme="minorEastAsia" w:eastAsiaTheme="minorEastAsia"/>
          <w:sz w:val="24"/>
          <w:szCs w:val="24"/>
        </w:rPr>
        <w:t>资</w:t>
      </w:r>
      <w:r>
        <w:rPr>
          <w:rFonts w:asciiTheme="minorEastAsia" w:hAnsiTheme="minorEastAsia" w:eastAsiaTheme="minorEastAsia"/>
          <w:sz w:val="24"/>
          <w:szCs w:val="24"/>
        </w:rPr>
        <w:t>[20</w:t>
      </w:r>
      <w:r>
        <w:rPr>
          <w:rFonts w:hint="eastAsia" w:asciiTheme="minorEastAsia" w:hAnsiTheme="minorEastAsia" w:eastAsiaTheme="minorEastAsia"/>
          <w:sz w:val="24"/>
          <w:szCs w:val="24"/>
        </w:rPr>
        <w:t>17</w:t>
      </w:r>
      <w:r>
        <w:rPr>
          <w:rFonts w:asciiTheme="minorEastAsia" w:hAnsiTheme="minorEastAsia" w:eastAsiaTheme="minorEastAsia"/>
          <w:sz w:val="24"/>
          <w:szCs w:val="24"/>
        </w:rPr>
        <w:t>]</w:t>
      </w:r>
      <w:r>
        <w:rPr>
          <w:rFonts w:hint="eastAsia" w:asciiTheme="minorEastAsia" w:hAnsiTheme="minorEastAsia" w:eastAsiaTheme="minorEastAsia"/>
          <w:sz w:val="24"/>
          <w:szCs w:val="24"/>
        </w:rPr>
        <w:t>43</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资产评估职业道德准则》（</w:t>
      </w:r>
      <w:r>
        <w:rPr>
          <w:rFonts w:hint="eastAsia" w:asciiTheme="minorEastAsia" w:hAnsiTheme="minorEastAsia" w:eastAsiaTheme="minorEastAsia"/>
          <w:sz w:val="24"/>
          <w:szCs w:val="24"/>
        </w:rPr>
        <w:t>中评协（2017）30号</w:t>
      </w:r>
      <w:r>
        <w:rPr>
          <w:rFonts w:asciiTheme="minorEastAsia" w:hAnsiTheme="minorEastAsia" w:eastAsiaTheme="minorEastAsia"/>
          <w:sz w:val="24"/>
          <w:szCs w:val="24"/>
        </w:rPr>
        <w:t>）；</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资产评估程序</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（2017）31</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资产评估报告</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（2017）32</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资产评估委托合同</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（2017）33</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资产评估档案</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（2017）34</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利用专家工作及相关报告</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（2017）35</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asciiTheme="minorEastAsia" w:hAnsiTheme="minorEastAsia" w:eastAsiaTheme="minorEastAsia"/>
          <w:sz w:val="24"/>
          <w:szCs w:val="24"/>
        </w:rPr>
        <w:t>《资产评估</w:t>
      </w:r>
      <w:r>
        <w:rPr>
          <w:rFonts w:hint="eastAsia" w:asciiTheme="minorEastAsia" w:hAnsiTheme="minorEastAsia" w:eastAsiaTheme="minorEastAsia"/>
          <w:sz w:val="24"/>
          <w:szCs w:val="24"/>
        </w:rPr>
        <w:t>执业</w:t>
      </w:r>
      <w:r>
        <w:rPr>
          <w:rFonts w:asciiTheme="minorEastAsia" w:hAnsiTheme="minorEastAsia" w:eastAsiaTheme="minorEastAsia"/>
          <w:sz w:val="24"/>
          <w:szCs w:val="24"/>
        </w:rPr>
        <w:t>准则—</w:t>
      </w:r>
      <w:r>
        <w:rPr>
          <w:rFonts w:hint="eastAsia" w:asciiTheme="minorEastAsia" w:hAnsiTheme="minorEastAsia" w:eastAsiaTheme="minorEastAsia"/>
          <w:sz w:val="24"/>
          <w:szCs w:val="24"/>
        </w:rPr>
        <w:t>机器设备</w:t>
      </w:r>
      <w:r>
        <w:rPr>
          <w:rFonts w:asciiTheme="minorEastAsia" w:hAnsiTheme="minorEastAsia" w:eastAsiaTheme="minorEastAsia"/>
          <w:sz w:val="24"/>
          <w:szCs w:val="24"/>
        </w:rPr>
        <w:t>》（中评协</w:t>
      </w:r>
      <w:r>
        <w:rPr>
          <w:rFonts w:hint="eastAsia" w:asciiTheme="minorEastAsia" w:hAnsiTheme="minorEastAsia" w:eastAsiaTheme="minorEastAsia"/>
          <w:sz w:val="24"/>
          <w:szCs w:val="24"/>
        </w:rPr>
        <w:t>（2017）39</w:t>
      </w:r>
      <w:r>
        <w:rPr>
          <w:rFonts w:asciiTheme="minorEastAsia" w:hAnsiTheme="minorEastAsia" w:eastAsiaTheme="minorEastAsia"/>
          <w:sz w:val="24"/>
          <w:szCs w:val="24"/>
        </w:rPr>
        <w:t>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《资产评估机构业务质量控制指南》（中评协（2017）46号）；</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《资产评估价值类型指导意见》（中评协（2017）47号）</w:t>
      </w:r>
      <w:r>
        <w:rPr>
          <w:rFonts w:asciiTheme="minorEastAsia" w:hAnsiTheme="minorEastAsia" w:eastAsiaTheme="minorEastAsia"/>
          <w:sz w:val="24"/>
          <w:szCs w:val="24"/>
        </w:rPr>
        <w:t>；</w:t>
      </w:r>
    </w:p>
    <w:p>
      <w:pPr>
        <w:pStyle w:val="54"/>
        <w:numPr>
          <w:ilvl w:val="0"/>
          <w:numId w:val="3"/>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《资产评估对象法律权属指导意见》（中评协（2017）48号）</w:t>
      </w:r>
      <w:r>
        <w:rPr>
          <w:rFonts w:asciiTheme="minorEastAsia" w:hAnsiTheme="minorEastAsia" w:eastAsiaTheme="minorEastAsia"/>
          <w:sz w:val="24"/>
          <w:szCs w:val="24"/>
        </w:rPr>
        <w:t>；</w:t>
      </w:r>
    </w:p>
    <w:p>
      <w:pPr>
        <w:pStyle w:val="54"/>
        <w:tabs>
          <w:tab w:val="left" w:pos="993"/>
        </w:tabs>
        <w:spacing w:line="360" w:lineRule="auto"/>
        <w:ind w:left="480" w:firstLine="0" w:firstLineChars="0"/>
        <w:rPr>
          <w:rFonts w:asciiTheme="minorEastAsia" w:hAnsiTheme="minorEastAsia" w:eastAsiaTheme="minorEastAsia"/>
          <w:sz w:val="24"/>
          <w:szCs w:val="24"/>
        </w:rPr>
      </w:pPr>
      <w:r>
        <w:rPr>
          <w:rFonts w:asciiTheme="minorEastAsia" w:hAnsiTheme="minorEastAsia" w:eastAsiaTheme="minorEastAsia"/>
          <w:sz w:val="24"/>
          <w:szCs w:val="24"/>
        </w:rPr>
        <w:t>（四）产权依据</w:t>
      </w:r>
    </w:p>
    <w:p>
      <w:pPr>
        <w:pStyle w:val="54"/>
        <w:numPr>
          <w:ilvl w:val="0"/>
          <w:numId w:val="4"/>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其他有关产权证明。</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（五）取价依据</w:t>
      </w:r>
    </w:p>
    <w:p>
      <w:pPr>
        <w:pStyle w:val="54"/>
        <w:numPr>
          <w:ilvl w:val="0"/>
          <w:numId w:val="5"/>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《机电产品报价手册》(2018年)；</w:t>
      </w:r>
    </w:p>
    <w:p>
      <w:pPr>
        <w:pStyle w:val="54"/>
        <w:numPr>
          <w:ilvl w:val="0"/>
          <w:numId w:val="5"/>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评估人员现场勘察记录及收集的其他相关估价信息资料；</w:t>
      </w:r>
    </w:p>
    <w:p>
      <w:pPr>
        <w:pStyle w:val="54"/>
        <w:numPr>
          <w:ilvl w:val="0"/>
          <w:numId w:val="5"/>
        </w:numPr>
        <w:tabs>
          <w:tab w:val="left" w:pos="0"/>
          <w:tab w:val="left" w:pos="851"/>
        </w:tabs>
        <w:spacing w:line="360" w:lineRule="auto"/>
        <w:ind w:left="0"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与此次资产评估有关的其他资料。</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（六）其他</w:t>
      </w:r>
      <w:r>
        <w:rPr>
          <w:rFonts w:hint="eastAsia" w:asciiTheme="minorEastAsia" w:hAnsiTheme="minorEastAsia" w:eastAsiaTheme="minorEastAsia"/>
          <w:sz w:val="24"/>
          <w:szCs w:val="24"/>
        </w:rPr>
        <w:t>参考</w:t>
      </w:r>
      <w:r>
        <w:rPr>
          <w:rFonts w:asciiTheme="minorEastAsia" w:hAnsiTheme="minorEastAsia" w:eastAsiaTheme="minorEastAsia"/>
          <w:sz w:val="24"/>
          <w:szCs w:val="24"/>
        </w:rPr>
        <w:t>依据</w:t>
      </w:r>
    </w:p>
    <w:p>
      <w:pPr>
        <w:widowControl/>
        <w:numPr>
          <w:ilvl w:val="0"/>
          <w:numId w:val="6"/>
        </w:numPr>
        <w:adjustRightInd w:val="0"/>
        <w:snapToGrid w:val="0"/>
        <w:spacing w:line="360" w:lineRule="auto"/>
      </w:pPr>
      <w:r>
        <w:rPr>
          <w:rFonts w:hint="eastAsia" w:ascii="宋体" w:hAnsi="宋体"/>
          <w:color w:val="auto"/>
          <w:sz w:val="24"/>
          <w:szCs w:val="24"/>
        </w:rPr>
        <w:t>产权持有人提</w:t>
      </w:r>
      <w:r>
        <w:rPr>
          <w:rFonts w:hint="eastAsia" w:ascii="宋体" w:hAnsi="宋体"/>
          <w:sz w:val="24"/>
          <w:szCs w:val="24"/>
        </w:rPr>
        <w:t>供的资产清单；</w:t>
      </w:r>
      <w:bookmarkStart w:id="26" w:name="_Toc334186093"/>
      <w:bookmarkStart w:id="27" w:name="_Toc493752486"/>
    </w:p>
    <w:p>
      <w:pPr>
        <w:widowControl/>
        <w:numPr>
          <w:ilvl w:val="0"/>
          <w:numId w:val="7"/>
        </w:numPr>
        <w:adjustRightInd w:val="0"/>
        <w:snapToGrid w:val="0"/>
        <w:spacing w:line="360" w:lineRule="auto"/>
        <w:ind w:left="480" w:leftChars="0"/>
        <w:rPr>
          <w:b/>
          <w:bCs/>
          <w:sz w:val="24"/>
          <w:szCs w:val="24"/>
        </w:rPr>
      </w:pPr>
      <w:bookmarkStart w:id="28" w:name="三09"/>
      <w:r>
        <w:rPr>
          <w:b/>
          <w:bCs/>
          <w:sz w:val="24"/>
          <w:szCs w:val="24"/>
        </w:rPr>
        <w:t>评估方法</w:t>
      </w:r>
      <w:bookmarkEnd w:id="26"/>
      <w:bookmarkEnd w:id="27"/>
      <w:bookmarkEnd w:id="28"/>
      <w:bookmarkStart w:id="29" w:name="_Toc334186094"/>
      <w:bookmarkStart w:id="30" w:name="_Toc493752487"/>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结合本次估价对象为，本次评估确定采用成本法。选择理由如下：</w:t>
      </w:r>
    </w:p>
    <w:p>
      <w:pPr>
        <w:widowControl/>
        <w:numPr>
          <w:ilvl w:val="0"/>
          <w:numId w:val="8"/>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成本法。成本法是通过估算被评估资产的重置成本和资产实体性贬值、功能性贬值、经济性贬值，将重置成本扣减各种贬值作为资产评估价值的一种方法。它是从成本取得和成本构成的角度对被评估资产的价值进行的分析和判断。</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本次评估对象为</w:t>
      </w:r>
      <w:r>
        <w:rPr>
          <w:rFonts w:hint="eastAsia" w:ascii="宋体" w:hAnsi="宋体"/>
          <w:b w:val="0"/>
          <w:bCs w:val="0"/>
          <w:kern w:val="0"/>
          <w:sz w:val="24"/>
          <w:szCs w:val="24"/>
          <w:lang w:val="en-US" w:eastAsia="zh-CN"/>
        </w:rPr>
        <w:t>粉条加工设备</w:t>
      </w:r>
      <w:r>
        <w:rPr>
          <w:rFonts w:hint="eastAsia" w:ascii="宋体" w:hAnsi="宋体"/>
          <w:b w:val="0"/>
          <w:bCs w:val="0"/>
          <w:kern w:val="0"/>
          <w:sz w:val="24"/>
          <w:szCs w:val="24"/>
          <w:lang w:val="zh-CN" w:eastAsia="zh-CN"/>
        </w:rPr>
        <w:t>，在当前市场中可以取得相同或类似全新的设备作为其重置全价，通过评估人员对上述设备的现场观察与设备使用年份、保养状况、等因素的分析考虑综合成新率。故本评估对象宜采用该方法。</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en-US" w:eastAsia="zh-CN"/>
        </w:rPr>
      </w:pPr>
      <w:r>
        <w:rPr>
          <w:rFonts w:hint="eastAsia" w:ascii="宋体" w:hAnsi="宋体"/>
          <w:b w:val="0"/>
          <w:bCs w:val="0"/>
          <w:kern w:val="0"/>
          <w:sz w:val="24"/>
          <w:szCs w:val="24"/>
          <w:lang w:val="en-US" w:eastAsia="zh-CN"/>
        </w:rPr>
        <w:t>机器设备评估采用计算公式如下所示：</w:t>
      </w:r>
    </w:p>
    <w:p>
      <w:pPr>
        <w:widowControl/>
        <w:numPr>
          <w:ilvl w:val="0"/>
          <w:numId w:val="0"/>
        </w:numPr>
        <w:adjustRightInd w:val="0"/>
        <w:snapToGrid w:val="0"/>
        <w:spacing w:line="360" w:lineRule="auto"/>
        <w:ind w:firstLine="480" w:firstLineChars="200"/>
        <w:rPr>
          <w:rFonts w:hint="eastAsia" w:ascii="宋体" w:hAnsi="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评估值=重置价值×成新率-拆除费</w:t>
      </w:r>
    </w:p>
    <w:p>
      <w:pPr>
        <w:widowControl/>
        <w:numPr>
          <w:ilvl w:val="0"/>
          <w:numId w:val="0"/>
        </w:numPr>
        <w:adjustRightInd w:val="0"/>
        <w:snapToGrid w:val="0"/>
        <w:spacing w:line="360" w:lineRule="auto"/>
        <w:ind w:firstLine="480" w:firstLineChars="200"/>
        <w:rPr>
          <w:rFonts w:hint="eastAsia" w:ascii="宋体" w:hAnsi="宋体"/>
          <w:b w:val="0"/>
          <w:bCs w:val="0"/>
          <w:color w:val="auto"/>
          <w:kern w:val="0"/>
          <w:sz w:val="24"/>
          <w:szCs w:val="24"/>
          <w:lang w:val="en-US" w:eastAsia="zh-CN"/>
        </w:rPr>
      </w:pPr>
      <w:r>
        <w:rPr>
          <w:rFonts w:hint="eastAsia" w:ascii="宋体" w:hAnsi="宋体"/>
          <w:b w:val="0"/>
          <w:bCs w:val="0"/>
          <w:color w:val="auto"/>
          <w:kern w:val="0"/>
          <w:sz w:val="24"/>
          <w:szCs w:val="24"/>
          <w:lang w:val="en-US" w:eastAsia="zh-CN"/>
        </w:rPr>
        <w:t>重置全价不包括安装调试费。</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2、市场法。市场法是指利用市场上同样或类似资产的近期交易价格，经过直接比较或类似分析以估测资产价值的评估方法。</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本次评估对象中</w:t>
      </w:r>
      <w:r>
        <w:rPr>
          <w:rFonts w:hint="eastAsia" w:ascii="宋体" w:hAnsi="宋体"/>
          <w:b w:val="0"/>
          <w:bCs w:val="0"/>
          <w:kern w:val="0"/>
          <w:sz w:val="24"/>
          <w:szCs w:val="24"/>
          <w:lang w:val="en-US" w:eastAsia="zh-CN"/>
        </w:rPr>
        <w:t>粉条加工设备</w:t>
      </w:r>
      <w:r>
        <w:rPr>
          <w:rFonts w:hint="eastAsia" w:ascii="宋体" w:hAnsi="宋体"/>
          <w:b w:val="0"/>
          <w:bCs w:val="0"/>
          <w:kern w:val="0"/>
          <w:sz w:val="24"/>
          <w:szCs w:val="24"/>
          <w:lang w:val="zh-CN" w:eastAsia="zh-CN"/>
        </w:rPr>
        <w:t>在公开市场中很难取得类同型号、雷同年份、相同配置机器设备交易案例，故本评估对象该方法不适宜。</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3、收益法。收益法，是指在预计估价对象的未来正常净收益基础上，选用适当的资本法率将其折现到价值时点后累加，以此来求取估价对像价值的一种评估方法。</w:t>
      </w:r>
    </w:p>
    <w:p>
      <w:pPr>
        <w:widowControl/>
        <w:numPr>
          <w:ilvl w:val="0"/>
          <w:numId w:val="0"/>
        </w:numPr>
        <w:adjustRightInd w:val="0"/>
        <w:snapToGrid w:val="0"/>
        <w:spacing w:line="360" w:lineRule="auto"/>
        <w:ind w:firstLine="480" w:firstLineChars="200"/>
        <w:rPr>
          <w:rFonts w:hint="eastAsia" w:ascii="宋体" w:hAnsi="宋体"/>
          <w:b w:val="0"/>
          <w:bCs w:val="0"/>
          <w:kern w:val="0"/>
          <w:sz w:val="24"/>
          <w:szCs w:val="24"/>
          <w:lang w:val="zh-CN" w:eastAsia="zh-CN"/>
        </w:rPr>
      </w:pPr>
      <w:r>
        <w:rPr>
          <w:rFonts w:hint="eastAsia" w:ascii="宋体" w:hAnsi="宋体"/>
          <w:b w:val="0"/>
          <w:bCs w:val="0"/>
          <w:kern w:val="0"/>
          <w:sz w:val="24"/>
          <w:szCs w:val="24"/>
          <w:lang w:val="zh-CN" w:eastAsia="zh-CN"/>
        </w:rPr>
        <w:t>由于被估对象为单项机器设备，</w:t>
      </w:r>
      <w:r>
        <w:rPr>
          <w:rFonts w:hint="eastAsia" w:ascii="宋体" w:hAnsi="宋体"/>
          <w:b w:val="0"/>
          <w:bCs w:val="0"/>
          <w:kern w:val="0"/>
          <w:sz w:val="24"/>
          <w:szCs w:val="24"/>
          <w:lang w:val="en-US" w:eastAsia="zh-CN"/>
        </w:rPr>
        <w:t>已停产</w:t>
      </w:r>
      <w:r>
        <w:rPr>
          <w:rFonts w:hint="eastAsia" w:ascii="宋体" w:hAnsi="宋体"/>
          <w:b w:val="0"/>
          <w:bCs w:val="0"/>
          <w:kern w:val="0"/>
          <w:sz w:val="24"/>
          <w:szCs w:val="24"/>
          <w:lang w:val="zh-CN" w:eastAsia="zh-CN"/>
        </w:rPr>
        <w:t>，故无法对其未来收益进行合理预测，故本次评估不宜采用收益法。</w:t>
      </w:r>
    </w:p>
    <w:p>
      <w:pPr>
        <w:pStyle w:val="3"/>
        <w:ind w:firstLine="482"/>
      </w:pPr>
      <w:r>
        <w:t>八、</w:t>
      </w:r>
      <w:bookmarkStart w:id="31" w:name="三10"/>
      <w:r>
        <w:t>评估程序实施过程和情况</w:t>
      </w:r>
      <w:bookmarkEnd w:id="29"/>
      <w:bookmarkEnd w:id="30"/>
      <w:bookmarkEnd w:id="31"/>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评估人员对评估对象涉及的资产实施了评估。主要评估程序实施过程和情况如下：</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snapToGrid w:val="0"/>
          <w:sz w:val="24"/>
          <w:szCs w:val="24"/>
        </w:rPr>
      </w:pPr>
      <w:r>
        <w:rPr>
          <w:rFonts w:hint="eastAsia" w:ascii="宋体" w:hAnsi="宋体"/>
          <w:snapToGrid w:val="0"/>
          <w:sz w:val="24"/>
          <w:szCs w:val="24"/>
        </w:rPr>
        <w:t>接受委托</w:t>
      </w:r>
    </w:p>
    <w:p>
      <w:pPr>
        <w:pStyle w:val="7"/>
        <w:spacing w:line="360" w:lineRule="auto"/>
        <w:ind w:firstLine="504"/>
        <w:rPr>
          <w:rFonts w:ascii="宋体" w:hAnsi="宋体" w:eastAsia="宋体"/>
          <w:sz w:val="24"/>
          <w:szCs w:val="24"/>
        </w:rPr>
      </w:pPr>
      <w:r>
        <w:rPr>
          <w:rFonts w:hint="eastAsia" w:ascii="宋体" w:hAnsi="宋体" w:eastAsia="宋体"/>
          <w:sz w:val="24"/>
          <w:szCs w:val="24"/>
        </w:rPr>
        <w:t>我公司与委托人就评估目的、评估对象和评估范围、评估基准日等评估业务基本事项，以及各方的权利、义务等达成一致，并与委托人协商拟定了相应的评估计划，评估报告提交时间及方式等评估业务基本事项。</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kern w:val="0"/>
          <w:sz w:val="24"/>
          <w:szCs w:val="24"/>
          <w:lang w:val="zh-CN" w:eastAsia="zh-CN"/>
        </w:rPr>
      </w:pPr>
      <w:bookmarkStart w:id="32" w:name="_Toc284660064"/>
      <w:bookmarkStart w:id="33" w:name="_Toc284660106"/>
      <w:bookmarkStart w:id="34" w:name="_Toc267862438"/>
      <w:bookmarkStart w:id="35" w:name="_Toc267862693"/>
      <w:r>
        <w:rPr>
          <w:rFonts w:hint="eastAsia" w:ascii="宋体" w:hAnsi="宋体"/>
          <w:kern w:val="0"/>
          <w:sz w:val="24"/>
          <w:szCs w:val="24"/>
          <w:lang w:val="zh-CN" w:eastAsia="zh-CN"/>
        </w:rPr>
        <w:t>前期准备</w:t>
      </w:r>
      <w:bookmarkEnd w:id="32"/>
      <w:bookmarkEnd w:id="33"/>
    </w:p>
    <w:p>
      <w:pPr>
        <w:pStyle w:val="7"/>
        <w:spacing w:line="360" w:lineRule="auto"/>
        <w:ind w:firstLine="360" w:firstLineChars="150"/>
        <w:rPr>
          <w:rFonts w:ascii="宋体" w:hAnsi="宋体" w:eastAsia="宋体"/>
          <w:sz w:val="24"/>
          <w:szCs w:val="24"/>
        </w:rPr>
      </w:pPr>
      <w:r>
        <w:rPr>
          <w:rFonts w:hint="eastAsia" w:ascii="宋体" w:hAnsi="宋体" w:eastAsia="宋体"/>
          <w:sz w:val="24"/>
          <w:szCs w:val="24"/>
        </w:rPr>
        <w:t>根据评估基本事项拟定评估方案、组建评估团队、实施项目相关人员培训。</w:t>
      </w:r>
    </w:p>
    <w:bookmarkEnd w:id="34"/>
    <w:bookmarkEnd w:id="35"/>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kern w:val="0"/>
          <w:sz w:val="24"/>
          <w:szCs w:val="24"/>
          <w:lang w:val="zh-CN" w:eastAsia="zh-CN"/>
        </w:rPr>
      </w:pPr>
      <w:bookmarkStart w:id="36" w:name="_Toc284660065"/>
      <w:bookmarkStart w:id="37" w:name="_Toc284660107"/>
      <w:r>
        <w:rPr>
          <w:rFonts w:hint="eastAsia" w:ascii="宋体" w:hAnsi="宋体"/>
          <w:kern w:val="0"/>
          <w:sz w:val="24"/>
          <w:szCs w:val="24"/>
          <w:lang w:val="zh-CN" w:eastAsia="zh-CN"/>
        </w:rPr>
        <w:t>现场调查</w:t>
      </w:r>
      <w:bookmarkEnd w:id="36"/>
      <w:bookmarkEnd w:id="37"/>
    </w:p>
    <w:p>
      <w:pPr>
        <w:adjustRightInd w:val="0"/>
        <w:snapToGrid w:val="0"/>
        <w:spacing w:line="360" w:lineRule="auto"/>
        <w:ind w:firstLine="480" w:firstLineChars="200"/>
        <w:rPr>
          <w:rFonts w:hint="eastAsia" w:ascii="宋体" w:hAnsi="宋体" w:eastAsia="宋体"/>
          <w:sz w:val="24"/>
          <w:szCs w:val="24"/>
        </w:rPr>
      </w:pPr>
      <w:r>
        <w:rPr>
          <w:rFonts w:hint="eastAsia" w:ascii="宋体" w:hAnsi="宋体" w:eastAsia="宋体"/>
          <w:sz w:val="24"/>
          <w:szCs w:val="24"/>
        </w:rPr>
        <w:t>评估人员在相关当事人代表的带领协助下，于2018年</w:t>
      </w:r>
      <w:r>
        <w:rPr>
          <w:rFonts w:hint="eastAsia" w:ascii="宋体" w:hAnsi="宋体"/>
          <w:sz w:val="24"/>
          <w:szCs w:val="24"/>
          <w:lang w:val="en-US" w:eastAsia="zh-CN"/>
        </w:rPr>
        <w:t>12</w:t>
      </w:r>
      <w:r>
        <w:rPr>
          <w:rFonts w:hint="eastAsia" w:ascii="宋体" w:hAnsi="宋体" w:eastAsia="宋体"/>
          <w:sz w:val="24"/>
          <w:szCs w:val="24"/>
        </w:rPr>
        <w:t>月</w:t>
      </w:r>
      <w:r>
        <w:rPr>
          <w:rFonts w:hint="eastAsia" w:ascii="宋体" w:hAnsi="宋体"/>
          <w:sz w:val="24"/>
          <w:szCs w:val="24"/>
          <w:lang w:val="en-US" w:eastAsia="zh-CN"/>
        </w:rPr>
        <w:t>19</w:t>
      </w:r>
      <w:r>
        <w:rPr>
          <w:rFonts w:hint="eastAsia" w:ascii="宋体" w:hAnsi="宋体" w:eastAsia="宋体"/>
          <w:sz w:val="24"/>
          <w:szCs w:val="24"/>
        </w:rPr>
        <w:t>日进行了现场查勘，对现场实地清查核实的资产状况及其相关信息进行详细记录，并拍照留存。评估对象型号、数量等以当事人现场签字确认的数量和规格等为准。</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snapToGrid w:val="0"/>
          <w:sz w:val="24"/>
          <w:szCs w:val="24"/>
        </w:rPr>
      </w:pPr>
      <w:bookmarkStart w:id="38" w:name="_Toc284660108"/>
      <w:bookmarkStart w:id="39" w:name="_Toc267862694"/>
      <w:bookmarkStart w:id="40" w:name="_Toc267862439"/>
      <w:bookmarkStart w:id="41" w:name="_Toc284660066"/>
      <w:r>
        <w:rPr>
          <w:rFonts w:hint="eastAsia" w:ascii="宋体" w:hAnsi="宋体"/>
          <w:snapToGrid w:val="0"/>
          <w:sz w:val="24"/>
          <w:szCs w:val="24"/>
        </w:rPr>
        <w:t>资料收集</w:t>
      </w:r>
    </w:p>
    <w:p>
      <w:pPr>
        <w:pStyle w:val="7"/>
        <w:adjustRightInd w:val="0"/>
        <w:spacing w:line="360" w:lineRule="auto"/>
        <w:ind w:firstLine="480" w:firstLineChars="200"/>
        <w:rPr>
          <w:rFonts w:ascii="宋体" w:hAnsi="宋体" w:eastAsia="宋体"/>
          <w:sz w:val="24"/>
          <w:szCs w:val="24"/>
        </w:rPr>
      </w:pPr>
      <w:r>
        <w:rPr>
          <w:rFonts w:hint="eastAsia" w:ascii="宋体" w:hAnsi="宋体" w:eastAsia="宋体"/>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snapToGrid w:val="0"/>
          <w:sz w:val="24"/>
          <w:szCs w:val="24"/>
        </w:rPr>
      </w:pPr>
      <w:r>
        <w:rPr>
          <w:rFonts w:hint="eastAsia" w:ascii="宋体" w:hAnsi="宋体"/>
          <w:snapToGrid w:val="0"/>
          <w:sz w:val="24"/>
          <w:szCs w:val="24"/>
        </w:rPr>
        <w:t>评定估算</w:t>
      </w:r>
      <w:bookmarkEnd w:id="38"/>
      <w:bookmarkEnd w:id="39"/>
      <w:bookmarkEnd w:id="40"/>
      <w:bookmarkEnd w:id="41"/>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snapToGrid w:val="0"/>
          <w:sz w:val="24"/>
          <w:szCs w:val="24"/>
        </w:rPr>
      </w:pPr>
      <w:r>
        <w:rPr>
          <w:rFonts w:hint="eastAsia" w:ascii="宋体" w:hAnsi="宋体"/>
          <w:snapToGrid w:val="0"/>
          <w:sz w:val="24"/>
          <w:szCs w:val="24"/>
        </w:rPr>
        <w:t>内部审核</w:t>
      </w:r>
    </w:p>
    <w:p>
      <w:pPr>
        <w:adjustRightInd w:val="0"/>
        <w:snapToGrid w:val="0"/>
        <w:spacing w:line="360" w:lineRule="auto"/>
        <w:ind w:firstLine="480" w:firstLineChars="200"/>
        <w:rPr>
          <w:rFonts w:ascii="宋体" w:hAnsi="宋体"/>
          <w:snapToGrid w:val="0"/>
          <w:sz w:val="24"/>
          <w:szCs w:val="24"/>
        </w:rPr>
      </w:pPr>
      <w:r>
        <w:rPr>
          <w:rFonts w:hint="eastAsia" w:ascii="宋体" w:hAnsi="宋体"/>
          <w:snapToGrid w:val="0"/>
          <w:sz w:val="24"/>
          <w:szCs w:val="24"/>
        </w:rPr>
        <w:t>根据我公司评估业务流程管理办法规定，项目负责人在完成初步资产评估报告后提交公司内部审核。项目负责人在内部审核完成后，出具并提交资产评估报告。</w:t>
      </w:r>
    </w:p>
    <w:p>
      <w:pPr>
        <w:widowControl/>
        <w:numPr>
          <w:ilvl w:val="0"/>
          <w:numId w:val="9"/>
        </w:numPr>
        <w:tabs>
          <w:tab w:val="left" w:pos="1134"/>
          <w:tab w:val="clear" w:pos="1394"/>
        </w:tabs>
        <w:adjustRightInd w:val="0"/>
        <w:snapToGrid w:val="0"/>
        <w:spacing w:line="360" w:lineRule="auto"/>
        <w:ind w:left="0" w:firstLine="480" w:firstLineChars="200"/>
        <w:outlineLvl w:val="2"/>
        <w:rPr>
          <w:rFonts w:ascii="宋体" w:hAnsi="宋体"/>
          <w:snapToGrid w:val="0"/>
          <w:sz w:val="24"/>
          <w:szCs w:val="24"/>
        </w:rPr>
      </w:pPr>
      <w:r>
        <w:rPr>
          <w:rFonts w:hint="eastAsia" w:ascii="宋体" w:hAnsi="宋体"/>
          <w:snapToGrid w:val="0"/>
          <w:sz w:val="24"/>
          <w:szCs w:val="24"/>
        </w:rPr>
        <w:t>评估档案归档</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宋体" w:hAnsi="宋体"/>
          <w:snapToGrid w:val="0"/>
          <w:sz w:val="24"/>
          <w:szCs w:val="24"/>
        </w:rPr>
        <w:t>按照资产评估准则的要求对工作底稿、资产评估报告及其他相关资料进行整理，形成资产评估档案。</w:t>
      </w:r>
    </w:p>
    <w:p>
      <w:pPr>
        <w:pStyle w:val="3"/>
        <w:ind w:firstLine="482"/>
      </w:pPr>
      <w:bookmarkStart w:id="42" w:name="_Toc334186095"/>
      <w:bookmarkStart w:id="43" w:name="_Toc493752488"/>
      <w:r>
        <w:t>九、</w:t>
      </w:r>
      <w:bookmarkStart w:id="44" w:name="三11"/>
      <w:r>
        <w:t>评估假设</w:t>
      </w:r>
      <w:bookmarkEnd w:id="42"/>
      <w:bookmarkEnd w:id="43"/>
      <w:bookmarkEnd w:id="44"/>
    </w:p>
    <w:p>
      <w:pPr>
        <w:adjustRightInd w:val="0"/>
        <w:snapToGrid w:val="0"/>
        <w:spacing w:line="360" w:lineRule="auto"/>
        <w:ind w:firstLine="480" w:firstLineChars="200"/>
        <w:rPr>
          <w:rFonts w:ascii="宋体" w:hAnsi="宋体"/>
          <w:sz w:val="24"/>
          <w:szCs w:val="24"/>
        </w:rPr>
      </w:pPr>
      <w:bookmarkStart w:id="45" w:name="_Toc267862697"/>
      <w:bookmarkStart w:id="46" w:name="_Toc267862442"/>
      <w:r>
        <w:rPr>
          <w:rFonts w:ascii="宋体" w:hAnsi="宋体"/>
          <w:sz w:val="24"/>
          <w:szCs w:val="24"/>
        </w:rPr>
        <w:t>本</w:t>
      </w:r>
      <w:r>
        <w:rPr>
          <w:rFonts w:hint="eastAsia" w:ascii="宋体" w:hAnsi="宋体"/>
          <w:sz w:val="24"/>
          <w:szCs w:val="24"/>
        </w:rPr>
        <w:t>资产</w:t>
      </w:r>
      <w:r>
        <w:rPr>
          <w:rFonts w:ascii="宋体" w:hAnsi="宋体"/>
          <w:sz w:val="24"/>
          <w:szCs w:val="24"/>
        </w:rPr>
        <w:t>评估报告</w:t>
      </w:r>
      <w:r>
        <w:rPr>
          <w:rFonts w:hint="eastAsia" w:ascii="宋体" w:hAnsi="宋体"/>
          <w:sz w:val="24"/>
          <w:szCs w:val="24"/>
        </w:rPr>
        <w:t>分析估算采用的</w:t>
      </w:r>
      <w:r>
        <w:rPr>
          <w:rFonts w:ascii="宋体" w:hAnsi="宋体"/>
          <w:sz w:val="24"/>
          <w:szCs w:val="24"/>
        </w:rPr>
        <w:t>假设</w:t>
      </w:r>
      <w:r>
        <w:rPr>
          <w:rFonts w:hint="eastAsia" w:ascii="宋体" w:hAnsi="宋体"/>
          <w:sz w:val="24"/>
          <w:szCs w:val="24"/>
        </w:rPr>
        <w:t>条件如下</w:t>
      </w:r>
      <w:r>
        <w:rPr>
          <w:rFonts w:ascii="宋体" w:hAnsi="宋体"/>
          <w:sz w:val="24"/>
          <w:szCs w:val="24"/>
        </w:rPr>
        <w:t>：</w:t>
      </w:r>
    </w:p>
    <w:p>
      <w:pPr>
        <w:widowControl/>
        <w:numPr>
          <w:ilvl w:val="0"/>
          <w:numId w:val="10"/>
        </w:numPr>
        <w:tabs>
          <w:tab w:val="left" w:pos="1134"/>
          <w:tab w:val="clear" w:pos="1290"/>
        </w:tabs>
        <w:adjustRightInd w:val="0"/>
        <w:snapToGrid w:val="0"/>
        <w:spacing w:line="360" w:lineRule="auto"/>
        <w:ind w:left="0" w:firstLine="480" w:firstLineChars="200"/>
        <w:textAlignment w:val="bottom"/>
        <w:outlineLvl w:val="2"/>
        <w:rPr>
          <w:rFonts w:ascii="宋体" w:hAnsi="宋体"/>
          <w:color w:val="auto"/>
          <w:sz w:val="24"/>
          <w:szCs w:val="24"/>
          <w:highlight w:val="none"/>
        </w:rPr>
      </w:pPr>
      <w:r>
        <w:rPr>
          <w:rFonts w:ascii="宋体" w:hAnsi="宋体"/>
          <w:color w:val="auto"/>
          <w:sz w:val="24"/>
          <w:szCs w:val="24"/>
          <w:highlight w:val="none"/>
        </w:rPr>
        <w:t>基本假设</w:t>
      </w:r>
    </w:p>
    <w:p>
      <w:pPr>
        <w:widowControl/>
        <w:numPr>
          <w:ilvl w:val="0"/>
          <w:numId w:val="11"/>
        </w:numPr>
        <w:adjustRightInd w:val="0"/>
        <w:snapToGrid w:val="0"/>
        <w:spacing w:line="360" w:lineRule="auto"/>
        <w:ind w:left="0" w:firstLine="480" w:firstLineChars="200"/>
        <w:rPr>
          <w:rFonts w:ascii="宋体" w:hAnsi="宋体"/>
          <w:sz w:val="24"/>
          <w:szCs w:val="24"/>
        </w:rPr>
      </w:pPr>
      <w:r>
        <w:rPr>
          <w:rFonts w:ascii="宋体" w:hAnsi="宋体"/>
          <w:sz w:val="24"/>
          <w:szCs w:val="24"/>
        </w:rPr>
        <w:t xml:space="preserve">公开市场假设，即假定在市场上交易的资产或拟在市场上交易的资产，资产交易双方彼此地位平等，彼此都有获取足够市场信息的机会和时间，以便于对资产的功能、用途及其交易价格等作出理智的判断； </w:t>
      </w:r>
    </w:p>
    <w:p>
      <w:pPr>
        <w:widowControl/>
        <w:numPr>
          <w:ilvl w:val="0"/>
          <w:numId w:val="11"/>
        </w:numPr>
        <w:adjustRightInd w:val="0"/>
        <w:snapToGrid w:val="0"/>
        <w:spacing w:line="360" w:lineRule="auto"/>
        <w:ind w:left="0" w:firstLine="480" w:firstLineChars="200"/>
        <w:rPr>
          <w:rFonts w:ascii="宋体" w:hAnsi="宋体"/>
          <w:sz w:val="24"/>
          <w:szCs w:val="24"/>
        </w:rPr>
      </w:pPr>
      <w:r>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r>
        <w:rPr>
          <w:rFonts w:hint="eastAsia" w:ascii="宋体" w:hAnsi="宋体"/>
          <w:sz w:val="24"/>
          <w:szCs w:val="24"/>
        </w:rPr>
        <w:t xml:space="preserve">    </w:t>
      </w:r>
    </w:p>
    <w:p>
      <w:pPr>
        <w:widowControl/>
        <w:numPr>
          <w:ilvl w:val="0"/>
          <w:numId w:val="12"/>
        </w:numPr>
        <w:tabs>
          <w:tab w:val="left" w:pos="1134"/>
        </w:tabs>
        <w:adjustRightInd w:val="0"/>
        <w:snapToGrid w:val="0"/>
        <w:spacing w:line="360" w:lineRule="auto"/>
        <w:ind w:leftChars="200"/>
        <w:textAlignment w:val="bottom"/>
        <w:outlineLvl w:val="2"/>
        <w:rPr>
          <w:rFonts w:hint="eastAsia" w:ascii="宋体" w:hAnsi="宋体" w:eastAsia="宋体"/>
          <w:b w:val="0"/>
          <w:color w:val="000000"/>
          <w:w w:val="100"/>
          <w:sz w:val="24"/>
          <w:lang w:eastAsia="zh-CN"/>
        </w:rPr>
      </w:pPr>
      <w:bookmarkStart w:id="47" w:name="_Toc284660112"/>
      <w:bookmarkStart w:id="48" w:name="_Toc284660070"/>
      <w:r>
        <w:rPr>
          <w:rFonts w:hint="eastAsia" w:ascii="宋体" w:hAnsi="宋体"/>
          <w:b w:val="0"/>
          <w:color w:val="000000"/>
          <w:w w:val="100"/>
          <w:sz w:val="24"/>
          <w:lang w:val="en-US" w:eastAsia="zh-CN"/>
        </w:rPr>
        <w:t>拆除</w:t>
      </w:r>
      <w:r>
        <w:rPr>
          <w:rFonts w:hint="eastAsia" w:ascii="宋体" w:hAnsi="宋体" w:eastAsia="宋体"/>
          <w:b w:val="0"/>
          <w:color w:val="000000"/>
          <w:w w:val="100"/>
          <w:sz w:val="24"/>
          <w:lang w:eastAsia="zh-CN"/>
        </w:rPr>
        <w:t>移地使用假设：假设可使用设备将在产权变动或资产业务发生后，资产</w:t>
      </w:r>
    </w:p>
    <w:p>
      <w:pPr>
        <w:widowControl/>
        <w:numPr>
          <w:ilvl w:val="0"/>
          <w:numId w:val="0"/>
        </w:numPr>
        <w:tabs>
          <w:tab w:val="left" w:pos="1134"/>
        </w:tabs>
        <w:adjustRightInd w:val="0"/>
        <w:snapToGrid w:val="0"/>
        <w:spacing w:line="360" w:lineRule="auto"/>
        <w:textAlignment w:val="bottom"/>
        <w:outlineLvl w:val="2"/>
        <w:rPr>
          <w:rFonts w:ascii="宋体" w:hAnsi="宋体"/>
          <w:sz w:val="24"/>
          <w:szCs w:val="24"/>
          <w:highlight w:val="yellow"/>
        </w:rPr>
      </w:pPr>
      <w:r>
        <w:rPr>
          <w:rFonts w:hint="eastAsia" w:ascii="宋体" w:hAnsi="宋体" w:eastAsia="宋体"/>
          <w:b w:val="0"/>
          <w:color w:val="000000"/>
          <w:w w:val="100"/>
          <w:sz w:val="24"/>
          <w:lang w:eastAsia="zh-CN"/>
        </w:rPr>
        <w:t>的空间位置转移后继续使用</w:t>
      </w:r>
      <w:r>
        <w:rPr>
          <w:rFonts w:hint="eastAsia" w:ascii="宋体" w:hAnsi="宋体"/>
          <w:b w:val="0"/>
          <w:color w:val="000000"/>
          <w:w w:val="100"/>
          <w:sz w:val="24"/>
          <w:lang w:eastAsia="zh-CN"/>
        </w:rPr>
        <w:t>。</w:t>
      </w:r>
    </w:p>
    <w:p>
      <w:pPr>
        <w:widowControl/>
        <w:numPr>
          <w:ilvl w:val="0"/>
          <w:numId w:val="10"/>
        </w:numPr>
        <w:tabs>
          <w:tab w:val="left" w:pos="1134"/>
          <w:tab w:val="clear" w:pos="1290"/>
        </w:tabs>
        <w:adjustRightInd w:val="0"/>
        <w:snapToGrid w:val="0"/>
        <w:spacing w:line="360" w:lineRule="auto"/>
        <w:ind w:left="0" w:firstLine="480" w:firstLineChars="200"/>
        <w:textAlignment w:val="bottom"/>
        <w:outlineLvl w:val="2"/>
        <w:rPr>
          <w:rFonts w:ascii="宋体" w:hAnsi="宋体"/>
          <w:sz w:val="24"/>
          <w:szCs w:val="24"/>
          <w:highlight w:val="none"/>
        </w:rPr>
      </w:pPr>
      <w:r>
        <w:rPr>
          <w:rFonts w:hint="eastAsia" w:ascii="宋体" w:hAnsi="宋体"/>
          <w:sz w:val="24"/>
          <w:szCs w:val="24"/>
          <w:highlight w:val="none"/>
        </w:rPr>
        <w:t>一般假设</w:t>
      </w:r>
      <w:bookmarkEnd w:id="45"/>
      <w:bookmarkEnd w:id="46"/>
      <w:bookmarkEnd w:id="47"/>
      <w:bookmarkEnd w:id="48"/>
      <w:bookmarkStart w:id="49" w:name="_Toc284660071"/>
      <w:bookmarkStart w:id="50" w:name="_Toc284660113"/>
      <w:bookmarkStart w:id="51" w:name="_Toc267862443"/>
      <w:bookmarkStart w:id="52" w:name="_Toc267862698"/>
    </w:p>
    <w:p>
      <w:pPr>
        <w:widowControl/>
        <w:numPr>
          <w:ilvl w:val="2"/>
          <w:numId w:val="13"/>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假设国家现行的有关法律法规及政策、国家宏观经济形势无重大变化，本次交易各方所处地区的政治、经济和社会环境无重大变化；</w:t>
      </w:r>
    </w:p>
    <w:p>
      <w:pPr>
        <w:widowControl/>
        <w:numPr>
          <w:ilvl w:val="2"/>
          <w:numId w:val="13"/>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假设和产权持有人相关的利率、汇率、赋税基准及税率、政策性征收费用等评估基准日后不发生重大变化；</w:t>
      </w:r>
    </w:p>
    <w:p>
      <w:pPr>
        <w:widowControl/>
        <w:numPr>
          <w:ilvl w:val="0"/>
          <w:numId w:val="11"/>
        </w:numPr>
        <w:adjustRightInd w:val="0"/>
        <w:snapToGrid w:val="0"/>
        <w:spacing w:line="360" w:lineRule="auto"/>
        <w:ind w:left="0" w:firstLine="480" w:firstLineChars="200"/>
        <w:rPr>
          <w:rFonts w:ascii="宋体" w:hAnsi="宋体"/>
          <w:sz w:val="24"/>
          <w:szCs w:val="24"/>
        </w:rPr>
      </w:pPr>
      <w:r>
        <w:rPr>
          <w:rFonts w:ascii="宋体" w:hAnsi="宋体"/>
          <w:sz w:val="24"/>
          <w:szCs w:val="24"/>
        </w:rPr>
        <w:t>假设本次评估测算的各项参数取值是按照现时价格体系确定的，未考虑基准日后通货膨胀因素的影响；</w:t>
      </w:r>
    </w:p>
    <w:p>
      <w:pPr>
        <w:widowControl/>
        <w:numPr>
          <w:ilvl w:val="0"/>
          <w:numId w:val="11"/>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假设评估基准日后无不可抗力及不可预见因素对产权持有人造成重大不利影响。</w:t>
      </w:r>
    </w:p>
    <w:bookmarkEnd w:id="49"/>
    <w:bookmarkEnd w:id="50"/>
    <w:bookmarkEnd w:id="51"/>
    <w:bookmarkEnd w:id="52"/>
    <w:p>
      <w:pPr>
        <w:tabs>
          <w:tab w:val="left" w:pos="0"/>
        </w:tabs>
        <w:spacing w:line="360" w:lineRule="auto"/>
        <w:ind w:firstLine="480" w:firstLineChars="200"/>
        <w:rPr>
          <w:rFonts w:asciiTheme="minorEastAsia" w:hAnsiTheme="minorEastAsia" w:eastAsiaTheme="minorEastAsia"/>
          <w:sz w:val="24"/>
          <w:szCs w:val="24"/>
        </w:rPr>
      </w:pPr>
      <w:r>
        <w:rPr>
          <w:rFonts w:ascii="宋体" w:hAnsi="宋体"/>
          <w:sz w:val="24"/>
          <w:szCs w:val="24"/>
        </w:rPr>
        <w:t>本</w:t>
      </w:r>
      <w:r>
        <w:rPr>
          <w:rFonts w:hint="eastAsia" w:ascii="宋体" w:hAnsi="宋体"/>
          <w:sz w:val="24"/>
          <w:szCs w:val="24"/>
        </w:rPr>
        <w:t>资产</w:t>
      </w:r>
      <w:r>
        <w:rPr>
          <w:rFonts w:ascii="宋体" w:hAnsi="宋体"/>
          <w:sz w:val="24"/>
          <w:szCs w:val="24"/>
        </w:rPr>
        <w:t>评估报告</w:t>
      </w:r>
      <w:r>
        <w:rPr>
          <w:rFonts w:hint="eastAsia" w:ascii="宋体" w:hAnsi="宋体"/>
          <w:sz w:val="24"/>
          <w:szCs w:val="24"/>
        </w:rPr>
        <w:t>评估</w:t>
      </w:r>
      <w:r>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pPr>
        <w:pStyle w:val="3"/>
        <w:ind w:firstLine="482"/>
      </w:pPr>
      <w:bookmarkStart w:id="53" w:name="_Toc493752489"/>
      <w:bookmarkStart w:id="54" w:name="_Toc334186096"/>
      <w:r>
        <w:t>十、</w:t>
      </w:r>
      <w:bookmarkStart w:id="55" w:name="三12"/>
      <w:r>
        <w:t>评估结论</w:t>
      </w:r>
      <w:bookmarkEnd w:id="53"/>
      <w:bookmarkEnd w:id="54"/>
      <w:bookmarkEnd w:id="55"/>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根据以上评估工作得出评估结论如下：</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评估基准日,委托评估的粉条加工设备评估价值为4.05万元</w:t>
      </w:r>
      <w:r>
        <w:rPr>
          <w:rFonts w:hint="eastAsia" w:ascii="宋体" w:hAnsi="宋体"/>
          <w:kern w:val="0"/>
          <w:sz w:val="24"/>
          <w:szCs w:val="24"/>
        </w:rPr>
        <w:t>。</w:t>
      </w:r>
    </w:p>
    <w:p>
      <w:pPr>
        <w:pStyle w:val="3"/>
        <w:ind w:firstLine="482"/>
      </w:pPr>
      <w:bookmarkStart w:id="56" w:name="_Toc334186097"/>
      <w:bookmarkStart w:id="57" w:name="_Toc493752490"/>
      <w:r>
        <w:t>十一、</w:t>
      </w:r>
      <w:bookmarkStart w:id="58" w:name="三13"/>
      <w:r>
        <w:t>特别事项说明</w:t>
      </w:r>
      <w:bookmarkEnd w:id="56"/>
      <w:bookmarkEnd w:id="57"/>
      <w:bookmarkEnd w:id="58"/>
    </w:p>
    <w:p>
      <w:pPr>
        <w:tabs>
          <w:tab w:val="left" w:pos="0"/>
        </w:tabs>
        <w:spacing w:line="360" w:lineRule="auto"/>
        <w:ind w:firstLine="480" w:firstLineChars="200"/>
        <w:rPr>
          <w:rFonts w:ascii="宋体" w:hAnsi="宋体"/>
          <w:color w:val="FF0000"/>
          <w:sz w:val="24"/>
          <w:szCs w:val="24"/>
        </w:rPr>
      </w:pPr>
      <w:r>
        <w:rPr>
          <w:rFonts w:hint="eastAsia" w:ascii="宋体" w:hAnsi="宋体"/>
          <w:sz w:val="24"/>
          <w:szCs w:val="24"/>
        </w:rPr>
        <w:t>以下为在评估过程中已发现可能影响评估结论但非评估人员执业水平和专业能力所能评定估算的有关事项：</w:t>
      </w:r>
    </w:p>
    <w:p>
      <w:pPr>
        <w:pStyle w:val="10"/>
        <w:widowControl/>
        <w:numPr>
          <w:ilvl w:val="0"/>
          <w:numId w:val="14"/>
        </w:numPr>
        <w:adjustRightInd w:val="0"/>
        <w:snapToGrid w:val="0"/>
        <w:spacing w:line="360" w:lineRule="auto"/>
        <w:ind w:left="0" w:firstLine="480" w:firstLineChars="200"/>
        <w:rPr>
          <w:rFonts w:ascii="宋体" w:hAnsi="宋体"/>
          <w:color w:val="auto"/>
          <w:sz w:val="24"/>
          <w:szCs w:val="24"/>
        </w:rPr>
      </w:pPr>
      <w:r>
        <w:rPr>
          <w:rFonts w:hint="eastAsia" w:ascii="宋体" w:hAnsi="宋体"/>
          <w:color w:val="auto"/>
          <w:sz w:val="24"/>
          <w:szCs w:val="24"/>
        </w:rPr>
        <w:t>竞买人在公告规定的咨询看样时间内进行实地查看，竞买人应认真咨询查看，了解标的物现状，一旦参加竞买，即表明已完全了解标的物的情况，接受标的物的一切现状，并愿承担相关责任。评估机构及评估人员不承担标的物瑕疵保证；</w:t>
      </w:r>
    </w:p>
    <w:p>
      <w:pPr>
        <w:pStyle w:val="10"/>
        <w:widowControl/>
        <w:numPr>
          <w:ilvl w:val="0"/>
          <w:numId w:val="14"/>
        </w:numPr>
        <w:adjustRightInd w:val="0"/>
        <w:snapToGrid w:val="0"/>
        <w:spacing w:line="360" w:lineRule="auto"/>
        <w:ind w:left="0" w:firstLine="480" w:firstLineChars="200"/>
        <w:rPr>
          <w:rFonts w:ascii="宋体" w:hAnsi="宋体"/>
          <w:color w:val="auto"/>
          <w:sz w:val="24"/>
          <w:szCs w:val="24"/>
        </w:rPr>
      </w:pPr>
      <w:r>
        <w:rPr>
          <w:rFonts w:hint="eastAsia" w:ascii="宋体" w:hAnsi="宋体"/>
          <w:color w:val="auto"/>
          <w:sz w:val="24"/>
          <w:szCs w:val="24"/>
        </w:rPr>
        <w:t>青岛海事法院（2018）青海法技鉴字第133号鉴定委托书的内容产权持有人为高密市康麦源食品有限公司，但受条件限制，我们没有取得购销合同、发票等直接产权证明材料；</w:t>
      </w:r>
    </w:p>
    <w:p>
      <w:pPr>
        <w:pStyle w:val="10"/>
        <w:widowControl/>
        <w:numPr>
          <w:ilvl w:val="0"/>
          <w:numId w:val="14"/>
        </w:numPr>
        <w:adjustRightInd w:val="0"/>
        <w:snapToGrid w:val="0"/>
        <w:spacing w:line="360" w:lineRule="auto"/>
        <w:ind w:left="0" w:firstLine="480" w:firstLineChars="200"/>
        <w:rPr>
          <w:rFonts w:ascii="宋体" w:hAnsi="宋体"/>
          <w:color w:val="auto"/>
          <w:sz w:val="24"/>
          <w:szCs w:val="24"/>
        </w:rPr>
      </w:pPr>
      <w:r>
        <w:rPr>
          <w:rFonts w:hint="eastAsia" w:ascii="宋体" w:hAnsi="宋体"/>
          <w:color w:val="auto"/>
          <w:sz w:val="24"/>
          <w:szCs w:val="24"/>
        </w:rPr>
        <w:t>我们已对本评估报告中的评估对象进行了实地勘察，但我们对评估对象的现场勘察仅限于其外观和现场状态及使用状况，对被遮盖、未暴露及难以接触到的部分，依据委托方提供的资料进行评估，我们不承担对评估对象技术质量进行鉴定的责任</w:t>
      </w:r>
      <w:r>
        <w:rPr>
          <w:rFonts w:hint="eastAsia" w:ascii="宋体" w:hAnsi="宋体"/>
          <w:color w:val="auto"/>
          <w:sz w:val="24"/>
          <w:szCs w:val="24"/>
          <w:lang w:eastAsia="zh-CN"/>
        </w:rPr>
        <w:t>。</w:t>
      </w:r>
    </w:p>
    <w:p>
      <w:pPr>
        <w:pStyle w:val="10"/>
        <w:widowControl/>
        <w:numPr>
          <w:ilvl w:val="0"/>
          <w:numId w:val="14"/>
        </w:numPr>
        <w:adjustRightInd w:val="0"/>
        <w:snapToGrid w:val="0"/>
        <w:spacing w:line="360" w:lineRule="auto"/>
        <w:ind w:left="0" w:firstLine="480" w:firstLineChars="200"/>
        <w:rPr>
          <w:rFonts w:ascii="宋体" w:hAnsi="宋体"/>
          <w:color w:val="auto"/>
          <w:sz w:val="24"/>
          <w:szCs w:val="24"/>
        </w:rPr>
      </w:pPr>
      <w:r>
        <w:rPr>
          <w:rFonts w:hint="eastAsia" w:ascii="宋体" w:hAnsi="宋体"/>
          <w:color w:val="auto"/>
          <w:sz w:val="24"/>
          <w:szCs w:val="24"/>
        </w:rPr>
        <w:t>其他需要说明的问题</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w:t>
      </w:r>
      <w:r>
        <w:rPr>
          <w:rFonts w:asciiTheme="minorEastAsia" w:hAnsiTheme="minorEastAsia" w:eastAsiaTheme="minorEastAsia"/>
          <w:sz w:val="24"/>
          <w:szCs w:val="24"/>
        </w:rPr>
        <w:t>本评估报告是在独立、客观公正、科学的原则下做出的，遵循了有关的法律、法规和资产评估准则的规定。</w:t>
      </w:r>
      <w:r>
        <w:rPr>
          <w:rFonts w:hint="eastAsia" w:asciiTheme="minorEastAsia" w:hAnsiTheme="minorEastAsia" w:eastAsiaTheme="minorEastAsia"/>
          <w:sz w:val="24"/>
          <w:szCs w:val="24"/>
        </w:rPr>
        <w:t>评估机构及其评估专业人员</w:t>
      </w:r>
      <w:r>
        <w:rPr>
          <w:rFonts w:asciiTheme="minorEastAsia" w:hAnsiTheme="minorEastAsia" w:eastAsiaTheme="minorEastAsia"/>
          <w:sz w:val="24"/>
          <w:szCs w:val="24"/>
        </w:rPr>
        <w:t>与委托人及有关当事人之间无任何特殊利害关系，评估人员在整个评估过程中，始终恪守职业道德和规范。</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w:t>
      </w:r>
      <w:r>
        <w:rPr>
          <w:rFonts w:asciiTheme="minorEastAsia" w:hAnsiTheme="minorEastAsia" w:eastAsiaTheme="minorEastAsia"/>
          <w:sz w:val="24"/>
          <w:szCs w:val="24"/>
        </w:rPr>
        <w:t>本评估报告中涉及的有关企业经营的一般资料、产权资料、政策文件及相关材料由委托人及产权持有人负责提供，对其真实性、合法性由委托人及产权持有人承担相关的法律责任；同时根据</w:t>
      </w:r>
      <w:r>
        <w:rPr>
          <w:rFonts w:hint="eastAsia" w:asciiTheme="minorEastAsia" w:hAnsiTheme="minorEastAsia" w:eastAsiaTheme="minor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w:t>
      </w:r>
      <w:r>
        <w:rPr>
          <w:rFonts w:asciiTheme="minorEastAsia" w:hAnsiTheme="minorEastAsia" w:eastAsiaTheme="minorEastAsia"/>
          <w:sz w:val="24"/>
          <w:szCs w:val="24"/>
        </w:rPr>
        <w:t>对企业存在的可能影响资产评估</w:t>
      </w:r>
      <w:r>
        <w:rPr>
          <w:rFonts w:hint="eastAsia" w:asciiTheme="minorEastAsia" w:hAnsiTheme="minorEastAsia" w:eastAsiaTheme="minorEastAsia"/>
          <w:sz w:val="24"/>
          <w:szCs w:val="24"/>
        </w:rPr>
        <w:t>价</w:t>
      </w:r>
      <w:r>
        <w:rPr>
          <w:rFonts w:asciiTheme="minorEastAsia" w:hAnsiTheme="minorEastAsia" w:eastAsiaTheme="minorEastAsia"/>
          <w:sz w:val="24"/>
          <w:szCs w:val="24"/>
        </w:rPr>
        <w:t>值的瑕疵事项，在企业委托时未作特殊说明而评估人员已履行评估程序仍无法获知的情况下，评估机构及评估人员不承担相关责任。</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asciiTheme="minorEastAsia" w:hAnsiTheme="minorEastAsia" w:eastAsiaTheme="minorEastAsia"/>
          <w:sz w:val="24"/>
          <w:szCs w:val="24"/>
        </w:rPr>
        <w:t>本评估报告只对结论本身符合职业规范要求负责，而不对经济业务定价决策负责，资产评估结论不应该被认为是对评估对象可实现价格的保证。</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w:t>
      </w:r>
      <w:r>
        <w:rPr>
          <w:rFonts w:asciiTheme="minorEastAsia" w:hAnsiTheme="minorEastAsia" w:eastAsiaTheme="minorEastAsia"/>
          <w:sz w:val="24"/>
          <w:szCs w:val="24"/>
        </w:rPr>
        <w:t>本评估结论由本公司出具。受本公司</w:t>
      </w:r>
      <w:r>
        <w:rPr>
          <w:rFonts w:hint="eastAsia" w:asciiTheme="minorEastAsia" w:hAnsiTheme="minorEastAsia" w:eastAsiaTheme="minorEastAsia"/>
          <w:sz w:val="24"/>
          <w:szCs w:val="24"/>
        </w:rPr>
        <w:t>评估专业人员</w:t>
      </w:r>
      <w:r>
        <w:rPr>
          <w:rFonts w:asciiTheme="minorEastAsia" w:hAnsiTheme="minorEastAsia" w:eastAsiaTheme="minorEastAsia"/>
          <w:sz w:val="24"/>
          <w:szCs w:val="24"/>
        </w:rPr>
        <w:t>的执业水平和能力的影响，评估结论不作为相关交易及其它经济行为的唯一依据，仅作为有关当事人</w:t>
      </w:r>
      <w:r>
        <w:rPr>
          <w:rFonts w:hint="eastAsia" w:asciiTheme="minorEastAsia" w:hAnsiTheme="minorEastAsia" w:eastAsiaTheme="minorEastAsia"/>
          <w:sz w:val="24"/>
          <w:szCs w:val="24"/>
        </w:rPr>
        <w:t>经济行为</w:t>
      </w:r>
      <w:r>
        <w:rPr>
          <w:rFonts w:asciiTheme="minorEastAsia" w:hAnsiTheme="minorEastAsia" w:eastAsiaTheme="minorEastAsia"/>
          <w:sz w:val="24"/>
          <w:szCs w:val="24"/>
        </w:rPr>
        <w:t>价值参考。</w:t>
      </w: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w:t>
      </w:r>
      <w:r>
        <w:rPr>
          <w:rFonts w:hint="eastAsia" w:asciiTheme="minorEastAsia" w:hAnsiTheme="minorEastAsia" w:eastAsiaTheme="minorEastAsia"/>
          <w:sz w:val="24"/>
          <w:szCs w:val="24"/>
        </w:rPr>
        <w:t>.</w:t>
      </w:r>
      <w:r>
        <w:rPr>
          <w:rFonts w:asciiTheme="minorEastAsia" w:hAnsiTheme="minorEastAsia" w:eastAsiaTheme="minorEastAsia"/>
          <w:sz w:val="24"/>
          <w:szCs w:val="24"/>
        </w:rPr>
        <w:t>评估报告附件与报告正文配套使用方为有效。</w:t>
      </w:r>
    </w:p>
    <w:p>
      <w:pPr>
        <w:tabs>
          <w:tab w:val="left" w:pos="0"/>
        </w:tabs>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资产评估报告使用人应注意以上特别事项对评估结论产生的影响。</w:t>
      </w:r>
    </w:p>
    <w:p>
      <w:pPr>
        <w:pStyle w:val="3"/>
        <w:ind w:firstLine="482"/>
      </w:pPr>
      <w:bookmarkStart w:id="59" w:name="_Toc493752491"/>
      <w:bookmarkStart w:id="60" w:name="_Toc334186098"/>
      <w:r>
        <w:t>十二、</w:t>
      </w:r>
      <w:bookmarkStart w:id="61" w:name="三14"/>
      <w:r>
        <w:rPr>
          <w:rFonts w:hint="eastAsia"/>
        </w:rPr>
        <w:t>资产</w:t>
      </w:r>
      <w:r>
        <w:t>评估报告使用限制说明</w:t>
      </w:r>
      <w:bookmarkEnd w:id="59"/>
      <w:bookmarkEnd w:id="60"/>
      <w:bookmarkEnd w:id="61"/>
    </w:p>
    <w:p>
      <w:pPr>
        <w:pStyle w:val="10"/>
        <w:widowControl/>
        <w:numPr>
          <w:ilvl w:val="0"/>
          <w:numId w:val="15"/>
        </w:numPr>
        <w:adjustRightInd w:val="0"/>
        <w:snapToGrid w:val="0"/>
        <w:spacing w:line="360" w:lineRule="auto"/>
        <w:ind w:left="0" w:firstLine="480" w:firstLineChars="200"/>
        <w:rPr>
          <w:rFonts w:ascii="宋体" w:hAnsi="宋体"/>
          <w:sz w:val="24"/>
          <w:szCs w:val="24"/>
        </w:rPr>
      </w:pPr>
      <w:bookmarkStart w:id="62" w:name="_Toc334186099"/>
      <w:bookmarkStart w:id="63" w:name="_Toc493752492"/>
      <w:r>
        <w:rPr>
          <w:rFonts w:hint="eastAsia" w:ascii="宋体" w:hAnsi="宋体"/>
          <w:sz w:val="24"/>
          <w:szCs w:val="24"/>
        </w:rPr>
        <w:t xml:space="preserve"> 本资产评估报告只能用于资产评估报告载明的评估目的和用途、只能由资产评估报告载明的资产评估报告使用人使用。本资产评估报告的全部或者部分内容被摘抄、引用或者被披露于公开媒体，需评估机构审阅相关内容，法律、法规规定以及相关当事方另有约定的除外；</w:t>
      </w:r>
    </w:p>
    <w:p>
      <w:pPr>
        <w:pStyle w:val="10"/>
        <w:widowControl/>
        <w:numPr>
          <w:ilvl w:val="0"/>
          <w:numId w:val="15"/>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委托人或者其他资产评估报告使用人未按照法律、行政法规规定和资产评估报告载明的使用范围使用资产评估报告的，资产评估机构及其资产评估专业人员不承担责任；</w:t>
      </w:r>
    </w:p>
    <w:p>
      <w:pPr>
        <w:pStyle w:val="10"/>
        <w:widowControl/>
        <w:numPr>
          <w:ilvl w:val="0"/>
          <w:numId w:val="15"/>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除委托人、资产评估委托合同中约定的其他资产评估报告使用人和法律、行政法规规定的资产评估报告使用人之外，其他任何机构和个人不能成为资产评估报告的使用人；</w:t>
      </w:r>
    </w:p>
    <w:p>
      <w:pPr>
        <w:pStyle w:val="10"/>
        <w:widowControl/>
        <w:numPr>
          <w:ilvl w:val="0"/>
          <w:numId w:val="15"/>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资产评估报告使用人应当正确理解评估结论。评估结论不等同于评估对象可实现价格，评估结论不应当被认为是对评估对象可实现价格的保证；</w:t>
      </w:r>
    </w:p>
    <w:p>
      <w:pPr>
        <w:pStyle w:val="10"/>
        <w:widowControl/>
        <w:numPr>
          <w:ilvl w:val="0"/>
          <w:numId w:val="15"/>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本资产评估报告经承办该评估业务的资产评估师签名并加盖评估机构公章</w:t>
      </w:r>
      <w:bookmarkStart w:id="64" w:name="OLE_LINK42"/>
      <w:r>
        <w:rPr>
          <w:rFonts w:hint="eastAsia" w:ascii="宋体" w:hAnsi="宋体"/>
          <w:sz w:val="24"/>
          <w:szCs w:val="24"/>
        </w:rPr>
        <w:t>，后方可正式使用</w:t>
      </w:r>
      <w:bookmarkEnd w:id="64"/>
      <w:r>
        <w:rPr>
          <w:rFonts w:hint="eastAsia" w:ascii="宋体" w:hAnsi="宋体"/>
          <w:sz w:val="24"/>
          <w:szCs w:val="24"/>
        </w:rPr>
        <w:t>；</w:t>
      </w:r>
    </w:p>
    <w:p>
      <w:pPr>
        <w:pStyle w:val="10"/>
        <w:widowControl/>
        <w:numPr>
          <w:ilvl w:val="0"/>
          <w:numId w:val="15"/>
        </w:numPr>
        <w:adjustRightInd w:val="0"/>
        <w:snapToGrid w:val="0"/>
        <w:spacing w:line="360" w:lineRule="auto"/>
        <w:ind w:left="0" w:firstLine="480" w:firstLineChars="200"/>
        <w:rPr>
          <w:rFonts w:ascii="宋体" w:hAnsi="宋体"/>
          <w:sz w:val="24"/>
          <w:szCs w:val="24"/>
        </w:rPr>
      </w:pPr>
      <w:r>
        <w:rPr>
          <w:rFonts w:hint="eastAsia" w:ascii="宋体" w:hAnsi="宋体"/>
          <w:sz w:val="24"/>
          <w:szCs w:val="24"/>
        </w:rPr>
        <w:t>本资产评估报告所揭示的评估结论仅对资产评估报告中描述的经济行为有效，评估结论使用有效期为自评估基准日起一年。</w:t>
      </w:r>
    </w:p>
    <w:p>
      <w:pPr>
        <w:pStyle w:val="3"/>
        <w:ind w:firstLine="482"/>
      </w:pPr>
    </w:p>
    <w:p>
      <w:pPr>
        <w:pStyle w:val="3"/>
        <w:ind w:firstLine="482"/>
        <w:rPr>
          <w:rFonts w:asciiTheme="minorEastAsia" w:hAnsiTheme="minorEastAsia" w:eastAsiaTheme="minorEastAsia"/>
          <w:b w:val="0"/>
          <w:bCs w:val="0"/>
          <w:szCs w:val="24"/>
        </w:rPr>
      </w:pPr>
      <w:r>
        <w:t>十三、</w:t>
      </w:r>
      <w:bookmarkStart w:id="65" w:name="三15"/>
      <w:r>
        <w:rPr>
          <w:rFonts w:hint="eastAsia"/>
        </w:rPr>
        <w:t>资产</w:t>
      </w:r>
      <w:r>
        <w:t>评估报告日</w:t>
      </w:r>
      <w:bookmarkEnd w:id="62"/>
      <w:bookmarkEnd w:id="63"/>
      <w:bookmarkEnd w:id="65"/>
      <w:bookmarkStart w:id="70" w:name="_GoBack"/>
      <w:bookmarkEnd w:id="70"/>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本评估报告日为</w:t>
      </w:r>
      <w:r>
        <w:rPr>
          <w:rFonts w:hint="eastAsia" w:asciiTheme="minorEastAsia" w:hAnsiTheme="minorEastAsia" w:eastAsiaTheme="minorEastAsia"/>
          <w:sz w:val="24"/>
          <w:szCs w:val="24"/>
          <w:lang w:val="en-US" w:eastAsia="zh-CN"/>
        </w:rPr>
        <w:t>2018</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12</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25</w:t>
      </w:r>
      <w:r>
        <w:rPr>
          <w:rFonts w:asciiTheme="minorEastAsia" w:hAnsiTheme="minorEastAsia" w:eastAsiaTheme="minorEastAsia"/>
          <w:sz w:val="24"/>
          <w:szCs w:val="24"/>
        </w:rPr>
        <w:t>日。</w:t>
      </w:r>
    </w:p>
    <w:p>
      <w:pPr>
        <w:tabs>
          <w:tab w:val="left" w:pos="0"/>
        </w:tabs>
        <w:spacing w:line="360" w:lineRule="auto"/>
        <w:rPr>
          <w:rFonts w:asciiTheme="minorEastAsia" w:hAnsiTheme="minorEastAsia" w:eastAsiaTheme="minorEastAsia"/>
          <w:b/>
          <w:bCs/>
          <w:sz w:val="24"/>
          <w:szCs w:val="24"/>
        </w:rPr>
      </w:pPr>
    </w:p>
    <w:p>
      <w:pPr>
        <w:pStyle w:val="3"/>
        <w:ind w:firstLine="482"/>
      </w:pPr>
      <w:bookmarkStart w:id="66" w:name="_Toc493752493"/>
      <w:r>
        <w:t>十四、</w:t>
      </w:r>
      <w:r>
        <w:rPr>
          <w:rFonts w:hint="eastAsia"/>
        </w:rPr>
        <w:t>资产评估专业人员签名和资产评估机构印章</w:t>
      </w:r>
      <w:bookmarkEnd w:id="66"/>
    </w:p>
    <w:p>
      <w:pPr>
        <w:tabs>
          <w:tab w:val="left" w:pos="0"/>
        </w:tabs>
        <w:spacing w:line="360" w:lineRule="auto"/>
        <w:rPr>
          <w:rFonts w:asciiTheme="minorEastAsia" w:hAnsiTheme="minorEastAsia" w:eastAsiaTheme="minorEastAsia"/>
          <w:sz w:val="24"/>
          <w:szCs w:val="24"/>
        </w:rPr>
      </w:pPr>
    </w:p>
    <w:p>
      <w:pPr>
        <w:tabs>
          <w:tab w:val="left" w:pos="0"/>
        </w:tabs>
        <w:spacing w:line="360" w:lineRule="auto"/>
        <w:rPr>
          <w:rFonts w:asciiTheme="minorEastAsia" w:hAnsiTheme="minorEastAsia" w:eastAsiaTheme="minorEastAsia"/>
          <w:sz w:val="24"/>
          <w:szCs w:val="24"/>
        </w:rPr>
      </w:pPr>
    </w:p>
    <w:p>
      <w:pPr>
        <w:tabs>
          <w:tab w:val="left" w:pos="0"/>
        </w:tabs>
        <w:spacing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评估机构法定代表人：</w:t>
      </w:r>
    </w:p>
    <w:p>
      <w:pPr>
        <w:tabs>
          <w:tab w:val="left" w:pos="0"/>
        </w:tabs>
        <w:spacing w:line="360" w:lineRule="auto"/>
        <w:ind w:firstLine="480" w:firstLineChars="200"/>
        <w:rPr>
          <w:rFonts w:asciiTheme="minorEastAsia" w:hAnsiTheme="minorEastAsia" w:eastAsiaTheme="minorEastAsia"/>
          <w:sz w:val="24"/>
          <w:szCs w:val="24"/>
        </w:rPr>
      </w:pPr>
    </w:p>
    <w:p>
      <w:pPr>
        <w:tabs>
          <w:tab w:val="left" w:pos="0"/>
        </w:tabs>
        <w:spacing w:line="360" w:lineRule="auto"/>
        <w:ind w:firstLine="480" w:firstLineChars="200"/>
        <w:rPr>
          <w:rFonts w:asciiTheme="minorEastAsia" w:hAnsiTheme="minorEastAsia" w:eastAsiaTheme="minorEastAsia"/>
          <w:sz w:val="24"/>
          <w:szCs w:val="24"/>
        </w:rPr>
      </w:pPr>
    </w:p>
    <w:p>
      <w:pPr>
        <w:tabs>
          <w:tab w:val="left" w:pos="0"/>
        </w:tabs>
        <w:spacing w:line="360" w:lineRule="auto"/>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资产评估师：</w:t>
      </w:r>
    </w:p>
    <w:p>
      <w:pPr>
        <w:tabs>
          <w:tab w:val="left" w:pos="0"/>
        </w:tabs>
        <w:spacing w:line="360" w:lineRule="auto"/>
        <w:ind w:firstLine="480" w:firstLineChars="200"/>
        <w:rPr>
          <w:rFonts w:asciiTheme="minorEastAsia" w:hAnsiTheme="minorEastAsia" w:eastAsiaTheme="minorEastAsia"/>
          <w:sz w:val="24"/>
          <w:szCs w:val="24"/>
        </w:rPr>
      </w:pPr>
    </w:p>
    <w:p>
      <w:pPr>
        <w:tabs>
          <w:tab w:val="left" w:pos="0"/>
        </w:tabs>
        <w:spacing w:line="360" w:lineRule="auto"/>
        <w:ind w:firstLine="480" w:firstLineChars="200"/>
        <w:rPr>
          <w:rFonts w:asciiTheme="minorEastAsia" w:hAnsiTheme="minorEastAsia" w:eastAsiaTheme="minorEastAsia"/>
          <w:sz w:val="24"/>
          <w:szCs w:val="24"/>
        </w:rPr>
      </w:pPr>
    </w:p>
    <w:p>
      <w:pPr>
        <w:tabs>
          <w:tab w:val="left" w:pos="0"/>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资产评估师：</w:t>
      </w:r>
    </w:p>
    <w:p>
      <w:pPr>
        <w:tabs>
          <w:tab w:val="left" w:pos="0"/>
        </w:tabs>
        <w:spacing w:line="360" w:lineRule="auto"/>
        <w:rPr>
          <w:rFonts w:asciiTheme="minorEastAsia" w:hAnsiTheme="minorEastAsia" w:eastAsiaTheme="minorEastAsia"/>
          <w:sz w:val="24"/>
          <w:szCs w:val="24"/>
        </w:rPr>
      </w:pPr>
    </w:p>
    <w:p>
      <w:pPr>
        <w:tabs>
          <w:tab w:val="left" w:pos="0"/>
        </w:tabs>
        <w:spacing w:line="360" w:lineRule="auto"/>
        <w:rPr>
          <w:rFonts w:asciiTheme="minorEastAsia" w:hAnsiTheme="minorEastAsia" w:eastAsiaTheme="minorEastAsia"/>
          <w:sz w:val="24"/>
          <w:szCs w:val="24"/>
        </w:rPr>
      </w:pPr>
    </w:p>
    <w:p>
      <w:pPr>
        <w:tabs>
          <w:tab w:val="left" w:pos="0"/>
        </w:tabs>
        <w:spacing w:line="360" w:lineRule="auto"/>
        <w:rPr>
          <w:rFonts w:asciiTheme="minorEastAsia" w:hAnsiTheme="minorEastAsia" w:eastAsiaTheme="minorEastAsia"/>
          <w:sz w:val="24"/>
          <w:szCs w:val="24"/>
        </w:rPr>
      </w:pPr>
    </w:p>
    <w:p>
      <w:pPr>
        <w:tabs>
          <w:tab w:val="left" w:pos="0"/>
        </w:tabs>
        <w:spacing w:line="360" w:lineRule="auto"/>
        <w:rPr>
          <w:rFonts w:asciiTheme="minorEastAsia" w:hAnsiTheme="minorEastAsia" w:eastAsiaTheme="minorEastAsia"/>
          <w:sz w:val="24"/>
          <w:szCs w:val="24"/>
        </w:rPr>
      </w:pPr>
    </w:p>
    <w:p>
      <w:pPr>
        <w:tabs>
          <w:tab w:val="left" w:pos="0"/>
        </w:tabs>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rPr>
        <w:t>青岛振青</w:t>
      </w:r>
      <w:r>
        <w:rPr>
          <w:rFonts w:asciiTheme="minorEastAsia" w:hAnsiTheme="minorEastAsia" w:eastAsiaTheme="minorEastAsia"/>
          <w:sz w:val="24"/>
          <w:szCs w:val="24"/>
        </w:rPr>
        <w:t>资产评估有限责任公司</w:t>
      </w:r>
    </w:p>
    <w:p>
      <w:pPr>
        <w:tabs>
          <w:tab w:val="left" w:pos="0"/>
        </w:tabs>
        <w:spacing w:line="360" w:lineRule="auto"/>
        <w:jc w:val="right"/>
        <w:rPr>
          <w:rFonts w:asciiTheme="minorEastAsia" w:hAnsiTheme="minorEastAsia" w:eastAsiaTheme="minorEastAsia"/>
          <w:sz w:val="24"/>
          <w:szCs w:val="24"/>
        </w:rPr>
      </w:pPr>
    </w:p>
    <w:p>
      <w:pPr>
        <w:tabs>
          <w:tab w:val="left" w:pos="0"/>
        </w:tabs>
        <w:spacing w:line="360" w:lineRule="auto"/>
        <w:ind w:right="220" w:rightChars="0" w:firstLine="5400" w:firstLineChars="2250"/>
        <w:rPr>
          <w:rFonts w:asciiTheme="minorEastAsia" w:hAnsiTheme="minorEastAsia" w:eastAsiaTheme="minorEastAsia"/>
          <w:sz w:val="24"/>
          <w:szCs w:val="24"/>
        </w:rPr>
      </w:pPr>
      <w:r>
        <w:rPr>
          <w:rFonts w:hint="eastAsia" w:asciiTheme="minorEastAsia" w:hAnsiTheme="minorEastAsia" w:eastAsiaTheme="minorEastAsia"/>
          <w:sz w:val="24"/>
          <w:szCs w:val="24"/>
        </w:rPr>
        <w:t>二〇一八</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十二</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二十五</w:t>
      </w:r>
      <w:r>
        <w:rPr>
          <w:rFonts w:asciiTheme="minorEastAsia" w:hAnsiTheme="minorEastAsia" w:eastAsiaTheme="minorEastAsia"/>
          <w:sz w:val="24"/>
          <w:szCs w:val="24"/>
        </w:rPr>
        <w:t>日</w:t>
      </w:r>
    </w:p>
    <w:p>
      <w:pPr>
        <w:tabs>
          <w:tab w:val="left" w:pos="0"/>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100" w:beforeAutospacing="1" w:after="0" w:line="360" w:lineRule="auto"/>
        <w:jc w:val="center"/>
        <w:rPr>
          <w:sz w:val="32"/>
          <w:szCs w:val="32"/>
        </w:rPr>
      </w:pPr>
      <w:bookmarkStart w:id="67" w:name="_Toc493752494"/>
      <w:bookmarkStart w:id="68" w:name="_Toc334186100"/>
      <w:bookmarkStart w:id="69" w:name="四"/>
      <w:r>
        <w:rPr>
          <w:sz w:val="32"/>
          <w:szCs w:val="32"/>
        </w:rPr>
        <w:t>附件</w:t>
      </w:r>
      <w:bookmarkEnd w:id="67"/>
      <w:bookmarkEnd w:id="68"/>
      <w:bookmarkEnd w:id="69"/>
    </w:p>
    <w:p>
      <w:pPr>
        <w:tabs>
          <w:tab w:val="left" w:pos="0"/>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以下附件资料除特别说明外均为复印件</w:t>
      </w:r>
    </w:p>
    <w:p>
      <w:pPr>
        <w:widowControl/>
        <w:numPr>
          <w:ilvl w:val="0"/>
          <w:numId w:val="16"/>
        </w:numPr>
        <w:adjustRightInd w:val="0"/>
        <w:snapToGrid w:val="0"/>
        <w:spacing w:before="100" w:beforeAutospacing="1" w:line="360" w:lineRule="auto"/>
        <w:ind w:left="0" w:firstLine="480" w:firstLineChars="200"/>
        <w:rPr>
          <w:rFonts w:ascii="宋体" w:hAnsi="宋体"/>
          <w:sz w:val="24"/>
          <w:szCs w:val="24"/>
        </w:rPr>
      </w:pPr>
      <w:r>
        <w:rPr>
          <w:rFonts w:hint="eastAsia" w:ascii="宋体" w:hAnsi="宋体"/>
          <w:sz w:val="24"/>
          <w:szCs w:val="24"/>
        </w:rPr>
        <w:t>青岛海事法院（2018）青海法技鉴字第135号鉴定委托书；</w:t>
      </w:r>
    </w:p>
    <w:p>
      <w:pPr>
        <w:widowControl/>
        <w:numPr>
          <w:ilvl w:val="0"/>
          <w:numId w:val="16"/>
        </w:numPr>
        <w:snapToGrid w:val="0"/>
        <w:spacing w:line="360" w:lineRule="auto"/>
        <w:ind w:left="0" w:firstLine="480" w:firstLineChars="200"/>
        <w:rPr>
          <w:rFonts w:ascii="宋体" w:hAnsi="宋体"/>
          <w:sz w:val="24"/>
          <w:szCs w:val="24"/>
        </w:rPr>
      </w:pPr>
      <w:r>
        <w:rPr>
          <w:rFonts w:hint="eastAsia" w:ascii="宋体" w:hAnsi="宋体"/>
          <w:sz w:val="24"/>
          <w:szCs w:val="24"/>
        </w:rPr>
        <w:t>签名资产评估师的承诺函；</w:t>
      </w:r>
    </w:p>
    <w:p>
      <w:pPr>
        <w:widowControl/>
        <w:numPr>
          <w:ilvl w:val="0"/>
          <w:numId w:val="16"/>
        </w:numPr>
        <w:snapToGrid w:val="0"/>
        <w:spacing w:line="360" w:lineRule="auto"/>
        <w:ind w:left="0" w:firstLine="480" w:firstLineChars="200"/>
        <w:rPr>
          <w:rFonts w:ascii="宋体" w:hAnsi="宋体"/>
          <w:sz w:val="24"/>
          <w:szCs w:val="24"/>
        </w:rPr>
      </w:pPr>
      <w:r>
        <w:rPr>
          <w:rFonts w:hint="eastAsia" w:ascii="宋体" w:hAnsi="宋体"/>
          <w:sz w:val="24"/>
          <w:szCs w:val="24"/>
        </w:rPr>
        <w:t>资产评估机构备案公告复印件；</w:t>
      </w:r>
    </w:p>
    <w:p>
      <w:pPr>
        <w:widowControl/>
        <w:numPr>
          <w:ilvl w:val="0"/>
          <w:numId w:val="16"/>
        </w:numPr>
        <w:snapToGrid w:val="0"/>
        <w:spacing w:line="360" w:lineRule="auto"/>
        <w:ind w:left="0" w:firstLine="480" w:firstLineChars="200"/>
        <w:rPr>
          <w:rFonts w:ascii="宋体" w:hAnsi="宋体"/>
          <w:sz w:val="24"/>
          <w:szCs w:val="24"/>
        </w:rPr>
      </w:pPr>
      <w:r>
        <w:rPr>
          <w:rFonts w:hint="eastAsia" w:ascii="宋体" w:hAnsi="宋体"/>
          <w:sz w:val="24"/>
          <w:szCs w:val="24"/>
        </w:rPr>
        <w:t>青岛振青资产评估有限责任公司营业执照副本复印件；</w:t>
      </w:r>
    </w:p>
    <w:p>
      <w:pPr>
        <w:widowControl/>
        <w:numPr>
          <w:ilvl w:val="0"/>
          <w:numId w:val="16"/>
        </w:numPr>
        <w:snapToGrid w:val="0"/>
        <w:spacing w:line="360" w:lineRule="auto"/>
        <w:ind w:left="0" w:firstLine="480" w:firstLineChars="200"/>
        <w:rPr>
          <w:rFonts w:ascii="宋体" w:hAnsi="宋体"/>
          <w:sz w:val="24"/>
          <w:szCs w:val="24"/>
        </w:rPr>
      </w:pPr>
      <w:r>
        <w:rPr>
          <w:rFonts w:hint="eastAsia" w:ascii="宋体" w:hAnsi="宋体"/>
          <w:sz w:val="24"/>
          <w:szCs w:val="24"/>
        </w:rPr>
        <w:t>资产评估师职业资格证书登记卡复印件；</w:t>
      </w:r>
    </w:p>
    <w:p>
      <w:pPr>
        <w:widowControl/>
        <w:numPr>
          <w:ilvl w:val="0"/>
          <w:numId w:val="16"/>
        </w:numPr>
        <w:snapToGrid w:val="0"/>
        <w:spacing w:line="360" w:lineRule="auto"/>
        <w:ind w:left="0" w:firstLine="480" w:firstLineChars="200"/>
        <w:rPr>
          <w:rFonts w:ascii="宋体" w:hAnsi="宋体"/>
          <w:sz w:val="24"/>
          <w:szCs w:val="24"/>
        </w:rPr>
      </w:pPr>
      <w:r>
        <w:rPr>
          <w:rFonts w:hint="eastAsia" w:ascii="宋体" w:hAnsi="宋体"/>
          <w:sz w:val="24"/>
          <w:szCs w:val="24"/>
        </w:rPr>
        <w:t>其他重要文件。</w:t>
      </w:r>
    </w:p>
    <w:p>
      <w:pPr>
        <w:tabs>
          <w:tab w:val="left" w:pos="0"/>
        </w:tabs>
        <w:spacing w:line="360" w:lineRule="auto"/>
        <w:ind w:firstLine="480" w:firstLineChars="200"/>
        <w:rPr>
          <w:rFonts w:asciiTheme="minorEastAsia" w:hAnsiTheme="minorEastAsia" w:eastAsiaTheme="minorEastAsia"/>
          <w:sz w:val="24"/>
          <w:szCs w:val="24"/>
        </w:rPr>
      </w:pPr>
    </w:p>
    <w:p>
      <w:pPr>
        <w:rPr>
          <w:rFonts w:asciiTheme="minorEastAsia" w:hAnsiTheme="minorEastAsia" w:eastAsiaTheme="minorEastAsia"/>
          <w:sz w:val="24"/>
          <w:szCs w:val="24"/>
        </w:rPr>
      </w:pPr>
    </w:p>
    <w:sectPr>
      <w:footerReference r:id="rId7"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Narrow">
    <w:panose1 w:val="020B0506020202030204"/>
    <w:charset w:val="00"/>
    <w:family w:val="swiss"/>
    <w:pitch w:val="default"/>
    <w:sig w:usb0="00000287" w:usb1="00000000" w:usb2="00000000" w:usb3="00000000" w:csb0="2000009F" w:csb1="DFD70000"/>
  </w:font>
  <w:font w:name="Cambria">
    <w:panose1 w:val="02040503050406030204"/>
    <w:charset w:val="00"/>
    <w:family w:val="roman"/>
    <w:pitch w:val="default"/>
    <w:sig w:usb0="A00002EF" w:usb1="4000004B"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华文仿宋">
    <w:altName w:val="仿宋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rPr>
        <w:sz w:val="21"/>
        <w:szCs w:val="21"/>
      </w:rPr>
    </w:pPr>
    <w:r>
      <w:rPr>
        <w:rFonts w:hint="eastAsia"/>
        <w:sz w:val="21"/>
        <w:szCs w:val="21"/>
      </w:rPr>
      <w:t>青岛振青资产评估有限责任公司   地址：青岛市市南区香港中路169号天虹大厦6层</w:t>
    </w:r>
  </w:p>
  <w:p>
    <w:pPr>
      <w:pStyle w:val="17"/>
      <w:pBdr>
        <w:top w:val="single" w:color="auto" w:sz="4" w:space="1"/>
      </w:pBdr>
      <w:rPr>
        <w:sz w:val="21"/>
        <w:szCs w:val="21"/>
      </w:rPr>
    </w:pPr>
    <w:r>
      <w:rPr>
        <w:rFonts w:hint="eastAsia"/>
        <w:sz w:val="21"/>
        <w:szCs w:val="21"/>
      </w:rPr>
      <w:t xml:space="preserve">电话：0532-85923659   传真：0532-85921376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pPr>
    <w:r>
      <w:rPr>
        <w:rFonts w:hint="eastAsia" w:ascii="宋体" w:hAnsi="宋体"/>
        <w:sz w:val="21"/>
        <w:szCs w:val="21"/>
      </w:rPr>
      <w:t xml:space="preserve">青岛振青资产评估有限责任公司          </w:t>
    </w:r>
    <w:r>
      <w:rPr>
        <w:rFonts w:ascii="宋体" w:hAnsi="宋体"/>
        <w:sz w:val="21"/>
        <w:szCs w:val="21"/>
      </w:rPr>
      <w:t xml:space="preserve">  </w:t>
    </w:r>
    <w:r>
      <w:rPr>
        <w:rFonts w:hint="eastAsia" w:ascii="宋体" w:hAnsi="宋体"/>
        <w:sz w:val="21"/>
        <w:szCs w:val="21"/>
      </w:rPr>
      <w:t xml:space="preserve">                                  </w:t>
    </w:r>
    <w:r>
      <w:rPr>
        <w:rFonts w:ascii="宋体" w:hAnsi="宋体"/>
        <w:sz w:val="21"/>
      </w:rPr>
      <w:fldChar w:fldCharType="begin"/>
    </w:r>
    <w:r>
      <w:rPr>
        <w:rFonts w:ascii="宋体" w:hAnsi="宋体"/>
        <w:sz w:val="21"/>
      </w:rPr>
      <w:instrText xml:space="preserve"> PAGE   \* MERGEFORMAT </w:instrText>
    </w:r>
    <w:r>
      <w:rPr>
        <w:rFonts w:ascii="宋体" w:hAnsi="宋体"/>
        <w:sz w:val="21"/>
      </w:rPr>
      <w:fldChar w:fldCharType="separate"/>
    </w:r>
    <w:r>
      <w:rPr>
        <w:rFonts w:ascii="宋体" w:hAnsi="宋体"/>
        <w:sz w:val="21"/>
        <w:lang w:val="zh-CN"/>
      </w:rPr>
      <w:t>1</w:t>
    </w:r>
    <w:r>
      <w:rPr>
        <w:rFonts w:ascii="宋体" w:hAnsi="宋体"/>
        <w:sz w:val="21"/>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single" w:color="auto" w:sz="4" w:space="1"/>
      </w:pBdr>
      <w:rPr>
        <w:sz w:val="21"/>
        <w:szCs w:val="21"/>
      </w:rPr>
    </w:pPr>
    <w:r>
      <w:rPr>
        <w:rFonts w:hint="eastAsia"/>
        <w:sz w:val="21"/>
        <w:szCs w:val="21"/>
      </w:rPr>
      <w:t xml:space="preserve">青岛振青资产评估有限责任公司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5115"/>
        <w:tab w:val="clear" w:pos="4153"/>
        <w:tab w:val="clear" w:pos="8306"/>
      </w:tabs>
      <w:jc w:val="left"/>
      <w:rPr>
        <w:sz w:val="21"/>
        <w:szCs w:val="21"/>
      </w:rPr>
    </w:pPr>
    <w:r>
      <w:drawing>
        <wp:inline distT="0" distB="0" distL="0" distR="0">
          <wp:extent cx="638175" cy="497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2841" cy="501831"/>
                  </a:xfrm>
                  <a:prstGeom prst="rect">
                    <a:avLst/>
                  </a:prstGeom>
                </pic:spPr>
              </pic:pic>
            </a:graphicData>
          </a:graphic>
        </wp:inline>
      </w:drawing>
    </w:r>
    <w:r>
      <w:rPr>
        <w:rFonts w:hint="eastAsia"/>
        <w:lang w:val="en-US" w:eastAsia="zh-CN"/>
      </w:rPr>
      <w:t xml:space="preserve">                                   </w:t>
    </w:r>
    <w:r>
      <w:rPr>
        <w:rFonts w:hint="eastAsia"/>
      </w:rPr>
      <w:t>高密市康麦源食品有限公司粉条加工设备评估报告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CCB71"/>
    <w:multiLevelType w:val="singleLevel"/>
    <w:tmpl w:val="8BECCB71"/>
    <w:lvl w:ilvl="0" w:tentative="0">
      <w:start w:val="7"/>
      <w:numFmt w:val="chineseCounting"/>
      <w:suff w:val="nothing"/>
      <w:lvlText w:val="%1、"/>
      <w:lvlJc w:val="left"/>
      <w:rPr>
        <w:rFonts w:hint="eastAsia"/>
      </w:rPr>
    </w:lvl>
  </w:abstractNum>
  <w:abstractNum w:abstractNumId="1">
    <w:nsid w:val="AD8F0132"/>
    <w:multiLevelType w:val="singleLevel"/>
    <w:tmpl w:val="AD8F0132"/>
    <w:lvl w:ilvl="0" w:tentative="0">
      <w:start w:val="1"/>
      <w:numFmt w:val="decimal"/>
      <w:suff w:val="nothing"/>
      <w:lvlText w:val="%1、"/>
      <w:lvlJc w:val="left"/>
    </w:lvl>
  </w:abstractNum>
  <w:abstractNum w:abstractNumId="2">
    <w:nsid w:val="0000001E"/>
    <w:multiLevelType w:val="multilevel"/>
    <w:tmpl w:val="0000001E"/>
    <w:lvl w:ilvl="0" w:tentative="0">
      <w:start w:val="1"/>
      <w:numFmt w:val="chineseCountingThousand"/>
      <w:suff w:val="nothing"/>
      <w:lvlText w:val="附件%1、"/>
      <w:lvlJc w:val="left"/>
      <w:pPr>
        <w:ind w:left="1838" w:hanging="420"/>
      </w:pPr>
      <w:rPr>
        <w:rFonts w:hint="eastAsia"/>
        <w:color w:val="auto"/>
      </w:rPr>
    </w:lvl>
    <w:lvl w:ilvl="1" w:tentative="0">
      <w:start w:val="1"/>
      <w:numFmt w:val="lowerLetter"/>
      <w:lvlText w:val="%2)"/>
      <w:lvlJc w:val="left"/>
      <w:pPr>
        <w:ind w:left="1379" w:hanging="420"/>
      </w:pPr>
      <w:rPr>
        <w:rFonts w:hint="eastAsia"/>
      </w:rPr>
    </w:lvl>
    <w:lvl w:ilvl="2" w:tentative="0">
      <w:start w:val="1"/>
      <w:numFmt w:val="lowerRoman"/>
      <w:lvlText w:val="%3."/>
      <w:lvlJc w:val="right"/>
      <w:pPr>
        <w:ind w:left="1799" w:hanging="420"/>
      </w:pPr>
      <w:rPr>
        <w:rFonts w:hint="eastAsia"/>
      </w:rPr>
    </w:lvl>
    <w:lvl w:ilvl="3" w:tentative="0">
      <w:start w:val="1"/>
      <w:numFmt w:val="decimal"/>
      <w:lvlText w:val="%4."/>
      <w:lvlJc w:val="left"/>
      <w:pPr>
        <w:ind w:left="2219" w:hanging="420"/>
      </w:pPr>
      <w:rPr>
        <w:rFonts w:hint="eastAsia"/>
      </w:rPr>
    </w:lvl>
    <w:lvl w:ilvl="4" w:tentative="0">
      <w:start w:val="1"/>
      <w:numFmt w:val="lowerLetter"/>
      <w:lvlText w:val="%5)"/>
      <w:lvlJc w:val="left"/>
      <w:pPr>
        <w:ind w:left="2639" w:hanging="420"/>
      </w:pPr>
      <w:rPr>
        <w:rFonts w:hint="eastAsia"/>
      </w:rPr>
    </w:lvl>
    <w:lvl w:ilvl="5" w:tentative="0">
      <w:start w:val="1"/>
      <w:numFmt w:val="lowerRoman"/>
      <w:lvlText w:val="%6."/>
      <w:lvlJc w:val="right"/>
      <w:pPr>
        <w:ind w:left="3059" w:hanging="420"/>
      </w:pPr>
      <w:rPr>
        <w:rFonts w:hint="eastAsia"/>
      </w:rPr>
    </w:lvl>
    <w:lvl w:ilvl="6" w:tentative="0">
      <w:start w:val="1"/>
      <w:numFmt w:val="decimal"/>
      <w:lvlText w:val="%7."/>
      <w:lvlJc w:val="left"/>
      <w:pPr>
        <w:ind w:left="3479" w:hanging="420"/>
      </w:pPr>
      <w:rPr>
        <w:rFonts w:hint="eastAsia"/>
      </w:rPr>
    </w:lvl>
    <w:lvl w:ilvl="7" w:tentative="0">
      <w:start w:val="1"/>
      <w:numFmt w:val="lowerLetter"/>
      <w:lvlText w:val="%8)"/>
      <w:lvlJc w:val="left"/>
      <w:pPr>
        <w:ind w:left="3899" w:hanging="420"/>
      </w:pPr>
      <w:rPr>
        <w:rFonts w:hint="eastAsia"/>
      </w:rPr>
    </w:lvl>
    <w:lvl w:ilvl="8" w:tentative="0">
      <w:start w:val="1"/>
      <w:numFmt w:val="lowerRoman"/>
      <w:lvlText w:val="%9."/>
      <w:lvlJc w:val="right"/>
      <w:pPr>
        <w:ind w:left="4319" w:hanging="420"/>
      </w:pPr>
      <w:rPr>
        <w:rFonts w:hint="eastAsia"/>
      </w:rPr>
    </w:lvl>
  </w:abstractNum>
  <w:abstractNum w:abstractNumId="3">
    <w:nsid w:val="00000020"/>
    <w:multiLevelType w:val="multilevel"/>
    <w:tmpl w:val="00000020"/>
    <w:lvl w:ilvl="0" w:tentative="0">
      <w:start w:val="1"/>
      <w:numFmt w:val="chineseCountingThousand"/>
      <w:lvlText w:val="(%1)"/>
      <w:lvlJc w:val="left"/>
      <w:pPr>
        <w:tabs>
          <w:tab w:val="left" w:pos="1290"/>
        </w:tabs>
        <w:ind w:left="1290" w:hanging="720"/>
      </w:pPr>
      <w:rPr>
        <w:rFonts w:hint="default"/>
      </w:rPr>
    </w:lvl>
    <w:lvl w:ilvl="1" w:tentative="0">
      <w:start w:val="1"/>
      <w:numFmt w:val="decimal"/>
      <w:lvlText w:val="%2."/>
      <w:lvlJc w:val="left"/>
      <w:pPr>
        <w:ind w:left="1710" w:hanging="720"/>
      </w:pPr>
      <w:rPr>
        <w:rFonts w:hint="eastAsia" w:ascii="仿宋_GB2312" w:eastAsia="仿宋_GB2312"/>
      </w:r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4">
    <w:nsid w:val="06D71AC8"/>
    <w:multiLevelType w:val="multilevel"/>
    <w:tmpl w:val="06D71AC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B671FE"/>
    <w:multiLevelType w:val="multilevel"/>
    <w:tmpl w:val="13B671FE"/>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14F12144"/>
    <w:multiLevelType w:val="multilevel"/>
    <w:tmpl w:val="14F1214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31C50890"/>
    <w:multiLevelType w:val="multilevel"/>
    <w:tmpl w:val="31C50890"/>
    <w:lvl w:ilvl="0" w:tentative="0">
      <w:start w:val="1"/>
      <w:numFmt w:val="chineseCountingThousand"/>
      <w:lvlText w:val="(%1)"/>
      <w:lvlJc w:val="left"/>
      <w:pPr>
        <w:ind w:left="993" w:hanging="425"/>
      </w:pPr>
    </w:lvl>
    <w:lvl w:ilvl="1" w:tentative="0">
      <w:start w:val="1"/>
      <w:numFmt w:val="chineseCountingThousand"/>
      <w:lvlText w:val="%2、"/>
      <w:lvlJc w:val="left"/>
      <w:pPr>
        <w:ind w:left="850" w:hanging="425"/>
      </w:pPr>
    </w:lvl>
    <w:lvl w:ilvl="2" w:tentative="0">
      <w:start w:val="1"/>
      <w:numFmt w:val="chineseCountingThousand"/>
      <w:lvlText w:val="（%3）"/>
      <w:lvlJc w:val="left"/>
      <w:pPr>
        <w:ind w:left="1275" w:hanging="425"/>
      </w:pPr>
      <w:rPr>
        <w:rFonts w:hint="eastAsia" w:ascii="仿宋_GB2312" w:eastAsia="仿宋_GB2312"/>
        <w:sz w:val="28"/>
      </w:rPr>
    </w:lvl>
    <w:lvl w:ilvl="3" w:tentative="0">
      <w:start w:val="1"/>
      <w:numFmt w:val="chineseCountingThousand"/>
      <w:lvlText w:val="(%4)"/>
      <w:lvlJc w:val="left"/>
      <w:pPr>
        <w:ind w:left="1700" w:hanging="425"/>
      </w:pPr>
      <w:rPr>
        <w:rFonts w:hint="eastAsia"/>
        <w:b w:val="0"/>
      </w:r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8">
    <w:nsid w:val="432C2838"/>
    <w:multiLevelType w:val="multilevel"/>
    <w:tmpl w:val="432C2838"/>
    <w:lvl w:ilvl="0" w:tentative="0">
      <w:start w:val="1"/>
      <w:numFmt w:val="decimal"/>
      <w:lvlText w:val="%1."/>
      <w:lvlJc w:val="left"/>
      <w:pPr>
        <w:ind w:left="3015" w:hanging="855"/>
      </w:pPr>
      <w:rPr>
        <w:rFonts w:hint="default"/>
        <w:b w:val="0"/>
      </w:rPr>
    </w:lvl>
    <w:lvl w:ilvl="1" w:tentative="0">
      <w:start w:val="1"/>
      <w:numFmt w:val="decimal"/>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9">
    <w:nsid w:val="47C50727"/>
    <w:multiLevelType w:val="multilevel"/>
    <w:tmpl w:val="47C50727"/>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49F21E3C"/>
    <w:multiLevelType w:val="multilevel"/>
    <w:tmpl w:val="49F21E3C"/>
    <w:lvl w:ilvl="0" w:tentative="0">
      <w:start w:val="1"/>
      <w:numFmt w:val="chineseCountingThousand"/>
      <w:lvlText w:val="(%1)"/>
      <w:lvlJc w:val="left"/>
      <w:pPr>
        <w:ind w:left="425" w:hanging="425"/>
      </w:pPr>
    </w:lvl>
    <w:lvl w:ilvl="1" w:tentative="0">
      <w:start w:val="1"/>
      <w:numFmt w:val="chineseCountingThousand"/>
      <w:lvlText w:val="%2、"/>
      <w:lvlJc w:val="left"/>
      <w:pPr>
        <w:ind w:left="850" w:hanging="425"/>
      </w:pPr>
    </w:lvl>
    <w:lvl w:ilvl="2" w:tentative="0">
      <w:start w:val="1"/>
      <w:numFmt w:val="chineseCountingThousand"/>
      <w:lvlText w:val="（%3）"/>
      <w:lvlJc w:val="left"/>
      <w:pPr>
        <w:ind w:left="1275" w:hanging="425"/>
      </w:pPr>
      <w:rPr>
        <w:rFonts w:hint="eastAsia" w:ascii="仿宋_GB2312" w:eastAsia="仿宋_GB2312"/>
        <w:sz w:val="28"/>
      </w:rPr>
    </w:lvl>
    <w:lvl w:ilvl="3" w:tentative="0">
      <w:start w:val="1"/>
      <w:numFmt w:val="chineseCountingThousand"/>
      <w:lvlText w:val="(%4)"/>
      <w:lvlJc w:val="left"/>
      <w:pPr>
        <w:ind w:left="1700" w:hanging="425"/>
      </w:pPr>
      <w:rPr>
        <w:rFonts w:hint="eastAsia"/>
        <w:b w:val="0"/>
      </w:rPr>
    </w:lvl>
    <w:lvl w:ilvl="4" w:tentative="0">
      <w:start w:val="1"/>
      <w:numFmt w:val="decimal"/>
      <w:lvlText w:val="(%5)"/>
      <w:lvlJc w:val="left"/>
      <w:pPr>
        <w:ind w:left="2125" w:hanging="425"/>
      </w:pPr>
    </w:lvl>
    <w:lvl w:ilvl="5" w:tentative="0">
      <w:start w:val="1"/>
      <w:numFmt w:val="lowerLetter"/>
      <w:lvlText w:val="(%6)"/>
      <w:lvlJc w:val="left"/>
      <w:pPr>
        <w:ind w:left="2550" w:hanging="425"/>
      </w:pPr>
    </w:lvl>
    <w:lvl w:ilvl="6" w:tentative="0">
      <w:start w:val="1"/>
      <w:numFmt w:val="lowerRoman"/>
      <w:lvlText w:val="(%7)"/>
      <w:lvlJc w:val="left"/>
      <w:pPr>
        <w:ind w:left="2975" w:hanging="425"/>
      </w:pPr>
    </w:lvl>
    <w:lvl w:ilvl="7" w:tentative="0">
      <w:start w:val="1"/>
      <w:numFmt w:val="lowerLetter"/>
      <w:lvlText w:val="(%8)"/>
      <w:lvlJc w:val="left"/>
      <w:pPr>
        <w:ind w:left="3400" w:hanging="425"/>
      </w:pPr>
    </w:lvl>
    <w:lvl w:ilvl="8" w:tentative="0">
      <w:start w:val="1"/>
      <w:numFmt w:val="lowerRoman"/>
      <w:lvlText w:val="(%9)"/>
      <w:lvlJc w:val="left"/>
      <w:pPr>
        <w:ind w:left="3825" w:hanging="425"/>
      </w:pPr>
    </w:lvl>
  </w:abstractNum>
  <w:abstractNum w:abstractNumId="11">
    <w:nsid w:val="55F4DAA7"/>
    <w:multiLevelType w:val="singleLevel"/>
    <w:tmpl w:val="55F4DAA7"/>
    <w:lvl w:ilvl="0" w:tentative="0">
      <w:start w:val="3"/>
      <w:numFmt w:val="decimal"/>
      <w:suff w:val="nothing"/>
      <w:lvlText w:val="%1、"/>
      <w:lvlJc w:val="left"/>
    </w:lvl>
  </w:abstractNum>
  <w:abstractNum w:abstractNumId="12">
    <w:nsid w:val="729D4114"/>
    <w:multiLevelType w:val="multilevel"/>
    <w:tmpl w:val="729D411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7565012C"/>
    <w:multiLevelType w:val="multilevel"/>
    <w:tmpl w:val="7565012C"/>
    <w:lvl w:ilvl="0" w:tentative="0">
      <w:start w:val="1"/>
      <w:numFmt w:val="chineseCountingThousand"/>
      <w:lvlText w:val="(%1)"/>
      <w:lvlJc w:val="left"/>
      <w:pPr>
        <w:tabs>
          <w:tab w:val="left" w:pos="1394"/>
        </w:tabs>
        <w:ind w:left="1394" w:hanging="855"/>
      </w:pPr>
      <w:rPr>
        <w:rFonts w:hint="eastAsia"/>
      </w:rPr>
    </w:lvl>
    <w:lvl w:ilvl="1" w:tentative="0">
      <w:start w:val="1"/>
      <w:numFmt w:val="decimal"/>
      <w:lvlText w:val="%2."/>
      <w:lvlJc w:val="left"/>
      <w:pPr>
        <w:ind w:left="1571" w:hanging="720"/>
      </w:pPr>
      <w:rPr>
        <w:rFonts w:hint="eastAsia" w:ascii="仿宋_GB2312" w:eastAsia="仿宋_GB2312"/>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4">
    <w:nsid w:val="7DFE4E48"/>
    <w:multiLevelType w:val="multilevel"/>
    <w:tmpl w:val="7DFE4E48"/>
    <w:lvl w:ilvl="0" w:tentative="0">
      <w:start w:val="1"/>
      <w:numFmt w:val="decimal"/>
      <w:lvlText w:val="%1."/>
      <w:lvlJc w:val="left"/>
      <w:pPr>
        <w:ind w:left="1008" w:hanging="420"/>
      </w:pPr>
      <w:rPr>
        <w:rFonts w:hint="default"/>
      </w:rPr>
    </w:lvl>
    <w:lvl w:ilvl="1" w:tentative="0">
      <w:start w:val="1"/>
      <w:numFmt w:val="decimal"/>
      <w:lvlText w:val="%2、"/>
      <w:lvlJc w:val="left"/>
      <w:pPr>
        <w:ind w:left="1728" w:hanging="720"/>
      </w:pPr>
      <w:rPr>
        <w:rFonts w:hint="default" w:ascii="仿宋_GB2312" w:eastAsia="仿宋_GB2312"/>
      </w:r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15">
    <w:nsid w:val="7F4F4918"/>
    <w:multiLevelType w:val="multilevel"/>
    <w:tmpl w:val="7F4F491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9"/>
  </w:num>
  <w:num w:numId="2">
    <w:abstractNumId w:val="8"/>
  </w:num>
  <w:num w:numId="3">
    <w:abstractNumId w:val="15"/>
  </w:num>
  <w:num w:numId="4">
    <w:abstractNumId w:val="12"/>
  </w:num>
  <w:num w:numId="5">
    <w:abstractNumId w:val="5"/>
  </w:num>
  <w:num w:numId="6">
    <w:abstractNumId w:val="6"/>
  </w:num>
  <w:num w:numId="7">
    <w:abstractNumId w:val="0"/>
  </w:num>
  <w:num w:numId="8">
    <w:abstractNumId w:val="1"/>
  </w:num>
  <w:num w:numId="9">
    <w:abstractNumId w:val="13"/>
  </w:num>
  <w:num w:numId="10">
    <w:abstractNumId w:val="3"/>
  </w:num>
  <w:num w:numId="11">
    <w:abstractNumId w:val="14"/>
  </w:num>
  <w:num w:numId="12">
    <w:abstractNumId w:val="11"/>
  </w:num>
  <w:num w:numId="13">
    <w:abstractNumId w:val="4"/>
  </w:num>
  <w:num w:numId="14">
    <w:abstractNumId w:val="10"/>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743A"/>
    <w:rsid w:val="00003FB0"/>
    <w:rsid w:val="00012782"/>
    <w:rsid w:val="00020EA7"/>
    <w:rsid w:val="00026A3D"/>
    <w:rsid w:val="0002710B"/>
    <w:rsid w:val="00031506"/>
    <w:rsid w:val="00033D1C"/>
    <w:rsid w:val="00036DB4"/>
    <w:rsid w:val="0003794F"/>
    <w:rsid w:val="0004552B"/>
    <w:rsid w:val="00047F91"/>
    <w:rsid w:val="00053E28"/>
    <w:rsid w:val="0005700E"/>
    <w:rsid w:val="00061D56"/>
    <w:rsid w:val="0006322D"/>
    <w:rsid w:val="000674C0"/>
    <w:rsid w:val="000739D5"/>
    <w:rsid w:val="000775C7"/>
    <w:rsid w:val="00077D13"/>
    <w:rsid w:val="000803D1"/>
    <w:rsid w:val="000832BD"/>
    <w:rsid w:val="00084E93"/>
    <w:rsid w:val="000855A2"/>
    <w:rsid w:val="00086A77"/>
    <w:rsid w:val="000918C8"/>
    <w:rsid w:val="00091B3C"/>
    <w:rsid w:val="00093B68"/>
    <w:rsid w:val="000A6C1C"/>
    <w:rsid w:val="000B0F19"/>
    <w:rsid w:val="000C74C5"/>
    <w:rsid w:val="000D1C46"/>
    <w:rsid w:val="000D69AC"/>
    <w:rsid w:val="000E670B"/>
    <w:rsid w:val="001003AC"/>
    <w:rsid w:val="00104173"/>
    <w:rsid w:val="001160EA"/>
    <w:rsid w:val="00117687"/>
    <w:rsid w:val="00124FAE"/>
    <w:rsid w:val="001333F7"/>
    <w:rsid w:val="00134AA8"/>
    <w:rsid w:val="00141924"/>
    <w:rsid w:val="00144B94"/>
    <w:rsid w:val="00145DB2"/>
    <w:rsid w:val="00162484"/>
    <w:rsid w:val="00162EFF"/>
    <w:rsid w:val="00181DF3"/>
    <w:rsid w:val="00193CEC"/>
    <w:rsid w:val="00193FA3"/>
    <w:rsid w:val="001955BA"/>
    <w:rsid w:val="001A2097"/>
    <w:rsid w:val="001A445C"/>
    <w:rsid w:val="001A6AAC"/>
    <w:rsid w:val="001B0EBF"/>
    <w:rsid w:val="001D50C6"/>
    <w:rsid w:val="001E1E7F"/>
    <w:rsid w:val="001F1DE9"/>
    <w:rsid w:val="00206687"/>
    <w:rsid w:val="002230C5"/>
    <w:rsid w:val="00223463"/>
    <w:rsid w:val="0023041A"/>
    <w:rsid w:val="002323C7"/>
    <w:rsid w:val="0023365D"/>
    <w:rsid w:val="00240D37"/>
    <w:rsid w:val="00241ED8"/>
    <w:rsid w:val="00242D9B"/>
    <w:rsid w:val="00246BFA"/>
    <w:rsid w:val="00250F21"/>
    <w:rsid w:val="002747F3"/>
    <w:rsid w:val="00274DA4"/>
    <w:rsid w:val="002948F9"/>
    <w:rsid w:val="00295554"/>
    <w:rsid w:val="002A02C0"/>
    <w:rsid w:val="002A6866"/>
    <w:rsid w:val="002B3437"/>
    <w:rsid w:val="002B572E"/>
    <w:rsid w:val="002B5B76"/>
    <w:rsid w:val="002B5E76"/>
    <w:rsid w:val="002B7F1D"/>
    <w:rsid w:val="002D0643"/>
    <w:rsid w:val="002D2B28"/>
    <w:rsid w:val="002E735E"/>
    <w:rsid w:val="002F48AF"/>
    <w:rsid w:val="0030655A"/>
    <w:rsid w:val="0031092B"/>
    <w:rsid w:val="00325C66"/>
    <w:rsid w:val="00331237"/>
    <w:rsid w:val="00334997"/>
    <w:rsid w:val="003478DE"/>
    <w:rsid w:val="003502F1"/>
    <w:rsid w:val="00360DC2"/>
    <w:rsid w:val="00362C10"/>
    <w:rsid w:val="003641A1"/>
    <w:rsid w:val="0037234E"/>
    <w:rsid w:val="00377416"/>
    <w:rsid w:val="00385F61"/>
    <w:rsid w:val="003966BD"/>
    <w:rsid w:val="003A09B4"/>
    <w:rsid w:val="003D2011"/>
    <w:rsid w:val="003E05FD"/>
    <w:rsid w:val="003E18EE"/>
    <w:rsid w:val="003E26C1"/>
    <w:rsid w:val="003E4120"/>
    <w:rsid w:val="003E473E"/>
    <w:rsid w:val="003E49C4"/>
    <w:rsid w:val="00411D7D"/>
    <w:rsid w:val="00420772"/>
    <w:rsid w:val="00440BFD"/>
    <w:rsid w:val="004515CB"/>
    <w:rsid w:val="00453714"/>
    <w:rsid w:val="004618E5"/>
    <w:rsid w:val="00466569"/>
    <w:rsid w:val="0048622C"/>
    <w:rsid w:val="004A567F"/>
    <w:rsid w:val="004B098F"/>
    <w:rsid w:val="004B453A"/>
    <w:rsid w:val="004B4AAD"/>
    <w:rsid w:val="004C0357"/>
    <w:rsid w:val="004C288B"/>
    <w:rsid w:val="004E0445"/>
    <w:rsid w:val="004E29E8"/>
    <w:rsid w:val="004F70DA"/>
    <w:rsid w:val="004F77F3"/>
    <w:rsid w:val="0050313E"/>
    <w:rsid w:val="00540BAB"/>
    <w:rsid w:val="005436A1"/>
    <w:rsid w:val="00545868"/>
    <w:rsid w:val="0056129F"/>
    <w:rsid w:val="00565E27"/>
    <w:rsid w:val="00566014"/>
    <w:rsid w:val="00570C13"/>
    <w:rsid w:val="00575F5F"/>
    <w:rsid w:val="00582EB1"/>
    <w:rsid w:val="005913A6"/>
    <w:rsid w:val="005A725E"/>
    <w:rsid w:val="005B1400"/>
    <w:rsid w:val="005B49B7"/>
    <w:rsid w:val="005B7EB3"/>
    <w:rsid w:val="005C7523"/>
    <w:rsid w:val="005D0104"/>
    <w:rsid w:val="005D0211"/>
    <w:rsid w:val="005E0A82"/>
    <w:rsid w:val="005F0461"/>
    <w:rsid w:val="005F5FC0"/>
    <w:rsid w:val="00607947"/>
    <w:rsid w:val="006145E1"/>
    <w:rsid w:val="00616817"/>
    <w:rsid w:val="00617CB0"/>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3B3D"/>
    <w:rsid w:val="00697202"/>
    <w:rsid w:val="006A0A95"/>
    <w:rsid w:val="006A40D2"/>
    <w:rsid w:val="006A4A97"/>
    <w:rsid w:val="006A7FDE"/>
    <w:rsid w:val="006B099E"/>
    <w:rsid w:val="006B14CF"/>
    <w:rsid w:val="006D115C"/>
    <w:rsid w:val="006D1D63"/>
    <w:rsid w:val="006D411E"/>
    <w:rsid w:val="006E0495"/>
    <w:rsid w:val="006E162A"/>
    <w:rsid w:val="006E5B43"/>
    <w:rsid w:val="006E7AB7"/>
    <w:rsid w:val="006F1887"/>
    <w:rsid w:val="006F28E1"/>
    <w:rsid w:val="006F3A1E"/>
    <w:rsid w:val="006F5224"/>
    <w:rsid w:val="006F745E"/>
    <w:rsid w:val="00704A70"/>
    <w:rsid w:val="007227A4"/>
    <w:rsid w:val="00722C2E"/>
    <w:rsid w:val="00725081"/>
    <w:rsid w:val="007326AB"/>
    <w:rsid w:val="00740CB9"/>
    <w:rsid w:val="00747EFC"/>
    <w:rsid w:val="00751545"/>
    <w:rsid w:val="00752F27"/>
    <w:rsid w:val="00755F66"/>
    <w:rsid w:val="007666F6"/>
    <w:rsid w:val="007736BD"/>
    <w:rsid w:val="0077743B"/>
    <w:rsid w:val="00781088"/>
    <w:rsid w:val="007836B1"/>
    <w:rsid w:val="00786AAF"/>
    <w:rsid w:val="00791FF8"/>
    <w:rsid w:val="00792DD3"/>
    <w:rsid w:val="00797590"/>
    <w:rsid w:val="007A14B4"/>
    <w:rsid w:val="007C1011"/>
    <w:rsid w:val="007C2ADE"/>
    <w:rsid w:val="007D5196"/>
    <w:rsid w:val="007D5DAF"/>
    <w:rsid w:val="007E05D4"/>
    <w:rsid w:val="007E0F57"/>
    <w:rsid w:val="007F11AD"/>
    <w:rsid w:val="007F5164"/>
    <w:rsid w:val="00811D80"/>
    <w:rsid w:val="00844D58"/>
    <w:rsid w:val="00854440"/>
    <w:rsid w:val="008802AE"/>
    <w:rsid w:val="008829FB"/>
    <w:rsid w:val="00887981"/>
    <w:rsid w:val="00891511"/>
    <w:rsid w:val="008A11DE"/>
    <w:rsid w:val="008A2A3F"/>
    <w:rsid w:val="008B278B"/>
    <w:rsid w:val="008B3CB5"/>
    <w:rsid w:val="008E56C0"/>
    <w:rsid w:val="008F12EB"/>
    <w:rsid w:val="008F645C"/>
    <w:rsid w:val="008F6683"/>
    <w:rsid w:val="0090661A"/>
    <w:rsid w:val="009149DD"/>
    <w:rsid w:val="00916DD4"/>
    <w:rsid w:val="00934EC8"/>
    <w:rsid w:val="0094507B"/>
    <w:rsid w:val="00947D07"/>
    <w:rsid w:val="00952F13"/>
    <w:rsid w:val="0096390D"/>
    <w:rsid w:val="009A001F"/>
    <w:rsid w:val="009C460D"/>
    <w:rsid w:val="009D5723"/>
    <w:rsid w:val="009D5FB4"/>
    <w:rsid w:val="009D7C09"/>
    <w:rsid w:val="009E589D"/>
    <w:rsid w:val="009F1FF8"/>
    <w:rsid w:val="00A00EA5"/>
    <w:rsid w:val="00A0341A"/>
    <w:rsid w:val="00A1001C"/>
    <w:rsid w:val="00A137A0"/>
    <w:rsid w:val="00A148EE"/>
    <w:rsid w:val="00A1743A"/>
    <w:rsid w:val="00A2037A"/>
    <w:rsid w:val="00A364F4"/>
    <w:rsid w:val="00A41757"/>
    <w:rsid w:val="00A608AF"/>
    <w:rsid w:val="00A74D88"/>
    <w:rsid w:val="00A86050"/>
    <w:rsid w:val="00A86C02"/>
    <w:rsid w:val="00A87B08"/>
    <w:rsid w:val="00AA1689"/>
    <w:rsid w:val="00AB065F"/>
    <w:rsid w:val="00AB3498"/>
    <w:rsid w:val="00AB3A67"/>
    <w:rsid w:val="00AB7059"/>
    <w:rsid w:val="00AC15E5"/>
    <w:rsid w:val="00AD144C"/>
    <w:rsid w:val="00AE0C6F"/>
    <w:rsid w:val="00AF27EF"/>
    <w:rsid w:val="00AF634D"/>
    <w:rsid w:val="00B020E7"/>
    <w:rsid w:val="00B04DF9"/>
    <w:rsid w:val="00B25CA1"/>
    <w:rsid w:val="00B369DE"/>
    <w:rsid w:val="00B57141"/>
    <w:rsid w:val="00B672FE"/>
    <w:rsid w:val="00B745FC"/>
    <w:rsid w:val="00B75197"/>
    <w:rsid w:val="00B7622A"/>
    <w:rsid w:val="00B90E63"/>
    <w:rsid w:val="00B95A81"/>
    <w:rsid w:val="00B9663D"/>
    <w:rsid w:val="00BA3178"/>
    <w:rsid w:val="00BA3DBE"/>
    <w:rsid w:val="00BC2ECA"/>
    <w:rsid w:val="00BC3FEC"/>
    <w:rsid w:val="00BC7BA5"/>
    <w:rsid w:val="00BF2588"/>
    <w:rsid w:val="00BF3D59"/>
    <w:rsid w:val="00BF4DC7"/>
    <w:rsid w:val="00C0106C"/>
    <w:rsid w:val="00C07DCD"/>
    <w:rsid w:val="00C13961"/>
    <w:rsid w:val="00C162BD"/>
    <w:rsid w:val="00C21E54"/>
    <w:rsid w:val="00C23294"/>
    <w:rsid w:val="00C30E4C"/>
    <w:rsid w:val="00C316DF"/>
    <w:rsid w:val="00C36701"/>
    <w:rsid w:val="00C40F79"/>
    <w:rsid w:val="00C478A0"/>
    <w:rsid w:val="00C5568A"/>
    <w:rsid w:val="00C6124E"/>
    <w:rsid w:val="00C718F0"/>
    <w:rsid w:val="00C84EC4"/>
    <w:rsid w:val="00C95119"/>
    <w:rsid w:val="00CA06DA"/>
    <w:rsid w:val="00CA5C43"/>
    <w:rsid w:val="00CA63CE"/>
    <w:rsid w:val="00CB1726"/>
    <w:rsid w:val="00CB439C"/>
    <w:rsid w:val="00CB5FFF"/>
    <w:rsid w:val="00CB6F80"/>
    <w:rsid w:val="00CB7ED9"/>
    <w:rsid w:val="00CC0603"/>
    <w:rsid w:val="00CC43B0"/>
    <w:rsid w:val="00CC59F1"/>
    <w:rsid w:val="00CE450F"/>
    <w:rsid w:val="00CE5B4B"/>
    <w:rsid w:val="00CE67CB"/>
    <w:rsid w:val="00CF19C1"/>
    <w:rsid w:val="00CF2458"/>
    <w:rsid w:val="00D020B1"/>
    <w:rsid w:val="00D04D08"/>
    <w:rsid w:val="00D1473F"/>
    <w:rsid w:val="00D2015A"/>
    <w:rsid w:val="00D26B6E"/>
    <w:rsid w:val="00D3064C"/>
    <w:rsid w:val="00D316E5"/>
    <w:rsid w:val="00D37B69"/>
    <w:rsid w:val="00D37FE2"/>
    <w:rsid w:val="00D47501"/>
    <w:rsid w:val="00D60F94"/>
    <w:rsid w:val="00D63BC4"/>
    <w:rsid w:val="00D7636D"/>
    <w:rsid w:val="00D85016"/>
    <w:rsid w:val="00D90AE0"/>
    <w:rsid w:val="00D937FF"/>
    <w:rsid w:val="00D93F67"/>
    <w:rsid w:val="00D95A8E"/>
    <w:rsid w:val="00DB4DB6"/>
    <w:rsid w:val="00DC4FB4"/>
    <w:rsid w:val="00DC5810"/>
    <w:rsid w:val="00DC7258"/>
    <w:rsid w:val="00DE3487"/>
    <w:rsid w:val="00DE5362"/>
    <w:rsid w:val="00DE71C8"/>
    <w:rsid w:val="00DF1F09"/>
    <w:rsid w:val="00E16688"/>
    <w:rsid w:val="00E23728"/>
    <w:rsid w:val="00E34639"/>
    <w:rsid w:val="00E34CF2"/>
    <w:rsid w:val="00E36A0C"/>
    <w:rsid w:val="00E514B8"/>
    <w:rsid w:val="00E63D11"/>
    <w:rsid w:val="00E91AC1"/>
    <w:rsid w:val="00E947DD"/>
    <w:rsid w:val="00E97BC9"/>
    <w:rsid w:val="00EA1C49"/>
    <w:rsid w:val="00EA2C1D"/>
    <w:rsid w:val="00EB17DD"/>
    <w:rsid w:val="00EC54BA"/>
    <w:rsid w:val="00ED0D1B"/>
    <w:rsid w:val="00ED3BB2"/>
    <w:rsid w:val="00ED43C2"/>
    <w:rsid w:val="00ED475E"/>
    <w:rsid w:val="00ED5D22"/>
    <w:rsid w:val="00EE750F"/>
    <w:rsid w:val="00EF0329"/>
    <w:rsid w:val="00EF4743"/>
    <w:rsid w:val="00F13F34"/>
    <w:rsid w:val="00F3086F"/>
    <w:rsid w:val="00F308A8"/>
    <w:rsid w:val="00F335BD"/>
    <w:rsid w:val="00F43A2A"/>
    <w:rsid w:val="00F518C6"/>
    <w:rsid w:val="00F56F58"/>
    <w:rsid w:val="00F61409"/>
    <w:rsid w:val="00F77FEF"/>
    <w:rsid w:val="00F84B46"/>
    <w:rsid w:val="00F85A22"/>
    <w:rsid w:val="00FA4F99"/>
    <w:rsid w:val="00FA5C79"/>
    <w:rsid w:val="00FB0280"/>
    <w:rsid w:val="00FC2B99"/>
    <w:rsid w:val="00FD3957"/>
    <w:rsid w:val="00FF0382"/>
    <w:rsid w:val="00FF5AAE"/>
    <w:rsid w:val="00FF7F80"/>
    <w:rsid w:val="07272D1A"/>
    <w:rsid w:val="0BEE6F8E"/>
    <w:rsid w:val="0D1C52FB"/>
    <w:rsid w:val="101323CA"/>
    <w:rsid w:val="14E14B6C"/>
    <w:rsid w:val="1A8D1649"/>
    <w:rsid w:val="1BBD0F4A"/>
    <w:rsid w:val="1C0D5F02"/>
    <w:rsid w:val="29E60170"/>
    <w:rsid w:val="2C0A0591"/>
    <w:rsid w:val="2C380C09"/>
    <w:rsid w:val="2D7F43BB"/>
    <w:rsid w:val="30FA3B0A"/>
    <w:rsid w:val="3C2B44E9"/>
    <w:rsid w:val="40794058"/>
    <w:rsid w:val="41606111"/>
    <w:rsid w:val="49C36470"/>
    <w:rsid w:val="49FC5700"/>
    <w:rsid w:val="4D0F19C2"/>
    <w:rsid w:val="51530DB7"/>
    <w:rsid w:val="59835DE8"/>
    <w:rsid w:val="66336CC7"/>
    <w:rsid w:val="671E3EFA"/>
    <w:rsid w:val="6967399C"/>
    <w:rsid w:val="69CC0D6D"/>
    <w:rsid w:val="6AE00AB3"/>
    <w:rsid w:val="78850DFC"/>
    <w:rsid w:val="7E214464"/>
    <w:rsid w:val="7E4F5066"/>
    <w:rsid w:val="7EAE1E96"/>
    <w:rsid w:val="7F6B3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100" w:beforeAutospacing="1" w:line="360" w:lineRule="auto"/>
      <w:ind w:firstLine="200" w:firstLineChars="200"/>
      <w:outlineLvl w:val="1"/>
    </w:pPr>
    <w:rPr>
      <w:rFonts w:ascii="Arial" w:hAnsi="Arial"/>
      <w:b/>
      <w:bCs/>
      <w:sz w:val="24"/>
      <w:szCs w:val="32"/>
    </w:rPr>
  </w:style>
  <w:style w:type="paragraph" w:styleId="4">
    <w:name w:val="heading 3"/>
    <w:basedOn w:val="1"/>
    <w:next w:val="1"/>
    <w:link w:val="30"/>
    <w:qFormat/>
    <w:uiPriority w:val="0"/>
    <w:pPr>
      <w:keepNext/>
      <w:keepLines/>
      <w:spacing w:before="260" w:after="260" w:line="416" w:lineRule="auto"/>
      <w:outlineLvl w:val="2"/>
    </w:pPr>
    <w:rPr>
      <w:rFonts w:eastAsia="仿宋_GB2312"/>
      <w:b/>
      <w:bCs/>
      <w:sz w:val="32"/>
      <w:szCs w:val="32"/>
    </w:rPr>
  </w:style>
  <w:style w:type="character" w:default="1" w:styleId="23">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46"/>
    <w:semiHidden/>
    <w:qFormat/>
    <w:uiPriority w:val="0"/>
    <w:rPr>
      <w:b/>
      <w:bCs/>
    </w:rPr>
  </w:style>
  <w:style w:type="paragraph" w:styleId="6">
    <w:name w:val="annotation text"/>
    <w:basedOn w:val="1"/>
    <w:link w:val="45"/>
    <w:semiHidden/>
    <w:qFormat/>
    <w:uiPriority w:val="0"/>
    <w:pPr>
      <w:jc w:val="left"/>
    </w:pPr>
    <w:rPr>
      <w:szCs w:val="24"/>
    </w:rPr>
  </w:style>
  <w:style w:type="paragraph" w:styleId="7">
    <w:name w:val="Normal Indent"/>
    <w:basedOn w:val="1"/>
    <w:link w:val="55"/>
    <w:qFormat/>
    <w:uiPriority w:val="0"/>
    <w:pPr>
      <w:snapToGrid w:val="0"/>
      <w:spacing w:line="300" w:lineRule="auto"/>
      <w:ind w:firstLine="556"/>
    </w:pPr>
    <w:rPr>
      <w:rFonts w:ascii="仿宋_GB2312" w:eastAsia="仿宋_GB2312"/>
      <w:sz w:val="28"/>
    </w:rPr>
  </w:style>
  <w:style w:type="paragraph" w:styleId="8">
    <w:name w:val="Document Map"/>
    <w:basedOn w:val="1"/>
    <w:link w:val="51"/>
    <w:qFormat/>
    <w:uiPriority w:val="0"/>
    <w:rPr>
      <w:rFonts w:ascii="宋体"/>
      <w:sz w:val="18"/>
      <w:szCs w:val="18"/>
    </w:rPr>
  </w:style>
  <w:style w:type="paragraph" w:styleId="9">
    <w:name w:val="Body Text 3"/>
    <w:basedOn w:val="1"/>
    <w:link w:val="42"/>
    <w:qFormat/>
    <w:uiPriority w:val="0"/>
    <w:rPr>
      <w:rFonts w:ascii="宋体" w:hAnsi="Courier New"/>
      <w:sz w:val="28"/>
    </w:rPr>
  </w:style>
  <w:style w:type="paragraph" w:styleId="10">
    <w:name w:val="Body Text"/>
    <w:basedOn w:val="1"/>
    <w:link w:val="39"/>
    <w:qFormat/>
    <w:uiPriority w:val="0"/>
    <w:pPr>
      <w:spacing w:line="340" w:lineRule="atLeast"/>
    </w:pPr>
    <w:rPr>
      <w:sz w:val="30"/>
    </w:rPr>
  </w:style>
  <w:style w:type="paragraph" w:styleId="11">
    <w:name w:val="Body Text Indent"/>
    <w:basedOn w:val="1"/>
    <w:link w:val="38"/>
    <w:qFormat/>
    <w:uiPriority w:val="0"/>
    <w:pPr>
      <w:spacing w:line="340" w:lineRule="atLeast"/>
      <w:ind w:firstLine="600"/>
    </w:pPr>
    <w:rPr>
      <w:sz w:val="30"/>
    </w:rPr>
  </w:style>
  <w:style w:type="paragraph" w:styleId="12">
    <w:name w:val="toc 3"/>
    <w:basedOn w:val="1"/>
    <w:next w:val="1"/>
    <w:qFormat/>
    <w:uiPriority w:val="39"/>
    <w:pPr>
      <w:tabs>
        <w:tab w:val="right" w:leader="dot" w:pos="9639"/>
      </w:tabs>
      <w:spacing w:line="360" w:lineRule="auto"/>
      <w:ind w:left="470" w:leftChars="129" w:hanging="199" w:hangingChars="71"/>
    </w:pPr>
    <w:rPr>
      <w:rFonts w:eastAsia="仿宋_GB2312"/>
      <w:sz w:val="28"/>
      <w:szCs w:val="24"/>
    </w:rPr>
  </w:style>
  <w:style w:type="paragraph" w:styleId="13">
    <w:name w:val="Plain Text"/>
    <w:basedOn w:val="1"/>
    <w:link w:val="35"/>
    <w:qFormat/>
    <w:uiPriority w:val="0"/>
    <w:rPr>
      <w:rFonts w:ascii="宋体" w:hAnsi="Courier New"/>
    </w:rPr>
  </w:style>
  <w:style w:type="paragraph" w:styleId="14">
    <w:name w:val="Date"/>
    <w:basedOn w:val="1"/>
    <w:next w:val="1"/>
    <w:link w:val="40"/>
    <w:qFormat/>
    <w:uiPriority w:val="0"/>
    <w:rPr>
      <w:rFonts w:ascii="黑体" w:eastAsia="黑体"/>
      <w:sz w:val="44"/>
    </w:rPr>
  </w:style>
  <w:style w:type="paragraph" w:styleId="15">
    <w:name w:val="Body Text Indent 2"/>
    <w:basedOn w:val="1"/>
    <w:link w:val="37"/>
    <w:qFormat/>
    <w:uiPriority w:val="0"/>
    <w:pPr>
      <w:spacing w:line="360" w:lineRule="auto"/>
      <w:ind w:firstLine="560" w:firstLineChars="200"/>
    </w:pPr>
    <w:rPr>
      <w:rFonts w:ascii="宋体"/>
      <w:sz w:val="28"/>
      <w:szCs w:val="24"/>
    </w:rPr>
  </w:style>
  <w:style w:type="paragraph" w:styleId="16">
    <w:name w:val="Balloon Text"/>
    <w:basedOn w:val="1"/>
    <w:link w:val="31"/>
    <w:semiHidden/>
    <w:unhideWhenUsed/>
    <w:qFormat/>
    <w:uiPriority w:val="0"/>
    <w:rPr>
      <w:sz w:val="18"/>
      <w:szCs w:val="18"/>
    </w:rPr>
  </w:style>
  <w:style w:type="paragraph" w:styleId="17">
    <w:name w:val="footer"/>
    <w:basedOn w:val="1"/>
    <w:link w:val="33"/>
    <w:unhideWhenUsed/>
    <w:qFormat/>
    <w:uiPriority w:val="0"/>
    <w:pPr>
      <w:tabs>
        <w:tab w:val="center" w:pos="4153"/>
        <w:tab w:val="right" w:pos="8306"/>
      </w:tabs>
      <w:snapToGrid w:val="0"/>
      <w:jc w:val="left"/>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spacing w:line="360" w:lineRule="auto"/>
    </w:pPr>
    <w:rPr>
      <w:b/>
      <w:sz w:val="24"/>
    </w:rPr>
  </w:style>
  <w:style w:type="paragraph" w:styleId="20">
    <w:name w:val="Body Text Indent 3"/>
    <w:basedOn w:val="1"/>
    <w:link w:val="43"/>
    <w:qFormat/>
    <w:uiPriority w:val="0"/>
    <w:pPr>
      <w:spacing w:line="480" w:lineRule="exact"/>
      <w:ind w:firstLine="504" w:firstLineChars="180"/>
    </w:pPr>
    <w:rPr>
      <w:rFonts w:ascii="仿宋_GB2312" w:hAnsi="宋体" w:eastAsia="仿宋_GB2312"/>
      <w:sz w:val="28"/>
    </w:rPr>
  </w:style>
  <w:style w:type="paragraph" w:styleId="21">
    <w:name w:val="toc 2"/>
    <w:basedOn w:val="1"/>
    <w:next w:val="1"/>
    <w:unhideWhenUsed/>
    <w:qFormat/>
    <w:uiPriority w:val="39"/>
    <w:pPr>
      <w:spacing w:line="360" w:lineRule="auto"/>
      <w:ind w:left="200" w:leftChars="200"/>
    </w:pPr>
    <w:rPr>
      <w:sz w:val="24"/>
    </w:rPr>
  </w:style>
  <w:style w:type="paragraph" w:styleId="22">
    <w:name w:val="Normal (Web)"/>
    <w:basedOn w:val="1"/>
    <w:link w:val="56"/>
    <w:qFormat/>
    <w:uiPriority w:val="0"/>
    <w:pPr>
      <w:widowControl/>
      <w:spacing w:before="100" w:beforeAutospacing="1" w:after="100" w:afterAutospacing="1" w:line="300" w:lineRule="auto"/>
      <w:ind w:firstLine="210" w:firstLineChars="210"/>
      <w:jc w:val="left"/>
    </w:pPr>
    <w:rPr>
      <w:rFonts w:ascii="Arial Narrow" w:hAnsi="宋体" w:eastAsia="仿宋_GB2312"/>
      <w:kern w:val="0"/>
      <w:sz w:val="28"/>
      <w:szCs w:val="24"/>
      <w:lang w:val="zh-CN" w:eastAsia="zh-CN"/>
    </w:rPr>
  </w:style>
  <w:style w:type="character" w:styleId="24">
    <w:name w:val="page number"/>
    <w:basedOn w:val="23"/>
    <w:qFormat/>
    <w:uiPriority w:val="0"/>
  </w:style>
  <w:style w:type="character" w:styleId="25">
    <w:name w:val="Hyperlink"/>
    <w:basedOn w:val="23"/>
    <w:unhideWhenUsed/>
    <w:qFormat/>
    <w:uiPriority w:val="99"/>
    <w:rPr>
      <w:color w:val="0000FF" w:themeColor="hyperlink"/>
      <w:u w:val="single"/>
    </w:rPr>
  </w:style>
  <w:style w:type="character" w:styleId="26">
    <w:name w:val="annotation reference"/>
    <w:basedOn w:val="23"/>
    <w:semiHidden/>
    <w:unhideWhenUsed/>
    <w:qFormat/>
    <w:uiPriority w:val="0"/>
    <w:rPr>
      <w:sz w:val="21"/>
      <w:szCs w:val="21"/>
    </w:rPr>
  </w:style>
  <w:style w:type="character" w:customStyle="1" w:styleId="28">
    <w:name w:val="标题 1 Char"/>
    <w:basedOn w:val="23"/>
    <w:link w:val="2"/>
    <w:qFormat/>
    <w:uiPriority w:val="0"/>
    <w:rPr>
      <w:rFonts w:ascii="Times New Roman" w:hAnsi="Times New Roman" w:eastAsia="宋体" w:cs="Times New Roman"/>
      <w:b/>
      <w:bCs/>
      <w:kern w:val="44"/>
      <w:sz w:val="44"/>
      <w:szCs w:val="44"/>
    </w:rPr>
  </w:style>
  <w:style w:type="character" w:customStyle="1" w:styleId="29">
    <w:name w:val="标题 2 Char"/>
    <w:basedOn w:val="23"/>
    <w:link w:val="3"/>
    <w:qFormat/>
    <w:uiPriority w:val="0"/>
    <w:rPr>
      <w:rFonts w:ascii="Arial" w:hAnsi="Arial" w:eastAsia="宋体" w:cs="Times New Roman"/>
      <w:b/>
      <w:bCs/>
      <w:sz w:val="24"/>
      <w:szCs w:val="32"/>
    </w:rPr>
  </w:style>
  <w:style w:type="character" w:customStyle="1" w:styleId="30">
    <w:name w:val="标题 3 Char"/>
    <w:basedOn w:val="23"/>
    <w:link w:val="4"/>
    <w:qFormat/>
    <w:uiPriority w:val="0"/>
    <w:rPr>
      <w:rFonts w:ascii="Times New Roman" w:hAnsi="Times New Roman" w:eastAsia="仿宋_GB2312" w:cs="Times New Roman"/>
      <w:b/>
      <w:bCs/>
      <w:sz w:val="32"/>
      <w:szCs w:val="32"/>
    </w:rPr>
  </w:style>
  <w:style w:type="character" w:customStyle="1" w:styleId="31">
    <w:name w:val="批注框文本 Char"/>
    <w:basedOn w:val="23"/>
    <w:link w:val="16"/>
    <w:semiHidden/>
    <w:uiPriority w:val="0"/>
    <w:rPr>
      <w:sz w:val="18"/>
      <w:szCs w:val="18"/>
    </w:rPr>
  </w:style>
  <w:style w:type="character" w:customStyle="1" w:styleId="32">
    <w:name w:val="页眉 Char"/>
    <w:basedOn w:val="23"/>
    <w:link w:val="18"/>
    <w:qFormat/>
    <w:uiPriority w:val="99"/>
    <w:rPr>
      <w:sz w:val="18"/>
      <w:szCs w:val="18"/>
    </w:rPr>
  </w:style>
  <w:style w:type="character" w:customStyle="1" w:styleId="33">
    <w:name w:val="页脚 Char"/>
    <w:basedOn w:val="23"/>
    <w:link w:val="17"/>
    <w:qFormat/>
    <w:uiPriority w:val="0"/>
    <w:rPr>
      <w:sz w:val="18"/>
      <w:szCs w:val="18"/>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5">
    <w:name w:val="纯文本 Char"/>
    <w:basedOn w:val="23"/>
    <w:link w:val="13"/>
    <w:qFormat/>
    <w:uiPriority w:val="0"/>
    <w:rPr>
      <w:rFonts w:ascii="宋体" w:hAnsi="Courier New" w:eastAsia="宋体" w:cs="Times New Roman"/>
      <w:szCs w:val="20"/>
    </w:rPr>
  </w:style>
  <w:style w:type="paragraph" w:customStyle="1" w:styleId="3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4"/>
      <w:szCs w:val="24"/>
    </w:rPr>
  </w:style>
  <w:style w:type="character" w:customStyle="1" w:styleId="37">
    <w:name w:val="正文文本缩进 2 Char"/>
    <w:basedOn w:val="23"/>
    <w:link w:val="15"/>
    <w:qFormat/>
    <w:uiPriority w:val="0"/>
    <w:rPr>
      <w:rFonts w:ascii="宋体" w:hAnsi="Times New Roman" w:eastAsia="宋体" w:cs="Times New Roman"/>
      <w:sz w:val="28"/>
      <w:szCs w:val="24"/>
    </w:rPr>
  </w:style>
  <w:style w:type="character" w:customStyle="1" w:styleId="38">
    <w:name w:val="正文文本缩进 Char"/>
    <w:basedOn w:val="23"/>
    <w:link w:val="11"/>
    <w:qFormat/>
    <w:uiPriority w:val="0"/>
    <w:rPr>
      <w:rFonts w:ascii="Times New Roman" w:hAnsi="Times New Roman" w:eastAsia="宋体" w:cs="Times New Roman"/>
      <w:sz w:val="30"/>
      <w:szCs w:val="20"/>
    </w:rPr>
  </w:style>
  <w:style w:type="character" w:customStyle="1" w:styleId="39">
    <w:name w:val="正文文本 Char"/>
    <w:basedOn w:val="23"/>
    <w:link w:val="10"/>
    <w:qFormat/>
    <w:uiPriority w:val="0"/>
    <w:rPr>
      <w:rFonts w:ascii="Times New Roman" w:hAnsi="Times New Roman" w:eastAsia="宋体" w:cs="Times New Roman"/>
      <w:sz w:val="30"/>
      <w:szCs w:val="20"/>
    </w:rPr>
  </w:style>
  <w:style w:type="character" w:customStyle="1" w:styleId="40">
    <w:name w:val="日期 Char"/>
    <w:basedOn w:val="23"/>
    <w:link w:val="14"/>
    <w:qFormat/>
    <w:uiPriority w:val="0"/>
    <w:rPr>
      <w:rFonts w:ascii="黑体" w:hAnsi="Times New Roman" w:eastAsia="黑体" w:cs="Times New Roman"/>
      <w:sz w:val="44"/>
      <w:szCs w:val="20"/>
    </w:rPr>
  </w:style>
  <w:style w:type="paragraph" w:customStyle="1" w:styleId="41">
    <w:name w:val="正文文本缩进 21"/>
    <w:basedOn w:val="1"/>
    <w:qFormat/>
    <w:uiPriority w:val="0"/>
    <w:pPr>
      <w:adjustRightInd w:val="0"/>
      <w:ind w:firstLine="570"/>
      <w:textAlignment w:val="baseline"/>
    </w:pPr>
    <w:rPr>
      <w:rFonts w:ascii="宋体"/>
      <w:sz w:val="28"/>
    </w:rPr>
  </w:style>
  <w:style w:type="character" w:customStyle="1" w:styleId="42">
    <w:name w:val="正文文本 3 Char"/>
    <w:basedOn w:val="23"/>
    <w:link w:val="9"/>
    <w:qFormat/>
    <w:uiPriority w:val="0"/>
    <w:rPr>
      <w:rFonts w:ascii="宋体" w:hAnsi="Courier New" w:eastAsia="宋体" w:cs="Times New Roman"/>
      <w:sz w:val="28"/>
      <w:szCs w:val="20"/>
    </w:rPr>
  </w:style>
  <w:style w:type="character" w:customStyle="1" w:styleId="43">
    <w:name w:val="正文文本缩进 3 Char"/>
    <w:basedOn w:val="23"/>
    <w:link w:val="20"/>
    <w:qFormat/>
    <w:uiPriority w:val="0"/>
    <w:rPr>
      <w:rFonts w:ascii="仿宋_GB2312" w:hAnsi="宋体" w:eastAsia="仿宋_GB2312" w:cs="Times New Roman"/>
      <w:sz w:val="28"/>
      <w:szCs w:val="20"/>
    </w:rPr>
  </w:style>
  <w:style w:type="paragraph" w:customStyle="1" w:styleId="44">
    <w:name w:val="Char"/>
    <w:basedOn w:val="1"/>
    <w:qFormat/>
    <w:uiPriority w:val="0"/>
    <w:rPr>
      <w:rFonts w:ascii="Tahoma" w:hAnsi="Tahoma"/>
      <w:sz w:val="24"/>
    </w:rPr>
  </w:style>
  <w:style w:type="character" w:customStyle="1" w:styleId="45">
    <w:name w:val="批注文字 Char"/>
    <w:basedOn w:val="23"/>
    <w:link w:val="6"/>
    <w:semiHidden/>
    <w:qFormat/>
    <w:uiPriority w:val="0"/>
    <w:rPr>
      <w:rFonts w:ascii="Times New Roman" w:hAnsi="Times New Roman" w:eastAsia="宋体" w:cs="Times New Roman"/>
      <w:szCs w:val="24"/>
    </w:rPr>
  </w:style>
  <w:style w:type="character" w:customStyle="1" w:styleId="46">
    <w:name w:val="批注主题 Char"/>
    <w:basedOn w:val="45"/>
    <w:link w:val="5"/>
    <w:semiHidden/>
    <w:qFormat/>
    <w:uiPriority w:val="0"/>
    <w:rPr>
      <w:rFonts w:ascii="Times New Roman" w:hAnsi="Times New Roman" w:eastAsia="宋体" w:cs="Times New Roman"/>
      <w:b/>
      <w:bCs/>
      <w:szCs w:val="24"/>
    </w:rPr>
  </w:style>
  <w:style w:type="paragraph" w:customStyle="1" w:styleId="47">
    <w:name w:val="Char Char Char1 Char"/>
    <w:basedOn w:val="1"/>
    <w:qFormat/>
    <w:uiPriority w:val="0"/>
    <w:rPr>
      <w:rFonts w:ascii="Tahoma" w:hAnsi="Tahoma"/>
      <w:sz w:val="24"/>
    </w:rPr>
  </w:style>
  <w:style w:type="paragraph" w:customStyle="1" w:styleId="48">
    <w:name w:val="H1"/>
    <w:basedOn w:val="2"/>
    <w:qFormat/>
    <w:uiPriority w:val="0"/>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49">
    <w:name w:val="普通文字 Char"/>
    <w:basedOn w:val="23"/>
    <w:uiPriority w:val="0"/>
    <w:rPr>
      <w:rFonts w:ascii="宋体" w:hAnsi="Courier New" w:eastAsia="宋体"/>
      <w:kern w:val="2"/>
      <w:sz w:val="21"/>
      <w:lang w:val="en-US" w:eastAsia="zh-CN" w:bidi="ar-SA"/>
    </w:rPr>
  </w:style>
  <w:style w:type="paragraph" w:customStyle="1" w:styleId="50">
    <w:name w:val="Char Char Char Char Char Char Char Char Char Char Char Char Char"/>
    <w:basedOn w:val="1"/>
    <w:qFormat/>
    <w:uiPriority w:val="0"/>
    <w:rPr>
      <w:rFonts w:ascii="Tahoma" w:hAnsi="Tahoma"/>
      <w:sz w:val="24"/>
    </w:rPr>
  </w:style>
  <w:style w:type="character" w:customStyle="1" w:styleId="51">
    <w:name w:val="文档结构图 Char"/>
    <w:basedOn w:val="23"/>
    <w:link w:val="8"/>
    <w:qFormat/>
    <w:uiPriority w:val="0"/>
    <w:rPr>
      <w:rFonts w:ascii="宋体" w:hAnsi="Times New Roman" w:eastAsia="宋体" w:cs="Times New Roman"/>
      <w:sz w:val="18"/>
      <w:szCs w:val="18"/>
    </w:rPr>
  </w:style>
  <w:style w:type="paragraph" w:customStyle="1" w:styleId="52">
    <w:name w:val="Char Char Char Char Char Char Char"/>
    <w:basedOn w:val="1"/>
    <w:qFormat/>
    <w:uiPriority w:val="0"/>
    <w:rPr>
      <w:rFonts w:ascii="Tahoma" w:hAnsi="Tahoma" w:eastAsia="仿宋_GB2312"/>
      <w:sz w:val="24"/>
    </w:rPr>
  </w:style>
  <w:style w:type="paragraph" w:customStyle="1" w:styleId="53">
    <w:name w:val="Char Char Char Char Char Char Char Char Char Char Char Char Char Char Char Char Char Char Char Char Char Char"/>
    <w:basedOn w:val="1"/>
    <w:qFormat/>
    <w:uiPriority w:val="0"/>
    <w:rPr>
      <w:rFonts w:ascii="Tahoma" w:hAnsi="Tahoma" w:eastAsia="仿宋_GB2312"/>
      <w:sz w:val="24"/>
    </w:rPr>
  </w:style>
  <w:style w:type="paragraph" w:styleId="54">
    <w:name w:val="List Paragraph"/>
    <w:basedOn w:val="1"/>
    <w:qFormat/>
    <w:uiPriority w:val="0"/>
    <w:pPr>
      <w:ind w:firstLine="420" w:firstLineChars="200"/>
    </w:pPr>
  </w:style>
  <w:style w:type="character" w:customStyle="1" w:styleId="55">
    <w:name w:val="正文缩进 Char"/>
    <w:link w:val="7"/>
    <w:qFormat/>
    <w:uiPriority w:val="0"/>
    <w:rPr>
      <w:rFonts w:ascii="仿宋_GB2312" w:hAnsi="Times New Roman" w:eastAsia="仿宋_GB2312" w:cs="Times New Roman"/>
      <w:sz w:val="28"/>
      <w:szCs w:val="20"/>
    </w:rPr>
  </w:style>
  <w:style w:type="character" w:customStyle="1" w:styleId="56">
    <w:name w:val="普通(网站) Char"/>
    <w:link w:val="22"/>
    <w:qFormat/>
    <w:locked/>
    <w:uiPriority w:val="0"/>
    <w:rPr>
      <w:rFonts w:ascii="Arial Narrow" w:hAnsi="宋体" w:eastAsia="仿宋_GB2312" w:cs="Times New Roman"/>
      <w:kern w:val="0"/>
      <w:sz w:val="28"/>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310620-6897-477D-B476-A0250B39B119}">
  <ds:schemaRefs/>
</ds:datastoreItem>
</file>

<file path=docProps/app.xml><?xml version="1.0" encoding="utf-8"?>
<Properties xmlns="http://schemas.openxmlformats.org/officeDocument/2006/extended-properties" xmlns:vt="http://schemas.openxmlformats.org/officeDocument/2006/docPropsVTypes">
  <Template>Normal</Template>
  <Pages>20</Pages>
  <Words>1816</Words>
  <Characters>10356</Characters>
  <Lines>86</Lines>
  <Paragraphs>24</Paragraphs>
  <TotalTime>36</TotalTime>
  <ScaleCrop>false</ScaleCrop>
  <LinksUpToDate>false</LinksUpToDate>
  <CharactersWithSpaces>12148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2014-02-28T09:03:00Z</dcterms:created>
  <dc:creator>张志华</dc:creator>
  <cp:lastModifiedBy>Administrator</cp:lastModifiedBy>
  <cp:lastPrinted>2018-01-10T06:44:00Z</cp:lastPrinted>
  <dcterms:modified xsi:type="dcterms:W3CDTF">2018-12-25T05:38:59Z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