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EC" w:rsidRDefault="00AF6012">
      <w:r>
        <w:rPr>
          <w:rFonts w:hint="eastAsia"/>
          <w:color w:val="000000" w:themeColor="text1"/>
          <w:kern w:val="0"/>
          <w:sz w:val="24"/>
          <w:szCs w:val="24"/>
        </w:rPr>
        <w:t>本资产评估报告依据中国资产评估准则编制</w:t>
      </w:r>
    </w:p>
    <w:p w:rsidR="001C06EC" w:rsidRDefault="001C06EC">
      <w:pPr>
        <w:spacing w:before="100" w:beforeAutospacing="1" w:line="360" w:lineRule="auto"/>
        <w:jc w:val="center"/>
        <w:rPr>
          <w:rFonts w:asciiTheme="minorEastAsia" w:eastAsiaTheme="minorEastAsia" w:hAnsiTheme="minorEastAsia"/>
          <w:b/>
          <w:sz w:val="36"/>
          <w:szCs w:val="36"/>
        </w:rPr>
      </w:pPr>
    </w:p>
    <w:p w:rsidR="001C06EC" w:rsidRDefault="00AF6012" w:rsidP="00FF1DB2">
      <w:pPr>
        <w:spacing w:beforeLines="50" w:line="360" w:lineRule="auto"/>
        <w:jc w:val="center"/>
        <w:rPr>
          <w:rFonts w:asciiTheme="majorEastAsia" w:eastAsiaTheme="majorEastAsia" w:hAnsiTheme="majorEastAsia" w:cstheme="minorEastAsia"/>
          <w:b/>
          <w:spacing w:val="18"/>
          <w:sz w:val="36"/>
          <w:szCs w:val="36"/>
        </w:rPr>
      </w:pPr>
      <w:r>
        <w:rPr>
          <w:rFonts w:asciiTheme="majorEastAsia" w:eastAsiaTheme="majorEastAsia" w:hAnsiTheme="majorEastAsia" w:cstheme="minorEastAsia" w:hint="eastAsia"/>
          <w:b/>
          <w:spacing w:val="18"/>
          <w:sz w:val="36"/>
          <w:szCs w:val="36"/>
        </w:rPr>
        <w:t>青岛市黄岛区人民法院委托</w:t>
      </w:r>
    </w:p>
    <w:p w:rsidR="001C06EC" w:rsidRPr="004566EF" w:rsidRDefault="00AF6012" w:rsidP="00FF1DB2">
      <w:pPr>
        <w:spacing w:beforeLines="50" w:line="360" w:lineRule="auto"/>
        <w:jc w:val="center"/>
        <w:rPr>
          <w:rFonts w:asciiTheme="majorEastAsia" w:eastAsiaTheme="majorEastAsia" w:hAnsiTheme="majorEastAsia" w:cstheme="minorEastAsia"/>
          <w:spacing w:val="18"/>
          <w:sz w:val="36"/>
          <w:szCs w:val="36"/>
        </w:rPr>
      </w:pPr>
      <w:r>
        <w:rPr>
          <w:rFonts w:asciiTheme="majorEastAsia" w:eastAsiaTheme="majorEastAsia" w:hAnsiTheme="majorEastAsia" w:cstheme="minorEastAsia" w:hint="eastAsia"/>
          <w:b/>
          <w:spacing w:val="18"/>
          <w:sz w:val="36"/>
          <w:szCs w:val="36"/>
        </w:rPr>
        <w:t>对原告徐建中与被告青岛金蚯蚓生态科技有限公司民间借贷纠纷一案</w:t>
      </w:r>
      <w:r w:rsidR="004566EF">
        <w:rPr>
          <w:rFonts w:asciiTheme="majorEastAsia" w:eastAsiaTheme="majorEastAsia" w:hAnsiTheme="majorEastAsia" w:cstheme="minorEastAsia" w:hint="eastAsia"/>
          <w:b/>
          <w:spacing w:val="18"/>
          <w:sz w:val="36"/>
          <w:szCs w:val="36"/>
        </w:rPr>
        <w:t>涉及的银杏树价值</w:t>
      </w:r>
      <w:r>
        <w:rPr>
          <w:rFonts w:asciiTheme="majorEastAsia" w:eastAsiaTheme="majorEastAsia" w:hAnsiTheme="majorEastAsia" w:cstheme="minorEastAsia" w:hint="eastAsia"/>
          <w:b/>
          <w:spacing w:val="18"/>
          <w:sz w:val="36"/>
          <w:szCs w:val="36"/>
        </w:rPr>
        <w:t>鉴定项目</w:t>
      </w:r>
      <w:r>
        <w:rPr>
          <w:rFonts w:asciiTheme="majorEastAsia" w:eastAsiaTheme="majorEastAsia" w:hAnsiTheme="majorEastAsia" w:hint="eastAsia"/>
          <w:b/>
          <w:bCs/>
          <w:sz w:val="36"/>
          <w:szCs w:val="36"/>
        </w:rPr>
        <w:t>资产评估报告</w:t>
      </w:r>
    </w:p>
    <w:p w:rsidR="001C06EC" w:rsidRDefault="00AF6012">
      <w:pPr>
        <w:spacing w:line="360" w:lineRule="auto"/>
        <w:jc w:val="center"/>
        <w:rPr>
          <w:rFonts w:asciiTheme="minorEastAsia" w:eastAsiaTheme="minorEastAsia" w:hAnsiTheme="minorEastAsia"/>
          <w:bCs/>
          <w:sz w:val="24"/>
          <w:szCs w:val="24"/>
        </w:rPr>
      </w:pPr>
      <w:r>
        <w:rPr>
          <w:rFonts w:asciiTheme="minorEastAsia" w:eastAsiaTheme="minorEastAsia" w:hAnsiTheme="minorEastAsia" w:hint="eastAsia"/>
          <w:bCs/>
          <w:sz w:val="24"/>
          <w:szCs w:val="24"/>
        </w:rPr>
        <w:t>青振评报字[2018]第</w:t>
      </w:r>
      <w:r w:rsidR="00DA5505">
        <w:rPr>
          <w:rFonts w:asciiTheme="minorEastAsia" w:eastAsiaTheme="minorEastAsia" w:hAnsiTheme="minorEastAsia" w:hint="eastAsia"/>
          <w:bCs/>
          <w:sz w:val="24"/>
          <w:szCs w:val="24"/>
        </w:rPr>
        <w:t>0202</w:t>
      </w:r>
      <w:r w:rsidR="005B6D08">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号</w:t>
      </w:r>
    </w:p>
    <w:p w:rsidR="001C06EC" w:rsidRDefault="00AF6012">
      <w:pPr>
        <w:spacing w:line="360" w:lineRule="auto"/>
        <w:jc w:val="center"/>
        <w:rPr>
          <w:rFonts w:asciiTheme="minorEastAsia" w:eastAsiaTheme="minorEastAsia" w:hAnsiTheme="minorEastAsia"/>
          <w:sz w:val="28"/>
          <w:szCs w:val="28"/>
        </w:rPr>
      </w:pPr>
      <w:r>
        <w:rPr>
          <w:rFonts w:asciiTheme="minorEastAsia" w:eastAsiaTheme="minorEastAsia" w:hAnsiTheme="minorEastAsia" w:hint="eastAsia"/>
          <w:bCs/>
          <w:sz w:val="28"/>
          <w:szCs w:val="28"/>
        </w:rPr>
        <w:t>（共 1册  第 1册）</w:t>
      </w:r>
    </w:p>
    <w:p w:rsidR="001C06EC" w:rsidRDefault="001C06EC">
      <w:pPr>
        <w:spacing w:line="360" w:lineRule="auto"/>
        <w:jc w:val="center"/>
        <w:rPr>
          <w:rFonts w:asciiTheme="minorEastAsia" w:eastAsiaTheme="minorEastAsia" w:hAnsiTheme="minorEastAsia"/>
          <w:sz w:val="28"/>
          <w:szCs w:val="28"/>
        </w:rPr>
      </w:pPr>
    </w:p>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1C06EC"/>
    <w:p w:rsidR="001C06EC" w:rsidRDefault="00AF6012">
      <w:pPr>
        <w:ind w:firstLineChars="600" w:firstLine="1687"/>
        <w:rPr>
          <w:rFonts w:asciiTheme="minorEastAsia" w:eastAsiaTheme="minorEastAsia" w:hAnsiTheme="minorEastAsia"/>
          <w:b/>
          <w:bCs/>
          <w:sz w:val="28"/>
        </w:rPr>
      </w:pPr>
      <w:r>
        <w:rPr>
          <w:rFonts w:asciiTheme="minorEastAsia" w:eastAsiaTheme="minorEastAsia" w:hAnsiTheme="minorEastAsia" w:hint="eastAsia"/>
          <w:b/>
          <w:bCs/>
          <w:sz w:val="28"/>
        </w:rPr>
        <w:t>青岛振青资产评估有限责任公司</w:t>
      </w:r>
    </w:p>
    <w:p w:rsidR="001C06EC" w:rsidRDefault="00AF6012">
      <w:pPr>
        <w:ind w:firstLineChars="800" w:firstLine="2249"/>
        <w:rPr>
          <w:rFonts w:asciiTheme="minorEastAsia" w:eastAsiaTheme="minorEastAsia" w:hAnsiTheme="minorEastAsia"/>
          <w:b/>
          <w:bCs/>
          <w:sz w:val="28"/>
        </w:rPr>
      </w:pPr>
      <w:r>
        <w:rPr>
          <w:rFonts w:asciiTheme="minorEastAsia" w:eastAsiaTheme="minorEastAsia" w:hAnsiTheme="minorEastAsia" w:hint="eastAsia"/>
          <w:b/>
          <w:bCs/>
          <w:sz w:val="28"/>
        </w:rPr>
        <w:t>二○一八年</w:t>
      </w:r>
      <w:r w:rsidR="00873851">
        <w:rPr>
          <w:rFonts w:asciiTheme="minorEastAsia" w:eastAsiaTheme="minorEastAsia" w:hAnsiTheme="minorEastAsia" w:hint="eastAsia"/>
          <w:b/>
          <w:bCs/>
          <w:sz w:val="28"/>
        </w:rPr>
        <w:t>十二</w:t>
      </w:r>
      <w:r>
        <w:rPr>
          <w:rFonts w:asciiTheme="minorEastAsia" w:eastAsiaTheme="minorEastAsia" w:hAnsiTheme="minorEastAsia" w:hint="eastAsia"/>
          <w:b/>
          <w:bCs/>
          <w:sz w:val="28"/>
        </w:rPr>
        <w:t>月</w:t>
      </w:r>
      <w:r w:rsidR="00873851">
        <w:rPr>
          <w:rFonts w:asciiTheme="minorEastAsia" w:eastAsiaTheme="minorEastAsia" w:hAnsiTheme="minorEastAsia" w:hint="eastAsia"/>
          <w:b/>
          <w:bCs/>
          <w:sz w:val="28"/>
        </w:rPr>
        <w:t>十</w:t>
      </w:r>
      <w:r>
        <w:rPr>
          <w:rFonts w:asciiTheme="minorEastAsia" w:eastAsiaTheme="minorEastAsia" w:hAnsiTheme="minorEastAsia" w:hint="eastAsia"/>
          <w:b/>
          <w:bCs/>
          <w:sz w:val="28"/>
        </w:rPr>
        <w:t>日</w:t>
      </w:r>
    </w:p>
    <w:p w:rsidR="001C06EC" w:rsidRDefault="001C06EC">
      <w:pPr>
        <w:tabs>
          <w:tab w:val="left" w:pos="1785"/>
        </w:tabs>
      </w:pPr>
    </w:p>
    <w:p w:rsidR="001C06EC" w:rsidRDefault="001C06EC"/>
    <w:p w:rsidR="001C06EC" w:rsidRDefault="001C06EC">
      <w:pPr>
        <w:sectPr w:rsidR="001C06EC">
          <w:headerReference w:type="default" r:id="rId9"/>
          <w:pgSz w:w="11906" w:h="16838"/>
          <w:pgMar w:top="1440" w:right="1797" w:bottom="1440" w:left="1797" w:header="851" w:footer="992" w:gutter="0"/>
          <w:cols w:space="425"/>
          <w:docGrid w:type="lines" w:linePitch="312"/>
        </w:sectPr>
      </w:pPr>
    </w:p>
    <w:p w:rsidR="001C06EC" w:rsidRDefault="00AF6012">
      <w:pPr>
        <w:spacing w:before="100" w:beforeAutospacing="1" w:after="100" w:afterAutospacing="1" w:line="360" w:lineRule="auto"/>
        <w:jc w:val="center"/>
        <w:rPr>
          <w:sz w:val="32"/>
          <w:szCs w:val="32"/>
        </w:rPr>
      </w:pPr>
      <w:r>
        <w:rPr>
          <w:rFonts w:hint="eastAsia"/>
          <w:sz w:val="32"/>
          <w:szCs w:val="32"/>
        </w:rPr>
        <w:lastRenderedPageBreak/>
        <w:t>评估报告目录</w:t>
      </w:r>
    </w:p>
    <w:p w:rsidR="001C06EC" w:rsidRDefault="003A5F2B">
      <w:pPr>
        <w:pStyle w:val="10"/>
        <w:rPr>
          <w:rFonts w:asciiTheme="minorHAnsi" w:eastAsiaTheme="minorEastAsia" w:hAnsiTheme="minorHAnsi" w:cstheme="minorBidi"/>
          <w:b w:val="0"/>
          <w:sz w:val="21"/>
          <w:szCs w:val="22"/>
        </w:rPr>
      </w:pPr>
      <w:r w:rsidRPr="003A5F2B">
        <w:fldChar w:fldCharType="begin"/>
      </w:r>
      <w:r w:rsidR="00AF6012">
        <w:instrText xml:space="preserve"> TOC \o "1-3" \h \z \u </w:instrText>
      </w:r>
      <w:r w:rsidRPr="003A5F2B">
        <w:fldChar w:fldCharType="separate"/>
      </w:r>
      <w:hyperlink w:anchor="_Toc515005158" w:history="1">
        <w:r w:rsidR="00AF6012">
          <w:rPr>
            <w:rStyle w:val="af"/>
            <w:rFonts w:hint="eastAsia"/>
            <w:bCs/>
            <w:kern w:val="44"/>
          </w:rPr>
          <w:t>声明</w:t>
        </w:r>
        <w:r w:rsidR="00AF6012">
          <w:tab/>
        </w:r>
        <w:r>
          <w:fldChar w:fldCharType="begin"/>
        </w:r>
        <w:r w:rsidR="00AF6012">
          <w:instrText xml:space="preserve"> PAGEREF _Toc515005158 \h </w:instrText>
        </w:r>
        <w:r>
          <w:fldChar w:fldCharType="separate"/>
        </w:r>
        <w:r w:rsidR="00873851">
          <w:rPr>
            <w:noProof/>
          </w:rPr>
          <w:t>1</w:t>
        </w:r>
        <w:r>
          <w:fldChar w:fldCharType="end"/>
        </w:r>
      </w:hyperlink>
    </w:p>
    <w:p w:rsidR="001C06EC" w:rsidRDefault="003A5F2B">
      <w:pPr>
        <w:pStyle w:val="10"/>
        <w:rPr>
          <w:rFonts w:asciiTheme="minorHAnsi" w:eastAsiaTheme="minorEastAsia" w:hAnsiTheme="minorHAnsi" w:cstheme="minorBidi"/>
          <w:b w:val="0"/>
          <w:sz w:val="21"/>
          <w:szCs w:val="22"/>
        </w:rPr>
      </w:pPr>
      <w:hyperlink w:anchor="_Toc515005159" w:history="1">
        <w:r w:rsidR="00AF6012">
          <w:rPr>
            <w:rStyle w:val="af"/>
            <w:rFonts w:hint="eastAsia"/>
          </w:rPr>
          <w:t>评估报告摘要</w:t>
        </w:r>
        <w:r w:rsidR="00AF6012">
          <w:tab/>
        </w:r>
        <w:r>
          <w:fldChar w:fldCharType="begin"/>
        </w:r>
        <w:r w:rsidR="00AF6012">
          <w:instrText xml:space="preserve"> PAGEREF _Toc515005159 \h </w:instrText>
        </w:r>
        <w:r>
          <w:fldChar w:fldCharType="separate"/>
        </w:r>
        <w:r w:rsidR="00873851">
          <w:rPr>
            <w:noProof/>
          </w:rPr>
          <w:t>2</w:t>
        </w:r>
        <w:r>
          <w:fldChar w:fldCharType="end"/>
        </w:r>
      </w:hyperlink>
    </w:p>
    <w:p w:rsidR="001C06EC" w:rsidRDefault="003A5F2B">
      <w:pPr>
        <w:pStyle w:val="10"/>
        <w:rPr>
          <w:rFonts w:asciiTheme="minorHAnsi" w:eastAsiaTheme="minorEastAsia" w:hAnsiTheme="minorHAnsi" w:cstheme="minorBidi"/>
          <w:b w:val="0"/>
          <w:sz w:val="21"/>
          <w:szCs w:val="22"/>
        </w:rPr>
      </w:pPr>
      <w:hyperlink w:anchor="_Toc515005160" w:history="1">
        <w:r w:rsidR="00AF6012">
          <w:rPr>
            <w:rStyle w:val="af"/>
            <w:rFonts w:hint="eastAsia"/>
          </w:rPr>
          <w:t>评估报告正文</w:t>
        </w:r>
        <w:r w:rsidR="00AF6012">
          <w:tab/>
        </w:r>
        <w:r>
          <w:fldChar w:fldCharType="begin"/>
        </w:r>
        <w:r w:rsidR="00AF6012">
          <w:instrText xml:space="preserve"> PAGEREF _Toc515005160 \h </w:instrText>
        </w:r>
        <w:r>
          <w:fldChar w:fldCharType="separate"/>
        </w:r>
        <w:r w:rsidR="00873851">
          <w:rPr>
            <w:noProof/>
          </w:rPr>
          <w:t>4</w:t>
        </w:r>
        <w:r>
          <w:fldChar w:fldCharType="end"/>
        </w:r>
      </w:hyperlink>
    </w:p>
    <w:p w:rsidR="001C06EC" w:rsidRDefault="00AF6012">
      <w:pPr>
        <w:pStyle w:val="21"/>
        <w:rPr>
          <w:rStyle w:val="af"/>
        </w:rPr>
      </w:pPr>
      <w:r>
        <w:rPr>
          <w:rFonts w:ascii="Arial" w:hAnsi="Arial" w:hint="eastAsia"/>
          <w:bCs/>
          <w:szCs w:val="32"/>
        </w:rPr>
        <w:t>一、</w:t>
      </w:r>
      <w:r>
        <w:rPr>
          <w:rFonts w:ascii="Arial" w:hAnsi="Arial"/>
          <w:bCs/>
          <w:szCs w:val="32"/>
        </w:rPr>
        <w:t>委托</w:t>
      </w:r>
      <w:r>
        <w:rPr>
          <w:rFonts w:ascii="Arial" w:hAnsi="Arial" w:hint="eastAsia"/>
          <w:bCs/>
          <w:szCs w:val="32"/>
        </w:rPr>
        <w:t>人</w:t>
      </w:r>
      <w:r>
        <w:rPr>
          <w:rFonts w:ascii="Arial" w:hAnsi="Arial"/>
          <w:bCs/>
          <w:szCs w:val="32"/>
        </w:rPr>
        <w:t>、产权持有人及</w:t>
      </w:r>
      <w:r>
        <w:rPr>
          <w:rFonts w:ascii="Arial" w:hAnsi="Arial" w:hint="eastAsia"/>
          <w:bCs/>
          <w:szCs w:val="32"/>
        </w:rPr>
        <w:t>资产评估委托合同约定的其他资产评估报告使用人的概况</w:t>
      </w:r>
      <w:r>
        <w:rPr>
          <w:rFonts w:ascii="Arial" w:hAnsi="Arial"/>
          <w:bCs/>
          <w:szCs w:val="32"/>
        </w:rPr>
        <w:tab/>
      </w:r>
      <w:r>
        <w:rPr>
          <w:rFonts w:ascii="Arial" w:hAnsi="Arial" w:hint="eastAsia"/>
          <w:bCs/>
          <w:szCs w:val="32"/>
        </w:rPr>
        <w:t>4</w:t>
      </w:r>
    </w:p>
    <w:p w:rsidR="001C06EC" w:rsidRDefault="003A5F2B">
      <w:pPr>
        <w:pStyle w:val="21"/>
        <w:rPr>
          <w:rFonts w:asciiTheme="minorHAnsi" w:eastAsiaTheme="minorEastAsia" w:hAnsiTheme="minorHAnsi" w:cstheme="minorBidi"/>
          <w:sz w:val="21"/>
          <w:szCs w:val="22"/>
        </w:rPr>
      </w:pPr>
      <w:hyperlink w:anchor="_Toc515005161" w:history="1">
        <w:r w:rsidR="00AF6012">
          <w:rPr>
            <w:rStyle w:val="af"/>
            <w:rFonts w:hint="eastAsia"/>
          </w:rPr>
          <w:t>二、评估目的</w:t>
        </w:r>
        <w:r w:rsidR="00AF6012">
          <w:tab/>
        </w:r>
        <w:r>
          <w:fldChar w:fldCharType="begin"/>
        </w:r>
        <w:r w:rsidR="00AF6012">
          <w:instrText xml:space="preserve"> PAGEREF _Toc515005161 \h </w:instrText>
        </w:r>
        <w:r>
          <w:fldChar w:fldCharType="separate"/>
        </w:r>
        <w:r w:rsidR="00873851">
          <w:rPr>
            <w:noProof/>
          </w:rPr>
          <w:t>4</w:t>
        </w:r>
        <w:r>
          <w:fldChar w:fldCharType="end"/>
        </w:r>
      </w:hyperlink>
    </w:p>
    <w:p w:rsidR="001C06EC" w:rsidRDefault="003A5F2B">
      <w:pPr>
        <w:pStyle w:val="21"/>
        <w:rPr>
          <w:rFonts w:asciiTheme="minorHAnsi" w:eastAsiaTheme="minorEastAsia" w:hAnsiTheme="minorHAnsi" w:cstheme="minorBidi"/>
          <w:sz w:val="21"/>
          <w:szCs w:val="22"/>
        </w:rPr>
      </w:pPr>
      <w:hyperlink w:anchor="_Toc515005162" w:history="1">
        <w:r w:rsidR="00AF6012">
          <w:rPr>
            <w:rStyle w:val="af"/>
            <w:rFonts w:hint="eastAsia"/>
          </w:rPr>
          <w:t>三、评估对象和评估范围</w:t>
        </w:r>
        <w:r w:rsidR="00AF6012">
          <w:tab/>
        </w:r>
        <w:r>
          <w:fldChar w:fldCharType="begin"/>
        </w:r>
        <w:r w:rsidR="00AF6012">
          <w:instrText xml:space="preserve"> PAGEREF _Toc515005162 \h </w:instrText>
        </w:r>
        <w:r>
          <w:fldChar w:fldCharType="separate"/>
        </w:r>
        <w:r w:rsidR="00873851">
          <w:rPr>
            <w:noProof/>
          </w:rPr>
          <w:t>5</w:t>
        </w:r>
        <w:r>
          <w:fldChar w:fldCharType="end"/>
        </w:r>
      </w:hyperlink>
    </w:p>
    <w:p w:rsidR="001C06EC" w:rsidRDefault="003A5F2B">
      <w:pPr>
        <w:pStyle w:val="21"/>
        <w:rPr>
          <w:rFonts w:asciiTheme="minorHAnsi" w:eastAsiaTheme="minorEastAsia" w:hAnsiTheme="minorHAnsi" w:cstheme="minorBidi"/>
          <w:sz w:val="21"/>
          <w:szCs w:val="22"/>
        </w:rPr>
      </w:pPr>
      <w:hyperlink w:anchor="_Toc515005163" w:history="1">
        <w:r w:rsidR="00AF6012">
          <w:rPr>
            <w:rStyle w:val="af"/>
            <w:rFonts w:hint="eastAsia"/>
          </w:rPr>
          <w:t>四、价值类型及其定义</w:t>
        </w:r>
        <w:r w:rsidR="00AF6012">
          <w:tab/>
        </w:r>
        <w:r>
          <w:fldChar w:fldCharType="begin"/>
        </w:r>
        <w:r w:rsidR="00AF6012">
          <w:instrText xml:space="preserve"> PAGEREF _Toc515005163 \h </w:instrText>
        </w:r>
        <w:r>
          <w:fldChar w:fldCharType="separate"/>
        </w:r>
        <w:r w:rsidR="00873851">
          <w:rPr>
            <w:noProof/>
          </w:rPr>
          <w:t>5</w:t>
        </w:r>
        <w:r>
          <w:fldChar w:fldCharType="end"/>
        </w:r>
      </w:hyperlink>
    </w:p>
    <w:p w:rsidR="001C06EC" w:rsidRDefault="003A5F2B">
      <w:pPr>
        <w:pStyle w:val="21"/>
        <w:rPr>
          <w:rFonts w:asciiTheme="minorHAnsi" w:eastAsiaTheme="minorEastAsia" w:hAnsiTheme="minorHAnsi" w:cstheme="minorBidi"/>
          <w:sz w:val="21"/>
          <w:szCs w:val="22"/>
        </w:rPr>
      </w:pPr>
      <w:hyperlink w:anchor="_Toc515005164" w:history="1">
        <w:r w:rsidR="00AF6012">
          <w:rPr>
            <w:rStyle w:val="af"/>
            <w:rFonts w:hint="eastAsia"/>
          </w:rPr>
          <w:t>五、评估基准日</w:t>
        </w:r>
        <w:r w:rsidR="00AF6012">
          <w:tab/>
        </w:r>
        <w:r>
          <w:fldChar w:fldCharType="begin"/>
        </w:r>
        <w:r w:rsidR="00AF6012">
          <w:instrText xml:space="preserve"> PAGEREF _Toc515005164 \h </w:instrText>
        </w:r>
        <w:r>
          <w:fldChar w:fldCharType="separate"/>
        </w:r>
        <w:r w:rsidR="00873851">
          <w:rPr>
            <w:noProof/>
          </w:rPr>
          <w:t>6</w:t>
        </w:r>
        <w:r>
          <w:fldChar w:fldCharType="end"/>
        </w:r>
      </w:hyperlink>
    </w:p>
    <w:p w:rsidR="001C06EC" w:rsidRDefault="003A5F2B">
      <w:pPr>
        <w:pStyle w:val="21"/>
        <w:rPr>
          <w:rFonts w:asciiTheme="minorHAnsi" w:eastAsiaTheme="minorEastAsia" w:hAnsiTheme="minorHAnsi" w:cstheme="minorBidi"/>
          <w:sz w:val="21"/>
          <w:szCs w:val="22"/>
        </w:rPr>
      </w:pPr>
      <w:hyperlink w:anchor="_Toc515005165" w:history="1">
        <w:r w:rsidR="00AF6012">
          <w:rPr>
            <w:rStyle w:val="af"/>
            <w:rFonts w:hint="eastAsia"/>
          </w:rPr>
          <w:t>六、评估依据</w:t>
        </w:r>
        <w:r w:rsidR="00AF6012">
          <w:tab/>
        </w:r>
        <w:r>
          <w:fldChar w:fldCharType="begin"/>
        </w:r>
        <w:r w:rsidR="00AF6012">
          <w:instrText xml:space="preserve"> PAGEREF _Toc515005165 \h </w:instrText>
        </w:r>
        <w:r>
          <w:fldChar w:fldCharType="separate"/>
        </w:r>
        <w:r w:rsidR="00873851">
          <w:rPr>
            <w:noProof/>
          </w:rPr>
          <w:t>6</w:t>
        </w:r>
        <w:r>
          <w:fldChar w:fldCharType="end"/>
        </w:r>
      </w:hyperlink>
    </w:p>
    <w:p w:rsidR="001C06EC" w:rsidRDefault="003A5F2B">
      <w:pPr>
        <w:pStyle w:val="21"/>
        <w:rPr>
          <w:rFonts w:asciiTheme="minorHAnsi" w:eastAsiaTheme="minorEastAsia" w:hAnsiTheme="minorHAnsi" w:cstheme="minorBidi"/>
          <w:sz w:val="21"/>
          <w:szCs w:val="22"/>
        </w:rPr>
      </w:pPr>
      <w:hyperlink w:anchor="_Toc515005166" w:history="1">
        <w:r w:rsidR="00AF6012">
          <w:rPr>
            <w:rStyle w:val="af"/>
            <w:rFonts w:hint="eastAsia"/>
          </w:rPr>
          <w:t>七、评估方法</w:t>
        </w:r>
        <w:r w:rsidR="00AF6012">
          <w:tab/>
        </w:r>
        <w:r>
          <w:fldChar w:fldCharType="begin"/>
        </w:r>
        <w:r w:rsidR="00AF6012">
          <w:instrText xml:space="preserve"> PAGEREF _Toc515005166 \h </w:instrText>
        </w:r>
        <w:r>
          <w:fldChar w:fldCharType="separate"/>
        </w:r>
        <w:r w:rsidR="00873851">
          <w:rPr>
            <w:noProof/>
          </w:rPr>
          <w:t>7</w:t>
        </w:r>
        <w:r>
          <w:fldChar w:fldCharType="end"/>
        </w:r>
      </w:hyperlink>
    </w:p>
    <w:p w:rsidR="001C06EC" w:rsidRDefault="003A5F2B">
      <w:pPr>
        <w:pStyle w:val="21"/>
        <w:rPr>
          <w:rFonts w:asciiTheme="minorHAnsi" w:eastAsiaTheme="minorEastAsia" w:hAnsiTheme="minorHAnsi" w:cstheme="minorBidi"/>
          <w:sz w:val="21"/>
          <w:szCs w:val="22"/>
        </w:rPr>
      </w:pPr>
      <w:hyperlink w:anchor="_Toc515005167" w:history="1">
        <w:r w:rsidR="00AF6012">
          <w:rPr>
            <w:rStyle w:val="af"/>
            <w:rFonts w:hint="eastAsia"/>
          </w:rPr>
          <w:t>八、评估程序实施过程和情况</w:t>
        </w:r>
        <w:r w:rsidR="00AF6012">
          <w:tab/>
        </w:r>
        <w:r>
          <w:fldChar w:fldCharType="begin"/>
        </w:r>
        <w:r w:rsidR="00AF6012">
          <w:instrText xml:space="preserve"> PAGEREF _Toc515005167 \h </w:instrText>
        </w:r>
        <w:r>
          <w:fldChar w:fldCharType="separate"/>
        </w:r>
        <w:r w:rsidR="00873851">
          <w:rPr>
            <w:noProof/>
          </w:rPr>
          <w:t>7</w:t>
        </w:r>
        <w:r>
          <w:fldChar w:fldCharType="end"/>
        </w:r>
      </w:hyperlink>
    </w:p>
    <w:p w:rsidR="001C06EC" w:rsidRDefault="003A5F2B">
      <w:pPr>
        <w:pStyle w:val="21"/>
        <w:rPr>
          <w:rFonts w:asciiTheme="minorHAnsi" w:eastAsiaTheme="minorEastAsia" w:hAnsiTheme="minorHAnsi" w:cstheme="minorBidi"/>
          <w:sz w:val="21"/>
          <w:szCs w:val="22"/>
        </w:rPr>
      </w:pPr>
      <w:hyperlink w:anchor="_Toc515005176" w:history="1">
        <w:r w:rsidR="00AF6012">
          <w:rPr>
            <w:rStyle w:val="af"/>
            <w:rFonts w:hint="eastAsia"/>
          </w:rPr>
          <w:t>九、评估假设</w:t>
        </w:r>
        <w:r w:rsidR="00AF6012">
          <w:tab/>
        </w:r>
        <w:r>
          <w:fldChar w:fldCharType="begin"/>
        </w:r>
        <w:r w:rsidR="00AF6012">
          <w:instrText xml:space="preserve"> PAGEREF _Toc515005176 \h </w:instrText>
        </w:r>
        <w:r>
          <w:fldChar w:fldCharType="separate"/>
        </w:r>
        <w:r w:rsidR="00873851">
          <w:rPr>
            <w:noProof/>
          </w:rPr>
          <w:t>8</w:t>
        </w:r>
        <w:r>
          <w:fldChar w:fldCharType="end"/>
        </w:r>
      </w:hyperlink>
    </w:p>
    <w:p w:rsidR="001C06EC" w:rsidRDefault="003A5F2B">
      <w:pPr>
        <w:pStyle w:val="21"/>
        <w:rPr>
          <w:rFonts w:asciiTheme="minorHAnsi" w:eastAsiaTheme="minorEastAsia" w:hAnsiTheme="minorHAnsi" w:cstheme="minorBidi"/>
          <w:sz w:val="21"/>
          <w:szCs w:val="22"/>
        </w:rPr>
      </w:pPr>
      <w:hyperlink w:anchor="_Toc515005180" w:history="1">
        <w:r w:rsidR="00AF6012">
          <w:rPr>
            <w:rStyle w:val="af"/>
            <w:rFonts w:hint="eastAsia"/>
          </w:rPr>
          <w:t>十、评估结论</w:t>
        </w:r>
        <w:r w:rsidR="00AF6012">
          <w:tab/>
        </w:r>
        <w:r>
          <w:fldChar w:fldCharType="begin"/>
        </w:r>
        <w:r w:rsidR="00AF6012">
          <w:instrText xml:space="preserve"> PAGEREF _Toc515005180 \h </w:instrText>
        </w:r>
        <w:r>
          <w:fldChar w:fldCharType="separate"/>
        </w:r>
        <w:r w:rsidR="00873851">
          <w:rPr>
            <w:noProof/>
          </w:rPr>
          <w:t>9</w:t>
        </w:r>
        <w:r>
          <w:fldChar w:fldCharType="end"/>
        </w:r>
      </w:hyperlink>
    </w:p>
    <w:p w:rsidR="001C06EC" w:rsidRDefault="003A5F2B">
      <w:pPr>
        <w:pStyle w:val="21"/>
        <w:rPr>
          <w:rFonts w:asciiTheme="minorHAnsi" w:eastAsiaTheme="minorEastAsia" w:hAnsiTheme="minorHAnsi" w:cstheme="minorBidi"/>
          <w:sz w:val="21"/>
          <w:szCs w:val="22"/>
        </w:rPr>
      </w:pPr>
      <w:hyperlink w:anchor="_Toc515005181" w:history="1">
        <w:r w:rsidR="00AF6012">
          <w:rPr>
            <w:rStyle w:val="af"/>
            <w:rFonts w:hint="eastAsia"/>
          </w:rPr>
          <w:t>十一、特别事项说明</w:t>
        </w:r>
        <w:r w:rsidR="00AF6012">
          <w:tab/>
        </w:r>
        <w:r>
          <w:fldChar w:fldCharType="begin"/>
        </w:r>
        <w:r w:rsidR="00AF6012">
          <w:instrText xml:space="preserve"> PAGEREF _Toc515005181 \h </w:instrText>
        </w:r>
        <w:r>
          <w:fldChar w:fldCharType="separate"/>
        </w:r>
        <w:r w:rsidR="00873851">
          <w:rPr>
            <w:noProof/>
          </w:rPr>
          <w:t>9</w:t>
        </w:r>
        <w:r>
          <w:fldChar w:fldCharType="end"/>
        </w:r>
      </w:hyperlink>
    </w:p>
    <w:p w:rsidR="001C06EC" w:rsidRDefault="003A5F2B">
      <w:pPr>
        <w:pStyle w:val="21"/>
        <w:rPr>
          <w:rFonts w:asciiTheme="minorHAnsi" w:eastAsiaTheme="minorEastAsia" w:hAnsiTheme="minorHAnsi" w:cstheme="minorBidi"/>
          <w:sz w:val="21"/>
          <w:szCs w:val="22"/>
        </w:rPr>
      </w:pPr>
      <w:hyperlink w:anchor="_Toc515005182" w:history="1">
        <w:r w:rsidR="00AF6012">
          <w:rPr>
            <w:rStyle w:val="af"/>
            <w:rFonts w:hint="eastAsia"/>
          </w:rPr>
          <w:t>十二、评估报告使用限制说明</w:t>
        </w:r>
        <w:r w:rsidR="00AF6012">
          <w:tab/>
        </w:r>
        <w:r>
          <w:fldChar w:fldCharType="begin"/>
        </w:r>
        <w:r w:rsidR="00AF6012">
          <w:instrText xml:space="preserve"> PAGEREF _Toc515005182 \h </w:instrText>
        </w:r>
        <w:r>
          <w:fldChar w:fldCharType="separate"/>
        </w:r>
        <w:r w:rsidR="00873851">
          <w:rPr>
            <w:noProof/>
          </w:rPr>
          <w:t>10</w:t>
        </w:r>
        <w:r>
          <w:fldChar w:fldCharType="end"/>
        </w:r>
      </w:hyperlink>
    </w:p>
    <w:p w:rsidR="001C06EC" w:rsidRDefault="003A5F2B">
      <w:pPr>
        <w:pStyle w:val="21"/>
        <w:rPr>
          <w:rFonts w:asciiTheme="minorHAnsi" w:eastAsiaTheme="minorEastAsia" w:hAnsiTheme="minorHAnsi" w:cstheme="minorBidi"/>
          <w:sz w:val="21"/>
          <w:szCs w:val="22"/>
        </w:rPr>
      </w:pPr>
      <w:hyperlink w:anchor="_Toc515005183" w:history="1">
        <w:r w:rsidR="00AF6012">
          <w:rPr>
            <w:rStyle w:val="af"/>
            <w:rFonts w:hint="eastAsia"/>
          </w:rPr>
          <w:t>十三、评估报告日</w:t>
        </w:r>
        <w:r w:rsidR="00AF6012">
          <w:tab/>
        </w:r>
        <w:r>
          <w:fldChar w:fldCharType="begin"/>
        </w:r>
        <w:r w:rsidR="00AF6012">
          <w:instrText xml:space="preserve"> PAGEREF _Toc515005183 \h </w:instrText>
        </w:r>
        <w:r>
          <w:fldChar w:fldCharType="separate"/>
        </w:r>
        <w:r w:rsidR="00873851">
          <w:rPr>
            <w:noProof/>
          </w:rPr>
          <w:t>11</w:t>
        </w:r>
        <w:r>
          <w:fldChar w:fldCharType="end"/>
        </w:r>
      </w:hyperlink>
    </w:p>
    <w:p w:rsidR="001C06EC" w:rsidRDefault="003A5F2B">
      <w:pPr>
        <w:pStyle w:val="21"/>
        <w:rPr>
          <w:rFonts w:asciiTheme="minorHAnsi" w:eastAsiaTheme="minorEastAsia" w:hAnsiTheme="minorHAnsi" w:cstheme="minorBidi"/>
          <w:sz w:val="21"/>
          <w:szCs w:val="22"/>
        </w:rPr>
      </w:pPr>
      <w:hyperlink w:anchor="_Toc515005184" w:history="1">
        <w:r w:rsidR="00AF6012">
          <w:rPr>
            <w:rStyle w:val="af"/>
            <w:rFonts w:hint="eastAsia"/>
          </w:rPr>
          <w:t>十四、资产评估专业人员签名和资产评估机构印章</w:t>
        </w:r>
        <w:r w:rsidR="00AF6012">
          <w:tab/>
        </w:r>
        <w:r>
          <w:fldChar w:fldCharType="begin"/>
        </w:r>
        <w:r w:rsidR="00AF6012">
          <w:instrText xml:space="preserve"> PAGEREF _Toc515005184 \h </w:instrText>
        </w:r>
        <w:r>
          <w:fldChar w:fldCharType="separate"/>
        </w:r>
        <w:r w:rsidR="00873851">
          <w:rPr>
            <w:noProof/>
          </w:rPr>
          <w:t>12</w:t>
        </w:r>
        <w:r>
          <w:fldChar w:fldCharType="end"/>
        </w:r>
      </w:hyperlink>
    </w:p>
    <w:p w:rsidR="001C06EC" w:rsidRDefault="003A5F2B">
      <w:pPr>
        <w:pStyle w:val="10"/>
        <w:rPr>
          <w:rFonts w:asciiTheme="minorHAnsi" w:eastAsiaTheme="minorEastAsia" w:hAnsiTheme="minorHAnsi" w:cstheme="minorBidi"/>
          <w:b w:val="0"/>
          <w:sz w:val="21"/>
          <w:szCs w:val="22"/>
        </w:rPr>
      </w:pPr>
      <w:hyperlink w:anchor="_Toc515005185" w:history="1">
        <w:r w:rsidR="00AF6012">
          <w:rPr>
            <w:rStyle w:val="af"/>
            <w:rFonts w:hint="eastAsia"/>
          </w:rPr>
          <w:t>附件</w:t>
        </w:r>
        <w:r w:rsidR="00AF6012">
          <w:tab/>
        </w:r>
        <w:r>
          <w:fldChar w:fldCharType="begin"/>
        </w:r>
        <w:r w:rsidR="00AF6012">
          <w:instrText xml:space="preserve"> PAGEREF _Toc515005185 \h </w:instrText>
        </w:r>
        <w:r>
          <w:fldChar w:fldCharType="separate"/>
        </w:r>
        <w:r w:rsidR="00873851">
          <w:rPr>
            <w:noProof/>
          </w:rPr>
          <w:t>13</w:t>
        </w:r>
        <w:r>
          <w:fldChar w:fldCharType="end"/>
        </w:r>
      </w:hyperlink>
    </w:p>
    <w:p w:rsidR="001C06EC" w:rsidRDefault="003A5F2B">
      <w:pPr>
        <w:tabs>
          <w:tab w:val="left" w:pos="1155"/>
        </w:tabs>
        <w:spacing w:before="100" w:beforeAutospacing="1" w:line="360" w:lineRule="auto"/>
        <w:rPr>
          <w:sz w:val="24"/>
          <w:szCs w:val="24"/>
        </w:rPr>
      </w:pPr>
      <w:r>
        <w:rPr>
          <w:sz w:val="24"/>
        </w:rPr>
        <w:fldChar w:fldCharType="end"/>
      </w:r>
      <w:r w:rsidR="00AF6012">
        <w:rPr>
          <w:sz w:val="24"/>
        </w:rPr>
        <w:tab/>
      </w:r>
    </w:p>
    <w:p w:rsidR="001C06EC" w:rsidRDefault="001C06EC">
      <w:pPr>
        <w:spacing w:line="360" w:lineRule="auto"/>
        <w:ind w:firstLineChars="200" w:firstLine="480"/>
        <w:rPr>
          <w:sz w:val="24"/>
          <w:szCs w:val="24"/>
        </w:rPr>
      </w:pPr>
    </w:p>
    <w:p w:rsidR="001C06EC" w:rsidRDefault="00AF6012">
      <w:pPr>
        <w:tabs>
          <w:tab w:val="left" w:pos="1455"/>
        </w:tabs>
        <w:rPr>
          <w:sz w:val="44"/>
          <w:szCs w:val="44"/>
        </w:rPr>
      </w:pPr>
      <w:r>
        <w:rPr>
          <w:sz w:val="44"/>
          <w:szCs w:val="44"/>
        </w:rPr>
        <w:tab/>
      </w:r>
    </w:p>
    <w:p w:rsidR="001C06EC" w:rsidRDefault="001C06EC">
      <w:pPr>
        <w:rPr>
          <w:sz w:val="44"/>
          <w:szCs w:val="44"/>
        </w:rPr>
      </w:pPr>
    </w:p>
    <w:p w:rsidR="001C06EC" w:rsidRDefault="001C06EC">
      <w:pPr>
        <w:tabs>
          <w:tab w:val="left" w:pos="5325"/>
        </w:tabs>
        <w:rPr>
          <w:sz w:val="44"/>
          <w:szCs w:val="44"/>
        </w:rPr>
        <w:sectPr w:rsidR="001C06EC">
          <w:headerReference w:type="default" r:id="rId10"/>
          <w:footerReference w:type="default" r:id="rId11"/>
          <w:pgSz w:w="11906" w:h="16838"/>
          <w:pgMar w:top="1440" w:right="1800" w:bottom="1440" w:left="1800" w:header="851" w:footer="992" w:gutter="0"/>
          <w:cols w:space="425"/>
          <w:docGrid w:type="lines" w:linePitch="312"/>
        </w:sectPr>
      </w:pPr>
    </w:p>
    <w:p w:rsidR="001C06EC" w:rsidRDefault="00AF6012">
      <w:pPr>
        <w:keepNext/>
        <w:keepLines/>
        <w:spacing w:line="578" w:lineRule="auto"/>
        <w:jc w:val="center"/>
        <w:outlineLvl w:val="0"/>
        <w:rPr>
          <w:b/>
          <w:bCs/>
          <w:kern w:val="44"/>
          <w:sz w:val="32"/>
          <w:szCs w:val="32"/>
        </w:rPr>
      </w:pPr>
      <w:bookmarkStart w:id="0" w:name="_Toc493752477"/>
      <w:bookmarkStart w:id="1" w:name="_Toc515005158"/>
      <w:r>
        <w:rPr>
          <w:b/>
          <w:bCs/>
          <w:kern w:val="44"/>
          <w:sz w:val="32"/>
          <w:szCs w:val="32"/>
        </w:rPr>
        <w:lastRenderedPageBreak/>
        <w:t>声明</w:t>
      </w:r>
      <w:bookmarkEnd w:id="0"/>
      <w:bookmarkEnd w:id="1"/>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一、本资产评估报告依据财政部发布的资产评估基本准则和中国资产评估协会发布的资产评估执业准则和职业道德准则编制。</w:t>
      </w:r>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二、本资产评估机构及其资产评估师遵守法律、行政法规和资产评估准则，坚持独立、客观、公正的原则，并对所出具的资产评估报告依法承担责任。</w:t>
      </w:r>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三、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本资产评估报告仅供委托人、资产评估委托合同中约定的其他资产评估报告使用人和法律、行政法规规定的资产评估报告使用人使用；除此之外，其他任何机构和个人不能成为资产评估报告的使用人。</w:t>
      </w:r>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本资产评估机构及资产评估师提示资产评估报告使用人应当正确理解评估结论，评估结论不等同于评估对象可实现价格，评估结论不应当被认为是对评估对象可实现价格的保证。</w:t>
      </w:r>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四、评估对象涉及的资产资料由委托人、被评估单位申报并经其采用签名、盖章或法律允许的其他方式确认；委托人和其他相关当事人依法对其提供资料的真实性、完整性、合法性负责。</w:t>
      </w:r>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五、</w:t>
      </w:r>
      <w:r>
        <w:rPr>
          <w:rFonts w:ascii="宋体" w:hAnsi="宋体"/>
          <w:sz w:val="24"/>
          <w:szCs w:val="24"/>
        </w:rPr>
        <w:t>资产评估师已对评估对象及其所涉及资产进行现场调查；已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rsidR="001C06EC" w:rsidRDefault="00AF6012">
      <w:pPr>
        <w:snapToGrid w:val="0"/>
        <w:spacing w:line="360" w:lineRule="auto"/>
        <w:ind w:firstLineChars="200" w:firstLine="480"/>
        <w:rPr>
          <w:rFonts w:ascii="宋体" w:hAnsi="宋体"/>
          <w:sz w:val="24"/>
          <w:szCs w:val="24"/>
        </w:rPr>
      </w:pPr>
      <w:r>
        <w:rPr>
          <w:rFonts w:ascii="宋体" w:hAnsi="宋体" w:hint="eastAsia"/>
          <w:sz w:val="24"/>
          <w:szCs w:val="24"/>
        </w:rPr>
        <w:t>六、本资产评估机构及资产评估师与资产评估报告中的</w:t>
      </w:r>
      <w:r>
        <w:rPr>
          <w:rFonts w:ascii="宋体" w:hAnsi="宋体"/>
          <w:sz w:val="24"/>
          <w:szCs w:val="24"/>
        </w:rPr>
        <w:t>评估对象没有现存或者预期的利益关系</w:t>
      </w:r>
      <w:r>
        <w:rPr>
          <w:rFonts w:ascii="宋体" w:hAnsi="宋体" w:hint="eastAsia"/>
          <w:sz w:val="24"/>
          <w:szCs w:val="24"/>
        </w:rPr>
        <w:t>，</w:t>
      </w:r>
      <w:r>
        <w:rPr>
          <w:rFonts w:ascii="宋体" w:hAnsi="宋体"/>
          <w:sz w:val="24"/>
          <w:szCs w:val="24"/>
        </w:rPr>
        <w:t>与相关当事人没有现存或者预期的利益关系，对相关当事人不存在偏见。</w:t>
      </w:r>
    </w:p>
    <w:p w:rsidR="001C06EC" w:rsidRDefault="00AF6012" w:rsidP="00701456">
      <w:pPr>
        <w:pStyle w:val="a5"/>
        <w:tabs>
          <w:tab w:val="left" w:pos="-284"/>
          <w:tab w:val="left" w:pos="960"/>
        </w:tabs>
        <w:snapToGrid/>
        <w:spacing w:line="360" w:lineRule="auto"/>
        <w:jc w:val="left"/>
        <w:rPr>
          <w:rFonts w:asciiTheme="minorEastAsia" w:eastAsiaTheme="minorEastAsia" w:hAnsiTheme="minorEastAsia"/>
          <w:sz w:val="24"/>
          <w:szCs w:val="24"/>
        </w:rPr>
      </w:pPr>
      <w:r>
        <w:rPr>
          <w:rFonts w:ascii="宋体" w:eastAsia="宋体" w:hAnsi="宋体" w:cs="华文仿宋" w:hint="eastAsia"/>
          <w:kern w:val="0"/>
          <w:sz w:val="24"/>
          <w:szCs w:val="24"/>
        </w:rPr>
        <w:t>七、</w:t>
      </w:r>
      <w:r>
        <w:rPr>
          <w:rFonts w:ascii="宋体" w:eastAsia="宋体" w:hAnsi="宋体" w:hint="eastAsia"/>
          <w:sz w:val="24"/>
          <w:szCs w:val="24"/>
        </w:rPr>
        <w:t>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rsidR="001C06EC" w:rsidRDefault="001C06EC" w:rsidP="00701456">
      <w:pPr>
        <w:ind w:leftChars="200" w:left="420"/>
        <w:jc w:val="left"/>
        <w:rPr>
          <w:sz w:val="44"/>
          <w:szCs w:val="44"/>
        </w:rPr>
        <w:sectPr w:rsidR="001C06EC">
          <w:footerReference w:type="default" r:id="rId12"/>
          <w:pgSz w:w="11906" w:h="16838"/>
          <w:pgMar w:top="1440" w:right="1797" w:bottom="1440" w:left="1797" w:header="851" w:footer="992" w:gutter="0"/>
          <w:pgNumType w:start="1"/>
          <w:cols w:space="425"/>
          <w:docGrid w:type="lines" w:linePitch="312"/>
        </w:sectPr>
      </w:pPr>
    </w:p>
    <w:p w:rsidR="001C06EC" w:rsidRDefault="00AF6012" w:rsidP="00FF1DB2">
      <w:pPr>
        <w:spacing w:beforeLines="50"/>
        <w:jc w:val="center"/>
        <w:rPr>
          <w:rFonts w:asciiTheme="minorEastAsia" w:eastAsiaTheme="minorEastAsia" w:hAnsiTheme="minorEastAsia" w:cstheme="minorEastAsia"/>
          <w:b/>
          <w:spacing w:val="18"/>
          <w:sz w:val="32"/>
          <w:szCs w:val="32"/>
        </w:rPr>
      </w:pPr>
      <w:bookmarkStart w:id="2" w:name="_Toc334186085"/>
      <w:bookmarkStart w:id="3" w:name="_Toc504984252"/>
      <w:bookmarkStart w:id="4" w:name="二"/>
      <w:r>
        <w:rPr>
          <w:rFonts w:asciiTheme="minorEastAsia" w:eastAsiaTheme="minorEastAsia" w:hAnsiTheme="minorEastAsia" w:cstheme="minorEastAsia" w:hint="eastAsia"/>
          <w:b/>
          <w:spacing w:val="18"/>
          <w:sz w:val="32"/>
          <w:szCs w:val="32"/>
        </w:rPr>
        <w:lastRenderedPageBreak/>
        <w:t>青岛市黄岛区人民法院委托</w:t>
      </w:r>
    </w:p>
    <w:p w:rsidR="001C06EC" w:rsidRDefault="00AF6012" w:rsidP="00FF1DB2">
      <w:pPr>
        <w:spacing w:beforeLines="50"/>
        <w:jc w:val="center"/>
        <w:rPr>
          <w:rFonts w:asciiTheme="minorEastAsia" w:eastAsiaTheme="minorEastAsia" w:hAnsiTheme="minorEastAsia" w:cstheme="minorEastAsia"/>
          <w:b/>
          <w:spacing w:val="18"/>
          <w:sz w:val="32"/>
          <w:szCs w:val="32"/>
        </w:rPr>
      </w:pPr>
      <w:r>
        <w:rPr>
          <w:rFonts w:asciiTheme="minorEastAsia" w:eastAsiaTheme="minorEastAsia" w:hAnsiTheme="minorEastAsia" w:cstheme="minorEastAsia" w:hint="eastAsia"/>
          <w:b/>
          <w:spacing w:val="18"/>
          <w:sz w:val="32"/>
          <w:szCs w:val="32"/>
        </w:rPr>
        <w:t>对原告徐建中与被告青岛金蚯蚓生态科技有限公司民间借贷纠纷一案涉及的</w:t>
      </w:r>
      <w:r w:rsidR="004566EF">
        <w:rPr>
          <w:rFonts w:asciiTheme="minorEastAsia" w:eastAsiaTheme="minorEastAsia" w:hAnsiTheme="minorEastAsia" w:cstheme="minorEastAsia" w:hint="eastAsia"/>
          <w:b/>
          <w:spacing w:val="18"/>
          <w:sz w:val="32"/>
          <w:szCs w:val="32"/>
        </w:rPr>
        <w:t>银杏树价值</w:t>
      </w:r>
      <w:r>
        <w:rPr>
          <w:rFonts w:asciiTheme="minorEastAsia" w:eastAsiaTheme="minorEastAsia" w:hAnsiTheme="minorEastAsia" w:cstheme="minorEastAsia" w:hint="eastAsia"/>
          <w:b/>
          <w:spacing w:val="18"/>
          <w:sz w:val="32"/>
          <w:szCs w:val="32"/>
        </w:rPr>
        <w:t>鉴定项目</w:t>
      </w:r>
    </w:p>
    <w:p w:rsidR="001C06EC" w:rsidRDefault="00AF6012">
      <w:pPr>
        <w:pStyle w:val="1"/>
        <w:spacing w:before="0" w:after="0" w:line="360" w:lineRule="auto"/>
        <w:jc w:val="center"/>
        <w:rPr>
          <w:sz w:val="32"/>
          <w:szCs w:val="32"/>
        </w:rPr>
      </w:pPr>
      <w:bookmarkStart w:id="5" w:name="_Toc515005159"/>
      <w:r>
        <w:rPr>
          <w:sz w:val="32"/>
          <w:szCs w:val="32"/>
        </w:rPr>
        <w:t>评估报告摘要</w:t>
      </w:r>
      <w:bookmarkEnd w:id="2"/>
      <w:bookmarkEnd w:id="3"/>
      <w:bookmarkEnd w:id="4"/>
      <w:bookmarkEnd w:id="5"/>
    </w:p>
    <w:p w:rsidR="001C06EC" w:rsidRDefault="00AF601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青振</w:t>
      </w:r>
      <w:r>
        <w:rPr>
          <w:rFonts w:asciiTheme="minorEastAsia" w:eastAsiaTheme="minorEastAsia" w:hAnsiTheme="minorEastAsia"/>
          <w:szCs w:val="21"/>
        </w:rPr>
        <w:t>评报字[201</w:t>
      </w:r>
      <w:r>
        <w:rPr>
          <w:rFonts w:asciiTheme="minorEastAsia" w:eastAsiaTheme="minorEastAsia" w:hAnsiTheme="minorEastAsia" w:hint="eastAsia"/>
          <w:szCs w:val="21"/>
        </w:rPr>
        <w:t>8</w:t>
      </w:r>
      <w:r>
        <w:rPr>
          <w:rFonts w:asciiTheme="minorEastAsia" w:eastAsiaTheme="minorEastAsia" w:hAnsiTheme="minorEastAsia"/>
          <w:szCs w:val="21"/>
        </w:rPr>
        <w:t>]</w:t>
      </w:r>
      <w:r>
        <w:rPr>
          <w:rFonts w:asciiTheme="minorEastAsia" w:eastAsiaTheme="minorEastAsia" w:hAnsiTheme="minorEastAsia" w:hint="eastAsia"/>
          <w:szCs w:val="21"/>
        </w:rPr>
        <w:t>第</w:t>
      </w:r>
      <w:r w:rsidR="00DA5505">
        <w:rPr>
          <w:rFonts w:asciiTheme="minorEastAsia" w:eastAsiaTheme="minorEastAsia" w:hAnsiTheme="minorEastAsia" w:hint="eastAsia"/>
          <w:szCs w:val="21"/>
        </w:rPr>
        <w:t>0202</w:t>
      </w:r>
      <w:r w:rsidR="005B6D08">
        <w:rPr>
          <w:rFonts w:asciiTheme="minorEastAsia" w:eastAsiaTheme="minorEastAsia" w:hAnsiTheme="minorEastAsia" w:hint="eastAsia"/>
          <w:szCs w:val="21"/>
        </w:rPr>
        <w:t>-1</w:t>
      </w:r>
      <w:r>
        <w:rPr>
          <w:rFonts w:asciiTheme="minorEastAsia" w:eastAsiaTheme="minorEastAsia" w:hAnsiTheme="minorEastAsia" w:hint="eastAsia"/>
          <w:szCs w:val="21"/>
        </w:rPr>
        <w:t>号</w:t>
      </w:r>
    </w:p>
    <w:p w:rsidR="001C06EC" w:rsidRDefault="00AF6012">
      <w:pPr>
        <w:spacing w:before="100" w:beforeAutospacing="1"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振青资产评估有限责任公司接受青岛市黄岛区人民法院的委托，根据有关法律、行政法规和资产评估准则，坚持独立、客观、公正的原则，按照必要的评估程序，对原告徐建中与被告青岛金蚯蚓生态科技有限公司民间借贷纠纷一案涉及的</w:t>
      </w:r>
      <w:r w:rsidR="004566EF" w:rsidRPr="004566EF">
        <w:rPr>
          <w:rFonts w:asciiTheme="minorEastAsia" w:eastAsiaTheme="minorEastAsia" w:hAnsiTheme="minorEastAsia" w:hint="eastAsia"/>
          <w:sz w:val="24"/>
          <w:szCs w:val="24"/>
        </w:rPr>
        <w:t>银杏树</w:t>
      </w:r>
      <w:r w:rsidR="00BC1AB3">
        <w:rPr>
          <w:rFonts w:asciiTheme="minorEastAsia" w:eastAsiaTheme="minorEastAsia" w:hAnsiTheme="minorEastAsia" w:hint="eastAsia"/>
          <w:sz w:val="24"/>
          <w:szCs w:val="24"/>
        </w:rPr>
        <w:t>在评估基准日</w:t>
      </w:r>
      <w:r>
        <w:rPr>
          <w:rFonts w:asciiTheme="minorEastAsia" w:eastAsiaTheme="minorEastAsia" w:hAnsiTheme="minorEastAsia" w:hint="eastAsia"/>
          <w:sz w:val="24"/>
          <w:szCs w:val="24"/>
        </w:rPr>
        <w:t>的市场价值进行了评估。现将评估报告摘要如下：</w:t>
      </w:r>
    </w:p>
    <w:p w:rsidR="001C06EC" w:rsidRDefault="00AF60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一、</w:t>
      </w:r>
      <w:r>
        <w:rPr>
          <w:rFonts w:asciiTheme="minorEastAsia" w:eastAsiaTheme="minorEastAsia" w:hAnsiTheme="minorEastAsia"/>
          <w:sz w:val="24"/>
          <w:szCs w:val="24"/>
        </w:rPr>
        <w:t>评估目的：</w:t>
      </w:r>
      <w:r>
        <w:rPr>
          <w:rFonts w:asciiTheme="minorEastAsia" w:eastAsiaTheme="minorEastAsia" w:hAnsiTheme="minorEastAsia" w:hint="eastAsia"/>
          <w:sz w:val="24"/>
          <w:szCs w:val="24"/>
        </w:rPr>
        <w:t>受青岛市黄岛区人民法院委托，对原告徐建中与被告青岛金蚯蚓生态科技有限公司民间借贷纠纷一案,涉及的被执行人青岛金蚯蚓生态科技有限公司所有的银杏树进行市场价值评估，为法院审理该案件提供价值参考。</w:t>
      </w:r>
    </w:p>
    <w:p w:rsidR="001C06EC" w:rsidRDefault="00AF60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w:t>
      </w:r>
      <w:r>
        <w:rPr>
          <w:rFonts w:asciiTheme="minorEastAsia" w:eastAsiaTheme="minorEastAsia" w:hAnsiTheme="minorEastAsia"/>
          <w:sz w:val="24"/>
          <w:szCs w:val="24"/>
        </w:rPr>
        <w:t>评估对象</w:t>
      </w:r>
      <w:r>
        <w:rPr>
          <w:rFonts w:asciiTheme="minorEastAsia" w:eastAsiaTheme="minorEastAsia" w:hAnsiTheme="minorEastAsia" w:hint="eastAsia"/>
          <w:sz w:val="24"/>
          <w:szCs w:val="24"/>
        </w:rPr>
        <w:t>和评估范围：评估对象为原告徐建中与被告青岛金蚯蚓生态科技有限公司民间借贷纠纷一案</w:t>
      </w:r>
      <w:r w:rsidR="00DA5505">
        <w:rPr>
          <w:rFonts w:asciiTheme="minorEastAsia" w:eastAsiaTheme="minorEastAsia" w:hAnsiTheme="minorEastAsia" w:hint="eastAsia"/>
          <w:sz w:val="24"/>
          <w:szCs w:val="24"/>
        </w:rPr>
        <w:t>涉及的对被执行人青岛金蚯蚓生态科技有限公司银杏树市场价值</w:t>
      </w:r>
      <w:r>
        <w:rPr>
          <w:rFonts w:asciiTheme="minorEastAsia" w:eastAsiaTheme="minorEastAsia" w:hAnsiTheme="minorEastAsia" w:hint="eastAsia"/>
          <w:sz w:val="24"/>
          <w:szCs w:val="24"/>
        </w:rPr>
        <w:t>。评估范围为被执行人青岛金蚯蚓生态科技有限公司所有的银杏树。</w:t>
      </w:r>
    </w:p>
    <w:p w:rsidR="001C06EC" w:rsidRDefault="00AF60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w:t>
      </w:r>
      <w:r>
        <w:rPr>
          <w:rFonts w:asciiTheme="minorEastAsia" w:eastAsiaTheme="minorEastAsia" w:hAnsiTheme="minorEastAsia"/>
          <w:sz w:val="24"/>
          <w:szCs w:val="24"/>
        </w:rPr>
        <w:t>价值类型：市场价值</w:t>
      </w:r>
      <w:r>
        <w:rPr>
          <w:rFonts w:asciiTheme="minorEastAsia" w:eastAsiaTheme="minorEastAsia" w:hAnsiTheme="minorEastAsia" w:hint="eastAsia"/>
          <w:sz w:val="24"/>
          <w:szCs w:val="24"/>
        </w:rPr>
        <w:t>。</w:t>
      </w:r>
    </w:p>
    <w:p w:rsidR="001C06EC" w:rsidRDefault="00AF6012">
      <w:pPr>
        <w:tabs>
          <w:tab w:val="left" w:pos="135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四、</w:t>
      </w:r>
      <w:r>
        <w:rPr>
          <w:rFonts w:asciiTheme="minorEastAsia" w:eastAsiaTheme="minorEastAsia" w:hAnsiTheme="minorEastAsia"/>
          <w:sz w:val="24"/>
          <w:szCs w:val="24"/>
        </w:rPr>
        <w:t>评估基准日：</w:t>
      </w:r>
      <w:r>
        <w:rPr>
          <w:rFonts w:asciiTheme="minorEastAsia" w:eastAsiaTheme="minorEastAsia" w:hAnsiTheme="minorEastAsia" w:hint="eastAsia"/>
          <w:sz w:val="24"/>
          <w:szCs w:val="24"/>
        </w:rPr>
        <w:t>2018</w:t>
      </w:r>
      <w:r>
        <w:rPr>
          <w:rFonts w:asciiTheme="minorEastAsia" w:eastAsiaTheme="minorEastAsia" w:hAnsiTheme="minor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24</w:t>
      </w:r>
      <w:r>
        <w:rPr>
          <w:rFonts w:asciiTheme="minorEastAsia" w:eastAsiaTheme="minorEastAsia" w:hAnsiTheme="minorEastAsia"/>
          <w:sz w:val="24"/>
          <w:szCs w:val="24"/>
        </w:rPr>
        <w:t>日。</w:t>
      </w:r>
    </w:p>
    <w:p w:rsidR="001C06EC" w:rsidRDefault="00AF6012">
      <w:pPr>
        <w:tabs>
          <w:tab w:val="left" w:pos="315"/>
        </w:tabs>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五、</w:t>
      </w:r>
      <w:r>
        <w:rPr>
          <w:rFonts w:asciiTheme="minorEastAsia" w:eastAsiaTheme="minorEastAsia" w:hAnsiTheme="minorEastAsia"/>
          <w:sz w:val="24"/>
          <w:szCs w:val="24"/>
        </w:rPr>
        <w:t>评估方法：本项目采用</w:t>
      </w:r>
      <w:r>
        <w:rPr>
          <w:rFonts w:asciiTheme="minorEastAsia" w:eastAsiaTheme="minorEastAsia" w:hAnsiTheme="minorEastAsia" w:hint="eastAsia"/>
          <w:sz w:val="24"/>
          <w:szCs w:val="24"/>
        </w:rPr>
        <w:t>市场法</w:t>
      </w:r>
      <w:r>
        <w:rPr>
          <w:rFonts w:asciiTheme="minorEastAsia" w:eastAsiaTheme="minorEastAsia" w:hAnsiTheme="minorEastAsia"/>
          <w:color w:val="000000"/>
          <w:sz w:val="24"/>
          <w:szCs w:val="24"/>
        </w:rPr>
        <w:t>进行评估。</w:t>
      </w:r>
    </w:p>
    <w:p w:rsidR="001C06EC" w:rsidRDefault="00AF6012">
      <w:pPr>
        <w:tabs>
          <w:tab w:val="left" w:pos="31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六、</w:t>
      </w:r>
      <w:r>
        <w:rPr>
          <w:rFonts w:asciiTheme="minorEastAsia" w:eastAsiaTheme="minorEastAsia" w:hAnsiTheme="minorEastAsia"/>
          <w:sz w:val="24"/>
          <w:szCs w:val="24"/>
        </w:rPr>
        <w:t>评估结论：</w:t>
      </w:r>
      <w:r>
        <w:rPr>
          <w:rFonts w:asciiTheme="minorEastAsia" w:eastAsiaTheme="minorEastAsia" w:hAnsiTheme="minorEastAsia" w:hint="eastAsia"/>
          <w:sz w:val="24"/>
          <w:szCs w:val="24"/>
        </w:rPr>
        <w:t>本评估报告选用</w:t>
      </w:r>
      <w:r w:rsidR="004566EF">
        <w:rPr>
          <w:rFonts w:asciiTheme="minorEastAsia" w:eastAsiaTheme="minorEastAsia" w:hAnsiTheme="minorEastAsia" w:hint="eastAsia"/>
          <w:sz w:val="24"/>
          <w:szCs w:val="24"/>
        </w:rPr>
        <w:t>市场</w:t>
      </w:r>
      <w:r>
        <w:rPr>
          <w:rFonts w:asciiTheme="minorEastAsia" w:eastAsiaTheme="minorEastAsia" w:hAnsiTheme="minorEastAsia" w:hint="eastAsia"/>
          <w:sz w:val="24"/>
          <w:szCs w:val="24"/>
        </w:rPr>
        <w:t>法评估结果作为评估结论，具体如下：</w:t>
      </w:r>
    </w:p>
    <w:p w:rsidR="001C06EC" w:rsidRDefault="00AF6012">
      <w:pPr>
        <w:tabs>
          <w:tab w:val="left" w:pos="315"/>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截止评估基准日2018</w:t>
      </w:r>
      <w:r>
        <w:rPr>
          <w:rFonts w:asciiTheme="minorEastAsia" w:eastAsiaTheme="minorEastAsia" w:hAnsiTheme="minor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24</w:t>
      </w:r>
      <w:r>
        <w:rPr>
          <w:rFonts w:asciiTheme="minorEastAsia" w:eastAsiaTheme="minorEastAsia" w:hAnsiTheme="minorEastAsia"/>
          <w:sz w:val="24"/>
          <w:szCs w:val="24"/>
        </w:rPr>
        <w:t>日</w:t>
      </w:r>
      <w:r>
        <w:rPr>
          <w:rFonts w:asciiTheme="minorEastAsia" w:eastAsiaTheme="minorEastAsia" w:hAnsiTheme="minorEastAsia" w:hint="eastAsia"/>
          <w:sz w:val="24"/>
          <w:szCs w:val="24"/>
        </w:rPr>
        <w:t>，青岛市黄岛区人民法院委估的对被执行人青岛金蚯蚓生态科技有限公司所有的银杏树的市场价值为3</w:t>
      </w:r>
      <w:r w:rsidR="00332891">
        <w:rPr>
          <w:rFonts w:asciiTheme="minorEastAsia" w:eastAsiaTheme="minorEastAsia" w:hAnsiTheme="minorEastAsia" w:hint="eastAsia"/>
          <w:sz w:val="24"/>
          <w:szCs w:val="24"/>
        </w:rPr>
        <w:t>626</w:t>
      </w:r>
      <w:r>
        <w:rPr>
          <w:rFonts w:asciiTheme="minorEastAsia" w:eastAsiaTheme="minorEastAsia" w:hAnsiTheme="minorEastAsia" w:hint="eastAsia"/>
          <w:sz w:val="24"/>
          <w:szCs w:val="24"/>
        </w:rPr>
        <w:t>00.00</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元</w:t>
      </w:r>
      <w:r w:rsidR="00332048">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大写人民币叁拾</w:t>
      </w:r>
      <w:r w:rsidR="00332891">
        <w:rPr>
          <w:rFonts w:asciiTheme="minorEastAsia" w:eastAsiaTheme="minorEastAsia" w:hAnsiTheme="minorEastAsia" w:hint="eastAsia"/>
          <w:sz w:val="24"/>
          <w:szCs w:val="24"/>
        </w:rPr>
        <w:t>陆万贰</w:t>
      </w:r>
      <w:r>
        <w:rPr>
          <w:rFonts w:asciiTheme="minorEastAsia" w:eastAsiaTheme="minorEastAsia" w:hAnsiTheme="minorEastAsia" w:hint="eastAsia"/>
          <w:sz w:val="24"/>
          <w:szCs w:val="24"/>
        </w:rPr>
        <w:t>仟</w:t>
      </w:r>
      <w:r w:rsidR="00332891">
        <w:rPr>
          <w:rFonts w:asciiTheme="minorEastAsia" w:eastAsiaTheme="minorEastAsia" w:hAnsiTheme="minorEastAsia" w:hint="eastAsia"/>
          <w:sz w:val="24"/>
          <w:szCs w:val="24"/>
        </w:rPr>
        <w:t>陆</w:t>
      </w:r>
      <w:r>
        <w:rPr>
          <w:rFonts w:asciiTheme="minorEastAsia" w:eastAsiaTheme="minorEastAsia" w:hAnsiTheme="minorEastAsia" w:hint="eastAsia"/>
          <w:sz w:val="24"/>
          <w:szCs w:val="24"/>
        </w:rPr>
        <w:t>佰元整。</w:t>
      </w:r>
    </w:p>
    <w:p w:rsidR="001C06EC" w:rsidRDefault="00AF60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七</w:t>
      </w:r>
      <w:r>
        <w:rPr>
          <w:rFonts w:asciiTheme="minorEastAsia" w:eastAsiaTheme="minorEastAsia" w:hAnsiTheme="minorEastAsia"/>
          <w:sz w:val="24"/>
          <w:szCs w:val="24"/>
        </w:rPr>
        <w:t>、评估结论使用有效期：</w:t>
      </w:r>
      <w:r>
        <w:rPr>
          <w:rFonts w:asciiTheme="minorEastAsia" w:eastAsiaTheme="minorEastAsia" w:hAnsiTheme="minorEastAsia" w:hint="eastAsia"/>
          <w:sz w:val="24"/>
          <w:szCs w:val="24"/>
        </w:rPr>
        <w:t>本资产评估报告仅为资产评估报告中描述的行为提供价值参考，评估结论的使用有效期限自评估基准日起一年有效。</w:t>
      </w:r>
    </w:p>
    <w:p w:rsidR="001C06EC" w:rsidRDefault="00AF6012">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八</w:t>
      </w:r>
      <w:r>
        <w:rPr>
          <w:rFonts w:asciiTheme="minorEastAsia" w:eastAsiaTheme="minorEastAsia" w:hAnsiTheme="minorEastAsia"/>
          <w:sz w:val="24"/>
          <w:szCs w:val="24"/>
        </w:rPr>
        <w:t xml:space="preserve">、对评估结论产生影响的特别事项： </w:t>
      </w:r>
      <w:r w:rsidR="00DA5505">
        <w:rPr>
          <w:rFonts w:asciiTheme="minorEastAsia" w:eastAsiaTheme="minorEastAsia" w:hAnsiTheme="minorEastAsia" w:hint="eastAsia"/>
          <w:sz w:val="24"/>
          <w:szCs w:val="24"/>
        </w:rPr>
        <w:t>无。</w:t>
      </w:r>
    </w:p>
    <w:p w:rsidR="001C06EC" w:rsidRDefault="001C06EC">
      <w:pPr>
        <w:tabs>
          <w:tab w:val="left" w:pos="315"/>
        </w:tabs>
        <w:spacing w:line="360" w:lineRule="auto"/>
        <w:ind w:firstLineChars="200" w:firstLine="480"/>
        <w:rPr>
          <w:rFonts w:ascii="宋体" w:hAnsi="宋体" w:cs="华文仿宋"/>
          <w:sz w:val="24"/>
          <w:szCs w:val="24"/>
        </w:rPr>
      </w:pPr>
    </w:p>
    <w:p w:rsidR="001C06EC" w:rsidRDefault="00AF6012">
      <w:pPr>
        <w:tabs>
          <w:tab w:val="left" w:pos="315"/>
        </w:tabs>
        <w:spacing w:line="360" w:lineRule="auto"/>
        <w:ind w:firstLineChars="200" w:firstLine="480"/>
        <w:rPr>
          <w:rFonts w:asciiTheme="minorEastAsia" w:eastAsiaTheme="minorEastAsia" w:hAnsiTheme="minorEastAsia"/>
          <w:sz w:val="24"/>
          <w:szCs w:val="24"/>
        </w:rPr>
      </w:pPr>
      <w:r>
        <w:rPr>
          <w:rFonts w:ascii="宋体" w:hAnsi="宋体" w:cs="华文仿宋" w:hint="eastAsia"/>
          <w:sz w:val="24"/>
          <w:szCs w:val="24"/>
        </w:rPr>
        <w:t>资产评估报告使用人应当充分考虑资产评估报告中载明的假设、限定条件、特别事项说明及其对评估结论的影响。</w:t>
      </w:r>
    </w:p>
    <w:p w:rsidR="001C06EC" w:rsidRDefault="00AF6012">
      <w:pPr>
        <w:tabs>
          <w:tab w:val="left" w:pos="0"/>
        </w:tabs>
        <w:spacing w:line="360" w:lineRule="auto"/>
        <w:ind w:firstLineChars="200" w:firstLine="482"/>
        <w:rPr>
          <w:rFonts w:asciiTheme="minorEastAsia" w:eastAsiaTheme="minorEastAsia" w:hAnsiTheme="minorEastAsia"/>
          <w:b/>
          <w:sz w:val="24"/>
          <w:szCs w:val="24"/>
        </w:rPr>
      </w:pPr>
      <w:r>
        <w:rPr>
          <w:rFonts w:asciiTheme="minorEastAsia" w:eastAsiaTheme="minorEastAsia" w:hAnsiTheme="minorEastAsia"/>
          <w:b/>
          <w:sz w:val="24"/>
          <w:szCs w:val="24"/>
        </w:rPr>
        <w:t>以上内容摘自</w:t>
      </w:r>
      <w:r>
        <w:rPr>
          <w:rFonts w:asciiTheme="minorEastAsia" w:eastAsiaTheme="minorEastAsia" w:hAnsiTheme="minorEastAsia" w:hint="eastAsia"/>
          <w:b/>
          <w:sz w:val="24"/>
          <w:szCs w:val="24"/>
        </w:rPr>
        <w:t>资产</w:t>
      </w:r>
      <w:r>
        <w:rPr>
          <w:rFonts w:asciiTheme="minorEastAsia" w:eastAsiaTheme="minorEastAsia" w:hAnsiTheme="minorEastAsia"/>
          <w:b/>
          <w:sz w:val="24"/>
          <w:szCs w:val="24"/>
        </w:rPr>
        <w:t>评估报告正文，欲了解本评估</w:t>
      </w:r>
      <w:r>
        <w:rPr>
          <w:rFonts w:asciiTheme="minorEastAsia" w:eastAsiaTheme="minorEastAsia" w:hAnsiTheme="minorEastAsia" w:hint="eastAsia"/>
          <w:b/>
          <w:sz w:val="24"/>
          <w:szCs w:val="24"/>
        </w:rPr>
        <w:t>业务</w:t>
      </w:r>
      <w:r>
        <w:rPr>
          <w:rFonts w:asciiTheme="minorEastAsia" w:eastAsiaTheme="minorEastAsia" w:hAnsiTheme="minorEastAsia"/>
          <w:b/>
          <w:sz w:val="24"/>
          <w:szCs w:val="24"/>
        </w:rPr>
        <w:t>的详细情况和</w:t>
      </w:r>
      <w:r>
        <w:rPr>
          <w:rFonts w:asciiTheme="minorEastAsia" w:eastAsiaTheme="minorEastAsia" w:hAnsiTheme="minorEastAsia" w:hint="eastAsia"/>
          <w:b/>
          <w:sz w:val="24"/>
          <w:szCs w:val="24"/>
        </w:rPr>
        <w:t>正确</w:t>
      </w:r>
      <w:r>
        <w:rPr>
          <w:rFonts w:asciiTheme="minorEastAsia" w:eastAsiaTheme="minorEastAsia" w:hAnsiTheme="minorEastAsia"/>
          <w:b/>
          <w:sz w:val="24"/>
          <w:szCs w:val="24"/>
        </w:rPr>
        <w:t>理解评估结论，应当阅读</w:t>
      </w:r>
      <w:r>
        <w:rPr>
          <w:rFonts w:asciiTheme="minorEastAsia" w:eastAsiaTheme="minorEastAsia" w:hAnsiTheme="minorEastAsia" w:hint="eastAsia"/>
          <w:b/>
          <w:sz w:val="24"/>
          <w:szCs w:val="24"/>
        </w:rPr>
        <w:t>资产</w:t>
      </w:r>
      <w:r>
        <w:rPr>
          <w:rFonts w:asciiTheme="minorEastAsia" w:eastAsiaTheme="minorEastAsia" w:hAnsiTheme="minorEastAsia"/>
          <w:b/>
          <w:sz w:val="24"/>
          <w:szCs w:val="24"/>
        </w:rPr>
        <w:t>评估报告正文。</w:t>
      </w:r>
    </w:p>
    <w:p w:rsidR="001C06EC" w:rsidRDefault="001C06EC">
      <w:pPr>
        <w:tabs>
          <w:tab w:val="left" w:pos="0"/>
        </w:tabs>
        <w:spacing w:line="360" w:lineRule="auto"/>
        <w:rPr>
          <w:rFonts w:asciiTheme="minorEastAsia" w:eastAsiaTheme="minorEastAsia" w:hAnsiTheme="minorEastAsia"/>
          <w:sz w:val="24"/>
          <w:szCs w:val="24"/>
        </w:rPr>
        <w:sectPr w:rsidR="001C06EC">
          <w:pgSz w:w="11906" w:h="16838"/>
          <w:pgMar w:top="1440" w:right="1800" w:bottom="1440" w:left="1800" w:header="851" w:footer="850" w:gutter="0"/>
          <w:cols w:space="425"/>
          <w:docGrid w:type="lines" w:linePitch="312"/>
        </w:sectPr>
      </w:pPr>
    </w:p>
    <w:p w:rsidR="001C06EC" w:rsidRDefault="00AF6012" w:rsidP="00FF1DB2">
      <w:pPr>
        <w:spacing w:beforeLines="50"/>
        <w:jc w:val="center"/>
        <w:rPr>
          <w:rFonts w:asciiTheme="minorEastAsia" w:eastAsiaTheme="minorEastAsia" w:hAnsiTheme="minorEastAsia" w:cstheme="minorEastAsia"/>
          <w:b/>
          <w:spacing w:val="18"/>
          <w:sz w:val="32"/>
          <w:szCs w:val="32"/>
        </w:rPr>
      </w:pPr>
      <w:r>
        <w:rPr>
          <w:rFonts w:asciiTheme="minorEastAsia" w:eastAsiaTheme="minorEastAsia" w:hAnsiTheme="minorEastAsia" w:cstheme="minorEastAsia" w:hint="eastAsia"/>
          <w:b/>
          <w:spacing w:val="18"/>
          <w:sz w:val="32"/>
          <w:szCs w:val="32"/>
        </w:rPr>
        <w:lastRenderedPageBreak/>
        <w:t>青岛市黄岛区人民法院委托</w:t>
      </w:r>
    </w:p>
    <w:p w:rsidR="001C06EC" w:rsidRDefault="00AF6012" w:rsidP="00FF1DB2">
      <w:pPr>
        <w:spacing w:beforeLines="50"/>
        <w:jc w:val="center"/>
        <w:rPr>
          <w:rFonts w:asciiTheme="minorEastAsia" w:eastAsiaTheme="minorEastAsia" w:hAnsiTheme="minorEastAsia" w:cs="仿宋_GB2312"/>
          <w:b/>
          <w:kern w:val="0"/>
          <w:sz w:val="32"/>
          <w:szCs w:val="32"/>
        </w:rPr>
      </w:pPr>
      <w:r>
        <w:rPr>
          <w:rFonts w:asciiTheme="minorEastAsia" w:eastAsiaTheme="minorEastAsia" w:hAnsiTheme="minorEastAsia" w:cstheme="minorEastAsia" w:hint="eastAsia"/>
          <w:b/>
          <w:spacing w:val="18"/>
          <w:sz w:val="32"/>
          <w:szCs w:val="32"/>
        </w:rPr>
        <w:t>对原告徐建中与被告青岛金蚯蚓生态科技有限公司民间借贷纠纷一案涉及的</w:t>
      </w:r>
      <w:r w:rsidR="004566EF">
        <w:rPr>
          <w:rFonts w:asciiTheme="minorEastAsia" w:eastAsiaTheme="minorEastAsia" w:hAnsiTheme="minorEastAsia" w:cstheme="minorEastAsia" w:hint="eastAsia"/>
          <w:b/>
          <w:spacing w:val="18"/>
          <w:sz w:val="32"/>
          <w:szCs w:val="32"/>
        </w:rPr>
        <w:t>银杏树价值</w:t>
      </w:r>
      <w:r>
        <w:rPr>
          <w:rFonts w:asciiTheme="minorEastAsia" w:eastAsiaTheme="minorEastAsia" w:hAnsiTheme="minorEastAsia" w:cstheme="minorEastAsia" w:hint="eastAsia"/>
          <w:b/>
          <w:spacing w:val="18"/>
          <w:sz w:val="32"/>
          <w:szCs w:val="32"/>
        </w:rPr>
        <w:t>鉴定项目</w:t>
      </w:r>
    </w:p>
    <w:p w:rsidR="001C06EC" w:rsidRDefault="00AF6012">
      <w:pPr>
        <w:pStyle w:val="1"/>
        <w:spacing w:before="0" w:after="0" w:line="360" w:lineRule="auto"/>
        <w:jc w:val="center"/>
        <w:rPr>
          <w:sz w:val="32"/>
          <w:szCs w:val="32"/>
        </w:rPr>
      </w:pPr>
      <w:bookmarkStart w:id="6" w:name="_Toc515005160"/>
      <w:bookmarkStart w:id="7" w:name="_Toc504984253"/>
      <w:r>
        <w:rPr>
          <w:sz w:val="32"/>
          <w:szCs w:val="32"/>
        </w:rPr>
        <w:t>评估报告</w:t>
      </w:r>
      <w:r>
        <w:rPr>
          <w:rFonts w:hint="eastAsia"/>
          <w:sz w:val="32"/>
          <w:szCs w:val="32"/>
        </w:rPr>
        <w:t>正文</w:t>
      </w:r>
      <w:bookmarkEnd w:id="6"/>
      <w:bookmarkEnd w:id="7"/>
    </w:p>
    <w:p w:rsidR="001C06EC" w:rsidRDefault="00AF6012">
      <w:pPr>
        <w:spacing w:line="360" w:lineRule="auto"/>
        <w:jc w:val="center"/>
        <w:rPr>
          <w:rFonts w:asciiTheme="minorEastAsia" w:eastAsiaTheme="minorEastAsia" w:hAnsiTheme="minorEastAsia"/>
          <w:szCs w:val="21"/>
        </w:rPr>
      </w:pPr>
      <w:r>
        <w:rPr>
          <w:rFonts w:asciiTheme="minorEastAsia" w:eastAsiaTheme="minorEastAsia" w:hAnsiTheme="minorEastAsia" w:hint="eastAsia"/>
          <w:szCs w:val="21"/>
        </w:rPr>
        <w:t>青振</w:t>
      </w:r>
      <w:r>
        <w:rPr>
          <w:rFonts w:asciiTheme="minorEastAsia" w:eastAsiaTheme="minorEastAsia" w:hAnsiTheme="minorEastAsia"/>
          <w:szCs w:val="21"/>
        </w:rPr>
        <w:t>评</w:t>
      </w:r>
      <w:r>
        <w:rPr>
          <w:rFonts w:asciiTheme="minorEastAsia" w:eastAsiaTheme="minorEastAsia" w:hAnsiTheme="minorEastAsia" w:hint="eastAsia"/>
          <w:szCs w:val="21"/>
        </w:rPr>
        <w:t>报字[2018]第</w:t>
      </w:r>
      <w:r w:rsidR="00C74154">
        <w:rPr>
          <w:rFonts w:asciiTheme="minorEastAsia" w:eastAsiaTheme="minorEastAsia" w:hAnsiTheme="minorEastAsia" w:hint="eastAsia"/>
          <w:szCs w:val="21"/>
        </w:rPr>
        <w:t>0202</w:t>
      </w:r>
      <w:r w:rsidR="00EB0932">
        <w:rPr>
          <w:rFonts w:asciiTheme="minorEastAsia" w:eastAsiaTheme="minorEastAsia" w:hAnsiTheme="minorEastAsia" w:hint="eastAsia"/>
          <w:szCs w:val="21"/>
        </w:rPr>
        <w:t>-1</w:t>
      </w:r>
      <w:r>
        <w:rPr>
          <w:rFonts w:asciiTheme="minorEastAsia" w:eastAsiaTheme="minorEastAsia" w:hAnsiTheme="minorEastAsia" w:hint="eastAsia"/>
          <w:szCs w:val="21"/>
        </w:rPr>
        <w:t>号</w:t>
      </w:r>
    </w:p>
    <w:p w:rsidR="001C06EC" w:rsidRDefault="00AF6012">
      <w:pPr>
        <w:tabs>
          <w:tab w:val="left" w:pos="0"/>
        </w:tabs>
        <w:spacing w:before="100" w:beforeAutospacing="1" w:line="360" w:lineRule="auto"/>
        <w:rPr>
          <w:rFonts w:asciiTheme="minorEastAsia" w:eastAsiaTheme="minorEastAsia" w:hAnsiTheme="minorEastAsia"/>
          <w:bCs/>
          <w:sz w:val="24"/>
          <w:szCs w:val="24"/>
        </w:rPr>
      </w:pPr>
      <w:r>
        <w:rPr>
          <w:rFonts w:asciiTheme="minorEastAsia" w:eastAsiaTheme="minorEastAsia" w:hAnsiTheme="minorEastAsia" w:hint="eastAsia"/>
          <w:sz w:val="24"/>
          <w:szCs w:val="24"/>
        </w:rPr>
        <w:t>青岛市黄岛区人民法院</w:t>
      </w:r>
      <w:r>
        <w:rPr>
          <w:rFonts w:asciiTheme="minorEastAsia" w:eastAsiaTheme="minorEastAsia" w:hAnsiTheme="minorEastAsia"/>
          <w:bCs/>
          <w:sz w:val="24"/>
          <w:szCs w:val="24"/>
        </w:rPr>
        <w:t>：</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青岛振青</w:t>
      </w:r>
      <w:r>
        <w:rPr>
          <w:rFonts w:asciiTheme="minorEastAsia" w:eastAsiaTheme="minorEastAsia" w:hAnsiTheme="minorEastAsia"/>
          <w:sz w:val="24"/>
          <w:szCs w:val="24"/>
        </w:rPr>
        <w:t>资产评估有限责任公司接受贵</w:t>
      </w:r>
      <w:r>
        <w:rPr>
          <w:rFonts w:asciiTheme="minorEastAsia" w:eastAsiaTheme="minorEastAsia" w:hAnsiTheme="minorEastAsia" w:hint="eastAsia"/>
          <w:sz w:val="24"/>
          <w:szCs w:val="24"/>
        </w:rPr>
        <w:t>单位</w:t>
      </w:r>
      <w:r>
        <w:rPr>
          <w:rFonts w:asciiTheme="minorEastAsia" w:eastAsiaTheme="minorEastAsia" w:hAnsiTheme="minorEastAsia"/>
          <w:sz w:val="24"/>
          <w:szCs w:val="24"/>
        </w:rPr>
        <w:t>的委托，</w:t>
      </w:r>
      <w:r>
        <w:rPr>
          <w:rFonts w:asciiTheme="minorEastAsia" w:eastAsiaTheme="minorEastAsia" w:hAnsiTheme="minorEastAsia" w:hint="eastAsia"/>
          <w:sz w:val="24"/>
          <w:szCs w:val="24"/>
        </w:rPr>
        <w:t>根据有关法律、行政法规和资产评估准则的规定，坚持独立、客观和公正的原则，采用市场法，按照必要的评估程序，对原告徐建中与被告青岛金蚯蚓生态科技有限公司民间借贷纠纷一案，涉及的对被执行人青岛金蚯蚓生态科技有限公司所有的银杏树在评估基准日的市场价值进行了评估</w:t>
      </w:r>
      <w:r>
        <w:rPr>
          <w:rFonts w:asciiTheme="minorEastAsia" w:eastAsiaTheme="minorEastAsia" w:hAnsiTheme="minorEastAsia"/>
          <w:sz w:val="24"/>
          <w:szCs w:val="24"/>
        </w:rPr>
        <w:t>。现将资产评估情况报告如下：</w:t>
      </w:r>
    </w:p>
    <w:p w:rsidR="001C06EC" w:rsidRDefault="00AF6012">
      <w:pPr>
        <w:pStyle w:val="af1"/>
        <w:tabs>
          <w:tab w:val="left" w:pos="1120"/>
          <w:tab w:val="left" w:pos="1571"/>
        </w:tabs>
        <w:spacing w:line="360" w:lineRule="auto"/>
        <w:ind w:firstLine="482"/>
        <w:rPr>
          <w:rFonts w:ascii="Arial" w:hAnsi="Arial"/>
          <w:b/>
          <w:bCs/>
          <w:sz w:val="24"/>
          <w:szCs w:val="32"/>
        </w:rPr>
      </w:pPr>
      <w:bookmarkStart w:id="8" w:name="三03"/>
      <w:bookmarkStart w:id="9" w:name="_Toc334186087"/>
      <w:bookmarkStart w:id="10" w:name="_Toc493752480"/>
      <w:r>
        <w:rPr>
          <w:rFonts w:ascii="Arial" w:hAnsi="Arial" w:hint="eastAsia"/>
          <w:b/>
          <w:bCs/>
          <w:sz w:val="24"/>
          <w:szCs w:val="32"/>
        </w:rPr>
        <w:t>一、</w:t>
      </w:r>
      <w:r>
        <w:rPr>
          <w:rFonts w:ascii="Arial" w:hAnsi="Arial"/>
          <w:b/>
          <w:bCs/>
          <w:sz w:val="24"/>
          <w:szCs w:val="32"/>
        </w:rPr>
        <w:t>委托</w:t>
      </w:r>
      <w:bookmarkEnd w:id="8"/>
      <w:r>
        <w:rPr>
          <w:rFonts w:ascii="Arial" w:hAnsi="Arial" w:hint="eastAsia"/>
          <w:b/>
          <w:bCs/>
          <w:sz w:val="24"/>
          <w:szCs w:val="32"/>
        </w:rPr>
        <w:t>人</w:t>
      </w:r>
      <w:r>
        <w:rPr>
          <w:rFonts w:ascii="Arial" w:hAnsi="Arial"/>
          <w:b/>
          <w:bCs/>
          <w:sz w:val="24"/>
          <w:szCs w:val="32"/>
        </w:rPr>
        <w:t>、产权持有人及</w:t>
      </w:r>
      <w:bookmarkEnd w:id="9"/>
      <w:r>
        <w:rPr>
          <w:rFonts w:ascii="Arial" w:hAnsi="Arial" w:hint="eastAsia"/>
          <w:b/>
          <w:bCs/>
          <w:sz w:val="24"/>
          <w:szCs w:val="32"/>
        </w:rPr>
        <w:t>资产评估委托合同约定的其他资产评估报告使用人的概况</w:t>
      </w:r>
      <w:bookmarkEnd w:id="10"/>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委托人为</w:t>
      </w:r>
      <w:r>
        <w:rPr>
          <w:rFonts w:ascii="Arial" w:hAnsi="Arial" w:hint="eastAsia"/>
          <w:bCs/>
          <w:sz w:val="24"/>
          <w:szCs w:val="32"/>
        </w:rPr>
        <w:t>青岛市黄岛区人民法院</w:t>
      </w:r>
      <w:r>
        <w:rPr>
          <w:rFonts w:asciiTheme="minorEastAsia" w:eastAsiaTheme="minorEastAsia" w:hAnsiTheme="minorEastAsia" w:hint="eastAsia"/>
          <w:sz w:val="24"/>
          <w:szCs w:val="24"/>
        </w:rPr>
        <w:t>，产权持有人为青岛金蚯蚓生态科技有限公司；资产评估委托合同未约定其他资产评估报告使用人。</w:t>
      </w:r>
    </w:p>
    <w:p w:rsidR="001C06EC" w:rsidRDefault="00AF6012">
      <w:pPr>
        <w:tabs>
          <w:tab w:val="left" w:pos="0"/>
        </w:tabs>
        <w:spacing w:line="360" w:lineRule="auto"/>
        <w:ind w:firstLineChars="200" w:firstLine="480"/>
        <w:rPr>
          <w:rFonts w:ascii="Arial" w:hAnsi="Arial"/>
          <w:bCs/>
          <w:sz w:val="24"/>
          <w:szCs w:val="32"/>
        </w:rPr>
      </w:pPr>
      <w:r>
        <w:rPr>
          <w:rFonts w:ascii="Arial" w:hAnsi="Arial" w:hint="eastAsia"/>
          <w:bCs/>
          <w:sz w:val="24"/>
          <w:szCs w:val="32"/>
        </w:rPr>
        <w:t>（一）委托方：青岛市黄岛区人民法院</w:t>
      </w:r>
    </w:p>
    <w:p w:rsidR="001C06EC" w:rsidRDefault="00AF6012">
      <w:pPr>
        <w:tabs>
          <w:tab w:val="left" w:pos="0"/>
        </w:tabs>
        <w:spacing w:line="360" w:lineRule="auto"/>
        <w:ind w:firstLineChars="200" w:firstLine="480"/>
        <w:rPr>
          <w:rFonts w:ascii="Arial" w:hAnsi="Arial"/>
          <w:bCs/>
          <w:sz w:val="24"/>
          <w:szCs w:val="32"/>
        </w:rPr>
      </w:pPr>
      <w:r>
        <w:rPr>
          <w:rFonts w:ascii="Arial" w:hAnsi="Arial" w:hint="eastAsia"/>
          <w:bCs/>
          <w:sz w:val="24"/>
          <w:szCs w:val="32"/>
        </w:rPr>
        <w:t>（二）相关当事方：</w:t>
      </w:r>
    </w:p>
    <w:p w:rsidR="001C06EC" w:rsidRDefault="00AF6012">
      <w:pPr>
        <w:tabs>
          <w:tab w:val="left" w:pos="0"/>
        </w:tabs>
        <w:spacing w:line="360" w:lineRule="auto"/>
        <w:ind w:firstLineChars="200" w:firstLine="480"/>
        <w:rPr>
          <w:rFonts w:ascii="Arial" w:hAnsi="Arial"/>
          <w:bCs/>
          <w:sz w:val="24"/>
          <w:szCs w:val="32"/>
        </w:rPr>
      </w:pPr>
      <w:r>
        <w:rPr>
          <w:rFonts w:ascii="Arial" w:hAnsi="Arial" w:hint="eastAsia"/>
          <w:bCs/>
          <w:sz w:val="24"/>
          <w:szCs w:val="32"/>
        </w:rPr>
        <w:t>1</w:t>
      </w:r>
      <w:r>
        <w:rPr>
          <w:rFonts w:ascii="Arial" w:hAnsi="Arial" w:hint="eastAsia"/>
          <w:bCs/>
          <w:sz w:val="24"/>
          <w:szCs w:val="32"/>
        </w:rPr>
        <w:t>、原告：徐建中；公民身份证号码：</w:t>
      </w:r>
      <w:r>
        <w:rPr>
          <w:rFonts w:ascii="Arial" w:hAnsi="Arial" w:hint="eastAsia"/>
          <w:bCs/>
          <w:sz w:val="24"/>
          <w:szCs w:val="32"/>
        </w:rPr>
        <w:t>320219690528577x</w:t>
      </w:r>
      <w:r>
        <w:rPr>
          <w:rFonts w:ascii="Arial" w:hAnsi="Arial" w:hint="eastAsia"/>
          <w:bCs/>
          <w:sz w:val="24"/>
          <w:szCs w:val="32"/>
        </w:rPr>
        <w:t>；住址：江苏省江阴市南闸镇曙光村徐家村</w:t>
      </w:r>
      <w:r>
        <w:rPr>
          <w:rFonts w:ascii="Arial" w:hAnsi="Arial" w:hint="eastAsia"/>
          <w:bCs/>
          <w:sz w:val="24"/>
          <w:szCs w:val="32"/>
        </w:rPr>
        <w:t>90</w:t>
      </w:r>
      <w:r>
        <w:rPr>
          <w:rFonts w:ascii="Arial" w:hAnsi="Arial" w:hint="eastAsia"/>
          <w:bCs/>
          <w:sz w:val="24"/>
          <w:szCs w:val="32"/>
        </w:rPr>
        <w:t>号；</w:t>
      </w:r>
    </w:p>
    <w:p w:rsidR="001C06EC" w:rsidRDefault="00AF6012">
      <w:pPr>
        <w:tabs>
          <w:tab w:val="left" w:pos="0"/>
        </w:tabs>
        <w:spacing w:line="360" w:lineRule="auto"/>
        <w:ind w:firstLineChars="200" w:firstLine="480"/>
        <w:rPr>
          <w:rFonts w:ascii="Arial" w:hAnsi="Arial"/>
          <w:bCs/>
          <w:sz w:val="24"/>
          <w:szCs w:val="32"/>
        </w:rPr>
      </w:pPr>
      <w:r>
        <w:rPr>
          <w:rFonts w:ascii="Arial" w:hAnsi="Arial" w:hint="eastAsia"/>
          <w:bCs/>
          <w:sz w:val="24"/>
          <w:szCs w:val="32"/>
        </w:rPr>
        <w:t>2</w:t>
      </w:r>
      <w:r>
        <w:rPr>
          <w:rFonts w:ascii="Arial" w:hAnsi="Arial" w:hint="eastAsia"/>
          <w:bCs/>
          <w:sz w:val="24"/>
          <w:szCs w:val="32"/>
        </w:rPr>
        <w:t>、被告：青岛金蚯蚓生态科技有限公司。</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（三）</w:t>
      </w:r>
      <w:r>
        <w:rPr>
          <w:rFonts w:asciiTheme="minorEastAsia" w:eastAsiaTheme="minorEastAsia" w:hAnsiTheme="minorEastAsia" w:hint="eastAsia"/>
          <w:sz w:val="24"/>
          <w:szCs w:val="24"/>
        </w:rPr>
        <w:t>资产评估委托合同约定的其他资产评估报告使用人概况</w:t>
      </w:r>
    </w:p>
    <w:p w:rsidR="001C06EC" w:rsidRDefault="00AF6012">
      <w:pPr>
        <w:tabs>
          <w:tab w:val="left" w:pos="0"/>
        </w:tabs>
        <w:spacing w:line="360" w:lineRule="auto"/>
        <w:ind w:firstLineChars="200" w:firstLine="480"/>
        <w:rPr>
          <w:rFonts w:ascii="宋体" w:hAnsi="宋体"/>
          <w:sz w:val="24"/>
          <w:szCs w:val="24"/>
        </w:rPr>
      </w:pPr>
      <w:r>
        <w:rPr>
          <w:rFonts w:ascii="宋体" w:hAnsi="宋体" w:hint="eastAsia"/>
          <w:sz w:val="24"/>
          <w:szCs w:val="24"/>
        </w:rPr>
        <w:t>无</w:t>
      </w:r>
    </w:p>
    <w:p w:rsidR="001C06EC" w:rsidRDefault="00AF6012">
      <w:pPr>
        <w:tabs>
          <w:tab w:val="left" w:pos="0"/>
        </w:tabs>
        <w:spacing w:line="360" w:lineRule="auto"/>
        <w:ind w:firstLineChars="200" w:firstLine="480"/>
        <w:rPr>
          <w:rFonts w:asciiTheme="minorEastAsia" w:eastAsiaTheme="minorEastAsia" w:hAnsiTheme="minorEastAsia"/>
          <w:i/>
          <w:sz w:val="24"/>
          <w:szCs w:val="24"/>
        </w:rPr>
      </w:pPr>
      <w:r>
        <w:rPr>
          <w:rFonts w:ascii="宋体" w:hAnsi="宋体" w:hint="eastAsia"/>
          <w:sz w:val="24"/>
          <w:szCs w:val="24"/>
        </w:rPr>
        <w:t>（四）本资产评估报告仅供委托人和国家法律、法规规定的资产评估报告使用人使用，不得被其他任何第三方使用或依赖。</w:t>
      </w:r>
    </w:p>
    <w:p w:rsidR="001C06EC" w:rsidRDefault="00AF6012">
      <w:pPr>
        <w:pStyle w:val="2"/>
        <w:ind w:firstLine="482"/>
      </w:pPr>
      <w:bookmarkStart w:id="11" w:name="_Toc504984254"/>
      <w:bookmarkStart w:id="12" w:name="_Toc334186088"/>
      <w:bookmarkStart w:id="13" w:name="_Toc515005161"/>
      <w:r>
        <w:t>二、</w:t>
      </w:r>
      <w:bookmarkStart w:id="14" w:name="三04"/>
      <w:r>
        <w:t>评估目的</w:t>
      </w:r>
      <w:bookmarkEnd w:id="11"/>
      <w:bookmarkEnd w:id="12"/>
      <w:bookmarkEnd w:id="13"/>
      <w:bookmarkEnd w:id="14"/>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受青岛市黄岛区人民法院委托，对原告徐建中与被告青岛金蚯蚓生态科技有</w:t>
      </w:r>
      <w:r>
        <w:rPr>
          <w:rFonts w:asciiTheme="minorEastAsia" w:eastAsiaTheme="minorEastAsia" w:hAnsiTheme="minorEastAsia" w:hint="eastAsia"/>
          <w:sz w:val="24"/>
          <w:szCs w:val="24"/>
        </w:rPr>
        <w:lastRenderedPageBreak/>
        <w:t>限公司民间借贷纠纷一案，涉及的对被执行人青岛金蚯蚓生态科技有限公司所有的银杏树进行评估，为法院审理该案件提供价值参考。</w:t>
      </w:r>
    </w:p>
    <w:p w:rsidR="001C06EC" w:rsidRDefault="00AF6012">
      <w:pPr>
        <w:pStyle w:val="2"/>
        <w:ind w:firstLine="482"/>
        <w:rPr>
          <w:rFonts w:ascii="宋体" w:hAnsi="宋体"/>
          <w:b w:val="0"/>
          <w:bCs w:val="0"/>
          <w:szCs w:val="24"/>
        </w:rPr>
      </w:pPr>
      <w:bookmarkStart w:id="15" w:name="_Toc334186089"/>
      <w:bookmarkStart w:id="16" w:name="_Toc504984255"/>
      <w:bookmarkStart w:id="17" w:name="_Toc515005162"/>
      <w:r>
        <w:t>三、</w:t>
      </w:r>
      <w:bookmarkStart w:id="18" w:name="三05"/>
      <w:r>
        <w:t>评估对象和评估范围</w:t>
      </w:r>
      <w:bookmarkEnd w:id="15"/>
      <w:bookmarkEnd w:id="16"/>
      <w:bookmarkEnd w:id="17"/>
      <w:bookmarkEnd w:id="18"/>
    </w:p>
    <w:p w:rsidR="001C06EC" w:rsidRDefault="00AF6012">
      <w:pPr>
        <w:tabs>
          <w:tab w:val="left" w:pos="0"/>
        </w:tabs>
        <w:spacing w:line="360" w:lineRule="auto"/>
        <w:ind w:firstLineChars="200" w:firstLine="480"/>
        <w:rPr>
          <w:rFonts w:ascii="宋体" w:hAnsi="宋体"/>
          <w:sz w:val="24"/>
          <w:szCs w:val="24"/>
        </w:rPr>
      </w:pPr>
      <w:bookmarkStart w:id="19" w:name="_Toc334186090"/>
      <w:r>
        <w:rPr>
          <w:rFonts w:ascii="宋体" w:hAnsi="宋体" w:hint="eastAsia"/>
          <w:sz w:val="24"/>
          <w:szCs w:val="24"/>
        </w:rPr>
        <w:t>（一）评估对象</w:t>
      </w:r>
    </w:p>
    <w:p w:rsidR="001C06EC" w:rsidRDefault="00AF6012">
      <w:pPr>
        <w:tabs>
          <w:tab w:val="left" w:pos="0"/>
        </w:tabs>
        <w:spacing w:line="360" w:lineRule="auto"/>
        <w:ind w:firstLineChars="200" w:firstLine="480"/>
        <w:rPr>
          <w:rFonts w:ascii="宋体" w:hAnsi="宋体"/>
          <w:sz w:val="24"/>
          <w:szCs w:val="24"/>
        </w:rPr>
      </w:pPr>
      <w:r>
        <w:rPr>
          <w:rFonts w:asciiTheme="minorEastAsia" w:eastAsiaTheme="minorEastAsia" w:hAnsiTheme="minorEastAsia" w:hint="eastAsia"/>
          <w:sz w:val="24"/>
          <w:szCs w:val="24"/>
        </w:rPr>
        <w:t>评估对象为原告徐建中与被告青岛金蚯蚓生态科技有限公司民间借贷纠纷一案</w:t>
      </w:r>
      <w:r w:rsidR="00D70293">
        <w:rPr>
          <w:rFonts w:asciiTheme="minorEastAsia" w:eastAsiaTheme="minorEastAsia" w:hAnsiTheme="minorEastAsia" w:hint="eastAsia"/>
          <w:sz w:val="24"/>
          <w:szCs w:val="24"/>
        </w:rPr>
        <w:t>涉及的对被执行人青岛金蚯蚓生态科技有限公司银杏树市场价值</w:t>
      </w:r>
      <w:r>
        <w:rPr>
          <w:rFonts w:ascii="宋体" w:hAnsi="宋体" w:hint="eastAsia"/>
          <w:sz w:val="24"/>
          <w:szCs w:val="24"/>
        </w:rPr>
        <w:t>。</w:t>
      </w:r>
      <w:r w:rsidR="00C74154">
        <w:rPr>
          <w:rFonts w:asciiTheme="minorEastAsia" w:eastAsiaTheme="minorEastAsia" w:hAnsiTheme="minorEastAsia" w:hint="eastAsia"/>
          <w:sz w:val="24"/>
          <w:szCs w:val="24"/>
        </w:rPr>
        <w:t>评估范围为被执行人青岛金蚯蚓生态科技有限公司所有的银杏树。</w:t>
      </w:r>
    </w:p>
    <w:p w:rsidR="001C06EC" w:rsidRDefault="00AF6012">
      <w:pPr>
        <w:tabs>
          <w:tab w:val="left" w:pos="0"/>
        </w:tabs>
        <w:spacing w:line="360" w:lineRule="auto"/>
        <w:ind w:firstLineChars="200" w:firstLine="480"/>
        <w:rPr>
          <w:rFonts w:ascii="宋体" w:hAnsi="宋体"/>
          <w:sz w:val="24"/>
          <w:szCs w:val="24"/>
        </w:rPr>
      </w:pPr>
      <w:r>
        <w:rPr>
          <w:rFonts w:ascii="宋体" w:hAnsi="宋体" w:hint="eastAsia"/>
          <w:sz w:val="24"/>
          <w:szCs w:val="24"/>
        </w:rPr>
        <w:t>（二）概况介绍</w:t>
      </w:r>
    </w:p>
    <w:p w:rsidR="001C06EC" w:rsidRDefault="00AF6012">
      <w:pPr>
        <w:tabs>
          <w:tab w:val="left" w:pos="0"/>
        </w:tabs>
        <w:spacing w:line="360" w:lineRule="auto"/>
        <w:ind w:firstLineChars="200" w:firstLine="480"/>
        <w:rPr>
          <w:rFonts w:ascii="宋体" w:hAnsi="宋体"/>
          <w:sz w:val="24"/>
          <w:szCs w:val="24"/>
        </w:rPr>
      </w:pPr>
      <w:r>
        <w:rPr>
          <w:rFonts w:ascii="宋体" w:hAnsi="宋体" w:hint="eastAsia"/>
          <w:sz w:val="24"/>
          <w:szCs w:val="24"/>
        </w:rPr>
        <w:t>对</w:t>
      </w:r>
      <w:r>
        <w:rPr>
          <w:rFonts w:asciiTheme="minorEastAsia" w:eastAsiaTheme="minorEastAsia" w:hAnsiTheme="minorEastAsia" w:hint="eastAsia"/>
          <w:sz w:val="24"/>
          <w:szCs w:val="24"/>
        </w:rPr>
        <w:t>被执行人青岛金蚯蚓生态科技有限公司所有的银杏树价值评估</w:t>
      </w:r>
      <w:r>
        <w:rPr>
          <w:rFonts w:ascii="宋体" w:hAnsi="宋体" w:hint="eastAsia"/>
          <w:sz w:val="24"/>
          <w:szCs w:val="24"/>
        </w:rPr>
        <w:t>项目位于黄岛区灵珠山街道。经现场勘查，银杏树苗木清查表如下：</w:t>
      </w:r>
    </w:p>
    <w:tbl>
      <w:tblPr>
        <w:tblW w:w="6139" w:type="dxa"/>
        <w:tblLayout w:type="fixed"/>
        <w:tblCellMar>
          <w:top w:w="15" w:type="dxa"/>
          <w:left w:w="15" w:type="dxa"/>
          <w:bottom w:w="15" w:type="dxa"/>
          <w:right w:w="15" w:type="dxa"/>
        </w:tblCellMar>
        <w:tblLook w:val="04A0"/>
      </w:tblPr>
      <w:tblGrid>
        <w:gridCol w:w="524"/>
        <w:gridCol w:w="1212"/>
        <w:gridCol w:w="1528"/>
        <w:gridCol w:w="1349"/>
        <w:gridCol w:w="1526"/>
      </w:tblGrid>
      <w:tr w:rsidR="00856C95" w:rsidTr="00856C95">
        <w:trPr>
          <w:trHeight w:val="286"/>
        </w:trPr>
        <w:tc>
          <w:tcPr>
            <w:tcW w:w="5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序</w:t>
            </w:r>
            <w:r>
              <w:rPr>
                <w:rStyle w:val="font11"/>
                <w:rFonts w:eastAsia="仿宋_GB2312"/>
              </w:rPr>
              <w:t xml:space="preserve">     </w:t>
            </w:r>
            <w:r>
              <w:rPr>
                <w:rFonts w:ascii="仿宋_GB2312" w:eastAsia="仿宋_GB2312" w:hAnsi="宋体" w:cs="仿宋_GB2312"/>
                <w:b/>
                <w:color w:val="000000"/>
                <w:kern w:val="0"/>
                <w:sz w:val="18"/>
                <w:szCs w:val="18"/>
              </w:rPr>
              <w:t>号</w:t>
            </w:r>
          </w:p>
        </w:tc>
        <w:tc>
          <w:tcPr>
            <w:tcW w:w="121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名称</w:t>
            </w:r>
          </w:p>
        </w:tc>
        <w:tc>
          <w:tcPr>
            <w:tcW w:w="44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数       量</w:t>
            </w:r>
          </w:p>
        </w:tc>
      </w:tr>
      <w:tr w:rsidR="00856C95" w:rsidTr="00856C95">
        <w:trPr>
          <w:trHeight w:val="525"/>
        </w:trPr>
        <w:tc>
          <w:tcPr>
            <w:tcW w:w="5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jc w:val="center"/>
              <w:rPr>
                <w:rFonts w:ascii="仿宋_GB2312" w:eastAsia="仿宋_GB2312" w:hAnsi="宋体" w:cs="仿宋_GB2312"/>
                <w:b/>
                <w:color w:val="000000"/>
                <w:sz w:val="18"/>
                <w:szCs w:val="18"/>
              </w:rPr>
            </w:pPr>
          </w:p>
        </w:tc>
        <w:tc>
          <w:tcPr>
            <w:tcW w:w="12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jc w:val="center"/>
              <w:rPr>
                <w:rFonts w:ascii="仿宋_GB2312" w:eastAsia="仿宋_GB2312" w:hAnsi="宋体" w:cs="仿宋_GB2312"/>
                <w:b/>
                <w:color w:val="000000"/>
                <w:sz w:val="18"/>
                <w:szCs w:val="18"/>
              </w:rPr>
            </w:pP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高度/冠幅（M）</w:t>
            </w: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胸径（CM）</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widowControl/>
              <w:jc w:val="center"/>
              <w:textAlignment w:val="center"/>
              <w:rPr>
                <w:rFonts w:ascii="仿宋_GB2312" w:eastAsia="仿宋_GB2312" w:hAnsi="宋体" w:cs="仿宋_GB2312"/>
                <w:b/>
                <w:color w:val="000000"/>
                <w:sz w:val="18"/>
                <w:szCs w:val="18"/>
              </w:rPr>
            </w:pPr>
            <w:r>
              <w:rPr>
                <w:rFonts w:ascii="仿宋_GB2312" w:eastAsia="仿宋_GB2312" w:hAnsi="宋体" w:cs="仿宋_GB2312"/>
                <w:b/>
                <w:color w:val="000000"/>
                <w:kern w:val="0"/>
                <w:sz w:val="18"/>
                <w:szCs w:val="18"/>
              </w:rPr>
              <w:t>数量（棵）</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1</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w:t>
            </w:r>
            <w:r>
              <w:rPr>
                <w:rFonts w:ascii="宋体" w:hAnsi="宋体" w:cs="宋体" w:hint="eastAsia"/>
                <w:color w:val="000000"/>
                <w:kern w:val="0"/>
                <w:sz w:val="20"/>
              </w:rPr>
              <w:t>15</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sz w:val="20"/>
              </w:rPr>
            </w:pPr>
            <w:r>
              <w:rPr>
                <w:rFonts w:hint="eastAsia"/>
                <w:sz w:val="20"/>
              </w:rPr>
              <w:t>135</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2</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w:t>
            </w:r>
            <w:r>
              <w:rPr>
                <w:rFonts w:ascii="宋体" w:hAnsi="宋体" w:cs="宋体" w:hint="eastAsia"/>
                <w:color w:val="000000"/>
                <w:kern w:val="0"/>
                <w:sz w:val="20"/>
              </w:rPr>
              <w:t>17</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sz w:val="20"/>
              </w:rPr>
            </w:pPr>
            <w:r>
              <w:rPr>
                <w:rFonts w:hint="eastAsia"/>
                <w:sz w:val="20"/>
              </w:rPr>
              <w:t>147</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Φ20</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sz w:val="20"/>
              </w:rPr>
            </w:pPr>
            <w:r>
              <w:rPr>
                <w:rFonts w:hint="eastAsia"/>
                <w:sz w:val="20"/>
              </w:rPr>
              <w:t>123</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4</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Φ22</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sz w:val="20"/>
              </w:rPr>
            </w:pPr>
            <w:r>
              <w:rPr>
                <w:rFonts w:hint="eastAsia"/>
                <w:sz w:val="20"/>
              </w:rPr>
              <w:t>24</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Φ23</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sz w:val="20"/>
              </w:rPr>
            </w:pPr>
            <w:r>
              <w:rPr>
                <w:rFonts w:hint="eastAsia"/>
                <w:sz w:val="20"/>
              </w:rPr>
              <w:t>7</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6</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w:t>
            </w:r>
            <w:r>
              <w:rPr>
                <w:rFonts w:ascii="宋体" w:hAnsi="宋体" w:cs="宋体" w:hint="eastAsia"/>
                <w:color w:val="000000"/>
                <w:kern w:val="0"/>
                <w:sz w:val="20"/>
              </w:rPr>
              <w:t>24</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sz w:val="20"/>
              </w:rPr>
            </w:pPr>
            <w:r>
              <w:rPr>
                <w:rFonts w:hint="eastAsia"/>
                <w:sz w:val="20"/>
              </w:rPr>
              <w:t>3</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7</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w:t>
            </w:r>
            <w:r>
              <w:rPr>
                <w:rFonts w:ascii="宋体" w:hAnsi="宋体" w:cs="宋体" w:hint="eastAsia"/>
                <w:color w:val="000000"/>
                <w:kern w:val="0"/>
                <w:sz w:val="20"/>
              </w:rPr>
              <w:t>25</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jc w:val="center"/>
              <w:rPr>
                <w:rFonts w:ascii="宋体" w:hAnsi="宋体" w:cs="宋体"/>
                <w:sz w:val="20"/>
              </w:rPr>
            </w:pPr>
            <w:r>
              <w:rPr>
                <w:rFonts w:hint="eastAsia"/>
                <w:sz w:val="20"/>
              </w:rPr>
              <w:t>1</w:t>
            </w:r>
          </w:p>
        </w:tc>
      </w:tr>
      <w:tr w:rsidR="00641377"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8</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宋体" w:hAnsi="宋体" w:cs="宋体"/>
                <w:color w:val="000000"/>
                <w:sz w:val="20"/>
              </w:rPr>
            </w:pPr>
            <w:r>
              <w:rPr>
                <w:rFonts w:ascii="宋体" w:hAnsi="宋体" w:cs="宋体" w:hint="eastAsia"/>
                <w:color w:val="000000"/>
                <w:kern w:val="0"/>
                <w:sz w:val="20"/>
              </w:rPr>
              <w:t>银杏</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1377" w:rsidRDefault="00641377">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1377" w:rsidRDefault="00641377">
            <w:pPr>
              <w:widowControl/>
              <w:jc w:val="center"/>
              <w:textAlignment w:val="center"/>
              <w:rPr>
                <w:rFonts w:ascii="Arial" w:hAnsi="Arial" w:cs="Arial"/>
                <w:color w:val="000000"/>
                <w:sz w:val="20"/>
              </w:rPr>
            </w:pPr>
            <w:r>
              <w:rPr>
                <w:rFonts w:ascii="Arial" w:hAnsi="Arial" w:cs="Arial"/>
                <w:color w:val="000000"/>
                <w:kern w:val="0"/>
                <w:sz w:val="20"/>
              </w:rPr>
              <w:t>Φ</w:t>
            </w:r>
            <w:r>
              <w:rPr>
                <w:rFonts w:ascii="宋体" w:hAnsi="宋体" w:cs="宋体" w:hint="eastAsia"/>
                <w:color w:val="000000"/>
                <w:kern w:val="0"/>
                <w:sz w:val="20"/>
              </w:rPr>
              <w:t>27</w:t>
            </w: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641377" w:rsidRDefault="00641377">
            <w:pPr>
              <w:jc w:val="center"/>
              <w:rPr>
                <w:rFonts w:ascii="宋体" w:hAnsi="宋体" w:cs="宋体"/>
                <w:sz w:val="20"/>
              </w:rPr>
            </w:pPr>
            <w:r>
              <w:rPr>
                <w:rFonts w:hint="eastAsia"/>
                <w:sz w:val="20"/>
              </w:rPr>
              <w:t>2</w:t>
            </w:r>
          </w:p>
        </w:tc>
      </w:tr>
      <w:tr w:rsidR="00856C95" w:rsidTr="00856C95">
        <w:trPr>
          <w:trHeight w:val="286"/>
        </w:trPr>
        <w:tc>
          <w:tcPr>
            <w:tcW w:w="5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widowControl/>
              <w:jc w:val="center"/>
              <w:textAlignment w:val="center"/>
              <w:rPr>
                <w:rFonts w:ascii="宋体" w:hAnsi="宋体" w:cs="宋体"/>
                <w:color w:val="000000"/>
                <w:sz w:val="18"/>
                <w:szCs w:val="18"/>
              </w:rPr>
            </w:pP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95" w:rsidRDefault="00856C95">
            <w:pPr>
              <w:widowControl/>
              <w:jc w:val="center"/>
              <w:textAlignment w:val="bottom"/>
              <w:rPr>
                <w:rFonts w:ascii="宋体" w:hAnsi="宋体" w:cs="宋体"/>
                <w:color w:val="000000"/>
                <w:sz w:val="20"/>
              </w:rPr>
            </w:pPr>
            <w:r>
              <w:rPr>
                <w:rFonts w:ascii="宋体" w:hAnsi="宋体" w:cs="宋体" w:hint="eastAsia"/>
                <w:color w:val="000000"/>
                <w:kern w:val="0"/>
                <w:sz w:val="20"/>
              </w:rPr>
              <w:t>合计</w:t>
            </w:r>
          </w:p>
        </w:tc>
        <w:tc>
          <w:tcPr>
            <w:tcW w:w="1528"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95" w:rsidRDefault="00856C95">
            <w:pPr>
              <w:jc w:val="center"/>
              <w:rPr>
                <w:rFonts w:ascii="宋体" w:hAnsi="宋体" w:cs="宋体"/>
                <w:color w:val="000000"/>
                <w:sz w:val="20"/>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6C95" w:rsidRDefault="00856C95">
            <w:pPr>
              <w:jc w:val="center"/>
              <w:rPr>
                <w:rFonts w:ascii="宋体" w:hAnsi="宋体" w:cs="宋体"/>
                <w:color w:val="000000"/>
                <w:sz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bottom"/>
          </w:tcPr>
          <w:p w:rsidR="00856C95" w:rsidRDefault="00641377">
            <w:pPr>
              <w:widowControl/>
              <w:jc w:val="center"/>
              <w:textAlignment w:val="bottom"/>
              <w:rPr>
                <w:rFonts w:ascii="宋体" w:hAnsi="宋体" w:cs="宋体"/>
                <w:color w:val="000000"/>
                <w:sz w:val="20"/>
              </w:rPr>
            </w:pPr>
            <w:r>
              <w:rPr>
                <w:rFonts w:ascii="宋体" w:hAnsi="宋体" w:cs="宋体" w:hint="eastAsia"/>
                <w:color w:val="000000"/>
                <w:kern w:val="0"/>
                <w:sz w:val="20"/>
              </w:rPr>
              <w:t>442</w:t>
            </w:r>
          </w:p>
        </w:tc>
      </w:tr>
    </w:tbl>
    <w:p w:rsidR="001C06EC" w:rsidRDefault="001C06EC">
      <w:pPr>
        <w:tabs>
          <w:tab w:val="left" w:pos="0"/>
        </w:tabs>
        <w:spacing w:line="360" w:lineRule="auto"/>
        <w:rPr>
          <w:rFonts w:ascii="宋体" w:hAnsi="宋体"/>
          <w:sz w:val="24"/>
          <w:szCs w:val="24"/>
        </w:rPr>
      </w:pP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委托评估对象和评估范围与经济行为涉及的评估对象和评估范围一致。</w:t>
      </w:r>
    </w:p>
    <w:p w:rsidR="001C06EC" w:rsidRDefault="00AF6012">
      <w:pPr>
        <w:pStyle w:val="2"/>
        <w:ind w:firstLine="482"/>
      </w:pPr>
      <w:bookmarkStart w:id="20" w:name="_Toc504984256"/>
      <w:bookmarkStart w:id="21" w:name="_Toc515005163"/>
      <w:r>
        <w:t>四、</w:t>
      </w:r>
      <w:bookmarkStart w:id="22" w:name="三06"/>
      <w:r>
        <w:t>价值类型及其定义</w:t>
      </w:r>
      <w:bookmarkEnd w:id="19"/>
      <w:bookmarkEnd w:id="20"/>
      <w:bookmarkEnd w:id="21"/>
      <w:bookmarkEnd w:id="22"/>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根据评估目的实现的要求，结合评估对象自身的功能、使用方式和利用状态等条件的制约，本次评估价值类型选用市场价值。</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市场价值是指自愿买方和自愿卖方在各自理性行事且未受任何强迫压制的情况下，评估对象在评估基准日进行正常公平交易的价值估计数额。</w:t>
      </w:r>
    </w:p>
    <w:p w:rsidR="001C06EC" w:rsidRDefault="00AF6012">
      <w:pPr>
        <w:pStyle w:val="2"/>
        <w:ind w:firstLine="482"/>
      </w:pPr>
      <w:bookmarkStart w:id="23" w:name="_Toc504984257"/>
      <w:bookmarkStart w:id="24" w:name="_Toc515005164"/>
      <w:bookmarkStart w:id="25" w:name="_Toc334186091"/>
      <w:r>
        <w:lastRenderedPageBreak/>
        <w:t>五、</w:t>
      </w:r>
      <w:bookmarkStart w:id="26" w:name="三07"/>
      <w:r>
        <w:t>评估基准日</w:t>
      </w:r>
      <w:bookmarkEnd w:id="23"/>
      <w:bookmarkEnd w:id="24"/>
      <w:bookmarkEnd w:id="25"/>
      <w:bookmarkEnd w:id="26"/>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本项目评估基准日为</w:t>
      </w:r>
      <w:r>
        <w:rPr>
          <w:rFonts w:asciiTheme="minorEastAsia" w:eastAsiaTheme="minorEastAsia" w:hAnsiTheme="minorEastAsia" w:hint="eastAsia"/>
          <w:sz w:val="24"/>
          <w:szCs w:val="24"/>
        </w:rPr>
        <w:t>2018</w:t>
      </w:r>
      <w:r>
        <w:rPr>
          <w:rFonts w:asciiTheme="minorEastAsia" w:eastAsiaTheme="minorEastAsia" w:hAnsiTheme="minor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24</w:t>
      </w:r>
      <w:r>
        <w:rPr>
          <w:rFonts w:asciiTheme="minorEastAsia" w:eastAsiaTheme="minorEastAsia" w:hAnsiTheme="minorEastAsia"/>
          <w:sz w:val="24"/>
          <w:szCs w:val="24"/>
        </w:rPr>
        <w:t>日。</w:t>
      </w:r>
    </w:p>
    <w:p w:rsidR="001C06EC" w:rsidRDefault="00AF6012">
      <w:pPr>
        <w:tabs>
          <w:tab w:val="left" w:pos="0"/>
        </w:tabs>
        <w:spacing w:line="360" w:lineRule="auto"/>
        <w:ind w:firstLineChars="200" w:firstLine="480"/>
        <w:rPr>
          <w:rFonts w:asciiTheme="minorEastAsia" w:eastAsiaTheme="minorEastAsia" w:hAnsiTheme="minorEastAsia"/>
          <w:color w:val="FF0000"/>
          <w:sz w:val="24"/>
          <w:szCs w:val="24"/>
        </w:rPr>
      </w:pPr>
      <w:r>
        <w:rPr>
          <w:rFonts w:asciiTheme="minorEastAsia" w:eastAsiaTheme="minorEastAsia" w:hAnsiTheme="minorEastAsia"/>
          <w:sz w:val="24"/>
          <w:szCs w:val="24"/>
        </w:rPr>
        <w:t>本报告书中一切取价标准均为评估基准日有效的价格标准。</w:t>
      </w:r>
    </w:p>
    <w:p w:rsidR="001C06EC" w:rsidRDefault="00AF6012">
      <w:pPr>
        <w:pStyle w:val="2"/>
        <w:ind w:firstLine="482"/>
      </w:pPr>
      <w:bookmarkStart w:id="27" w:name="_Toc504984258"/>
      <w:bookmarkStart w:id="28" w:name="_Toc334186092"/>
      <w:bookmarkStart w:id="29" w:name="_Toc515005165"/>
      <w:r>
        <w:t>六、</w:t>
      </w:r>
      <w:bookmarkStart w:id="30" w:name="三08"/>
      <w:r>
        <w:t>评估依据</w:t>
      </w:r>
      <w:bookmarkEnd w:id="27"/>
      <w:bookmarkEnd w:id="28"/>
      <w:bookmarkEnd w:id="29"/>
      <w:bookmarkEnd w:id="30"/>
    </w:p>
    <w:p w:rsidR="001C06EC" w:rsidRDefault="00AF6012">
      <w:pPr>
        <w:tabs>
          <w:tab w:val="left" w:pos="0"/>
        </w:tabs>
        <w:spacing w:line="360" w:lineRule="auto"/>
        <w:ind w:firstLineChars="200" w:firstLine="480"/>
        <w:rPr>
          <w:rFonts w:asciiTheme="minorEastAsia" w:eastAsiaTheme="minorEastAsia" w:hAnsiTheme="minorEastAsia"/>
          <w:sz w:val="24"/>
          <w:szCs w:val="24"/>
        </w:rPr>
      </w:pPr>
      <w:bookmarkStart w:id="31" w:name="_Toc66605631"/>
      <w:bookmarkStart w:id="32" w:name="_Toc205892044"/>
      <w:r>
        <w:rPr>
          <w:rFonts w:asciiTheme="minorEastAsia" w:eastAsiaTheme="minorEastAsia" w:hAnsiTheme="minorEastAsia"/>
          <w:sz w:val="24"/>
          <w:szCs w:val="24"/>
        </w:rPr>
        <w:t>（一）</w:t>
      </w:r>
      <w:r>
        <w:rPr>
          <w:rFonts w:asciiTheme="minorEastAsia" w:eastAsiaTheme="minorEastAsia" w:hAnsiTheme="minorEastAsia" w:hint="eastAsia"/>
          <w:sz w:val="24"/>
          <w:szCs w:val="24"/>
        </w:rPr>
        <w:t>经济</w:t>
      </w:r>
      <w:r>
        <w:rPr>
          <w:rFonts w:asciiTheme="minorEastAsia" w:eastAsiaTheme="minorEastAsia" w:hAnsiTheme="minorEastAsia"/>
          <w:sz w:val="24"/>
          <w:szCs w:val="24"/>
        </w:rPr>
        <w:t>行为依据</w:t>
      </w:r>
    </w:p>
    <w:p w:rsidR="001C06EC" w:rsidRDefault="00AF6012">
      <w:pPr>
        <w:pStyle w:val="af1"/>
        <w:numPr>
          <w:ilvl w:val="0"/>
          <w:numId w:val="1"/>
        </w:numPr>
        <w:tabs>
          <w:tab w:val="left" w:pos="0"/>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司法鉴定委托书（2018）黄鉴评字250号；</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（二）法规依据</w:t>
      </w:r>
    </w:p>
    <w:p w:rsidR="001C06EC" w:rsidRDefault="00AF6012">
      <w:pPr>
        <w:widowControl/>
        <w:numPr>
          <w:ilvl w:val="0"/>
          <w:numId w:val="2"/>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《中华人民共和国资产评估法》(2016年7月2日第十二届全国人民代表大会常务委员会第二十一次会议通过)；</w:t>
      </w:r>
    </w:p>
    <w:p w:rsidR="001C06EC" w:rsidRDefault="00AF6012">
      <w:pPr>
        <w:widowControl/>
        <w:numPr>
          <w:ilvl w:val="0"/>
          <w:numId w:val="2"/>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《中华人民共和国公司法》(2013年12月28日第十二届全国人民代表大会常务委员会第六次会议通过修正)；</w:t>
      </w:r>
    </w:p>
    <w:p w:rsidR="001C06EC" w:rsidRDefault="00AF6012">
      <w:pPr>
        <w:widowControl/>
        <w:numPr>
          <w:ilvl w:val="0"/>
          <w:numId w:val="2"/>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《资产评估行业财政监督管理办法》(中华人民共和国财政部令第86号)。</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（三）评估准则依据</w:t>
      </w:r>
    </w:p>
    <w:p w:rsidR="001C06EC" w:rsidRDefault="00AF6012">
      <w:pPr>
        <w:pStyle w:val="af1"/>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基本准则</w:t>
      </w:r>
      <w:r>
        <w:rPr>
          <w:rFonts w:asciiTheme="minorEastAsia" w:eastAsiaTheme="minorEastAsia" w:hAnsiTheme="minorEastAsia"/>
          <w:sz w:val="24"/>
          <w:szCs w:val="24"/>
        </w:rPr>
        <w:t>》（财</w:t>
      </w:r>
      <w:r>
        <w:rPr>
          <w:rFonts w:asciiTheme="minorEastAsia" w:eastAsiaTheme="minorEastAsia" w:hAnsiTheme="minorEastAsia" w:hint="eastAsia"/>
          <w:sz w:val="24"/>
          <w:szCs w:val="24"/>
        </w:rPr>
        <w:t>资</w:t>
      </w:r>
      <w:r>
        <w:rPr>
          <w:rFonts w:asciiTheme="minorEastAsia" w:eastAsiaTheme="minorEastAsia" w:hAnsiTheme="minorEastAsia"/>
          <w:sz w:val="24"/>
          <w:szCs w:val="24"/>
        </w:rPr>
        <w:t>[20</w:t>
      </w:r>
      <w:r>
        <w:rPr>
          <w:rFonts w:asciiTheme="minorEastAsia" w:eastAsiaTheme="minorEastAsia" w:hAnsiTheme="minorEastAsia" w:hint="eastAsia"/>
          <w:sz w:val="24"/>
          <w:szCs w:val="24"/>
        </w:rPr>
        <w:t>17</w:t>
      </w:r>
      <w:r>
        <w:rPr>
          <w:rFonts w:asciiTheme="minorEastAsia" w:eastAsiaTheme="minorEastAsia" w:hAnsiTheme="minorEastAsia"/>
          <w:sz w:val="24"/>
          <w:szCs w:val="24"/>
        </w:rPr>
        <w:t>]</w:t>
      </w:r>
      <w:r>
        <w:rPr>
          <w:rFonts w:asciiTheme="minorEastAsia" w:eastAsiaTheme="minorEastAsia" w:hAnsiTheme="minorEastAsia" w:hint="eastAsia"/>
          <w:sz w:val="24"/>
          <w:szCs w:val="24"/>
        </w:rPr>
        <w:t>43</w:t>
      </w:r>
      <w:r>
        <w:rPr>
          <w:rFonts w:asciiTheme="minorEastAsia" w:eastAsiaTheme="minorEastAsia" w:hAnsiTheme="minorEastAsia"/>
          <w:sz w:val="24"/>
          <w:szCs w:val="24"/>
        </w:rPr>
        <w:t>号）；</w:t>
      </w:r>
    </w:p>
    <w:p w:rsidR="001C06EC" w:rsidRDefault="00AF6012">
      <w:pPr>
        <w:pStyle w:val="af1"/>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Pr>
          <w:rFonts w:asciiTheme="minorEastAsia" w:eastAsiaTheme="minorEastAsia" w:hAnsiTheme="minorEastAsia"/>
          <w:sz w:val="24"/>
          <w:szCs w:val="24"/>
        </w:rPr>
        <w:t>资产评估职业道德准则》（</w:t>
      </w:r>
      <w:r>
        <w:rPr>
          <w:rFonts w:asciiTheme="minorEastAsia" w:eastAsiaTheme="minorEastAsia" w:hAnsiTheme="minorEastAsia" w:hint="eastAsia"/>
          <w:sz w:val="24"/>
          <w:szCs w:val="24"/>
        </w:rPr>
        <w:t>中评协（2017）30号</w:t>
      </w:r>
      <w:r>
        <w:rPr>
          <w:rFonts w:asciiTheme="minorEastAsia" w:eastAsiaTheme="minorEastAsia" w:hAnsiTheme="minorEastAsia"/>
          <w:sz w:val="24"/>
          <w:szCs w:val="24"/>
        </w:rPr>
        <w:t>）；</w:t>
      </w:r>
    </w:p>
    <w:p w:rsidR="001C06EC" w:rsidRDefault="00AF6012">
      <w:pPr>
        <w:pStyle w:val="af1"/>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hint="eastAsia"/>
          <w:sz w:val="24"/>
          <w:szCs w:val="24"/>
        </w:rPr>
        <w:t>资产评估程序</w:t>
      </w:r>
      <w:r>
        <w:rPr>
          <w:rFonts w:asciiTheme="minorEastAsia" w:eastAsiaTheme="minorEastAsia" w:hAnsiTheme="minorEastAsia"/>
          <w:sz w:val="24"/>
          <w:szCs w:val="24"/>
        </w:rPr>
        <w:t>》（中评协</w:t>
      </w:r>
      <w:r>
        <w:rPr>
          <w:rFonts w:asciiTheme="minorEastAsia" w:eastAsiaTheme="minorEastAsia" w:hAnsiTheme="minorEastAsia" w:hint="eastAsia"/>
          <w:sz w:val="24"/>
          <w:szCs w:val="24"/>
        </w:rPr>
        <w:t>（2017）31</w:t>
      </w:r>
      <w:r>
        <w:rPr>
          <w:rFonts w:asciiTheme="minorEastAsia" w:eastAsiaTheme="minorEastAsia" w:hAnsiTheme="minorEastAsia"/>
          <w:sz w:val="24"/>
          <w:szCs w:val="24"/>
        </w:rPr>
        <w:t>号）；</w:t>
      </w:r>
    </w:p>
    <w:p w:rsidR="001C06EC" w:rsidRDefault="00AF6012">
      <w:pPr>
        <w:pStyle w:val="af1"/>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hint="eastAsia"/>
          <w:sz w:val="24"/>
          <w:szCs w:val="24"/>
        </w:rPr>
        <w:t>资产评估报告</w:t>
      </w:r>
      <w:r>
        <w:rPr>
          <w:rFonts w:asciiTheme="minorEastAsia" w:eastAsiaTheme="minorEastAsia" w:hAnsiTheme="minorEastAsia"/>
          <w:sz w:val="24"/>
          <w:szCs w:val="24"/>
        </w:rPr>
        <w:t>》（中评协</w:t>
      </w:r>
      <w:r>
        <w:rPr>
          <w:rFonts w:asciiTheme="minorEastAsia" w:eastAsiaTheme="minorEastAsia" w:hAnsiTheme="minorEastAsia" w:hint="eastAsia"/>
          <w:sz w:val="24"/>
          <w:szCs w:val="24"/>
        </w:rPr>
        <w:t>（2017）32</w:t>
      </w:r>
      <w:r>
        <w:rPr>
          <w:rFonts w:asciiTheme="minorEastAsia" w:eastAsiaTheme="minorEastAsia" w:hAnsiTheme="minorEastAsia"/>
          <w:sz w:val="24"/>
          <w:szCs w:val="24"/>
        </w:rPr>
        <w:t>号）；</w:t>
      </w:r>
    </w:p>
    <w:p w:rsidR="001C06EC" w:rsidRDefault="00AF6012">
      <w:pPr>
        <w:pStyle w:val="af1"/>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hint="eastAsia"/>
          <w:sz w:val="24"/>
          <w:szCs w:val="24"/>
        </w:rPr>
        <w:t>资产评估委托合同</w:t>
      </w:r>
      <w:r>
        <w:rPr>
          <w:rFonts w:asciiTheme="minorEastAsia" w:eastAsiaTheme="minorEastAsia" w:hAnsiTheme="minorEastAsia"/>
          <w:sz w:val="24"/>
          <w:szCs w:val="24"/>
        </w:rPr>
        <w:t>》（中评协</w:t>
      </w:r>
      <w:r>
        <w:rPr>
          <w:rFonts w:asciiTheme="minorEastAsia" w:eastAsiaTheme="minorEastAsia" w:hAnsiTheme="minorEastAsia" w:hint="eastAsia"/>
          <w:sz w:val="24"/>
          <w:szCs w:val="24"/>
        </w:rPr>
        <w:t>（2017）33</w:t>
      </w:r>
      <w:r>
        <w:rPr>
          <w:rFonts w:asciiTheme="minorEastAsia" w:eastAsiaTheme="minorEastAsia" w:hAnsiTheme="minorEastAsia"/>
          <w:sz w:val="24"/>
          <w:szCs w:val="24"/>
        </w:rPr>
        <w:t>号）；</w:t>
      </w:r>
    </w:p>
    <w:p w:rsidR="001C06EC" w:rsidRDefault="00AF6012">
      <w:pPr>
        <w:pStyle w:val="af1"/>
        <w:numPr>
          <w:ilvl w:val="0"/>
          <w:numId w:val="3"/>
        </w:numPr>
        <w:tabs>
          <w:tab w:val="left" w:pos="0"/>
          <w:tab w:val="left" w:pos="851"/>
        </w:tabs>
        <w:spacing w:line="360" w:lineRule="auto"/>
        <w:ind w:left="0" w:firstLine="480"/>
        <w:rPr>
          <w:rFonts w:asciiTheme="minorEastAsia" w:eastAsiaTheme="minorEastAsia" w:hAnsiTheme="minorEastAsia"/>
          <w:sz w:val="24"/>
          <w:szCs w:val="24"/>
        </w:rPr>
      </w:pP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hint="eastAsia"/>
          <w:sz w:val="24"/>
          <w:szCs w:val="24"/>
        </w:rPr>
        <w:t>资产评估档案</w:t>
      </w:r>
      <w:r>
        <w:rPr>
          <w:rFonts w:asciiTheme="minorEastAsia" w:eastAsiaTheme="minorEastAsia" w:hAnsiTheme="minorEastAsia"/>
          <w:sz w:val="24"/>
          <w:szCs w:val="24"/>
        </w:rPr>
        <w:t>》（中评协</w:t>
      </w:r>
      <w:r>
        <w:rPr>
          <w:rFonts w:asciiTheme="minorEastAsia" w:eastAsiaTheme="minorEastAsia" w:hAnsiTheme="minorEastAsia" w:hint="eastAsia"/>
          <w:sz w:val="24"/>
          <w:szCs w:val="24"/>
        </w:rPr>
        <w:t>（2017）34</w:t>
      </w:r>
      <w:r>
        <w:rPr>
          <w:rFonts w:asciiTheme="minorEastAsia" w:eastAsiaTheme="minorEastAsia" w:hAnsiTheme="minorEastAsia"/>
          <w:sz w:val="24"/>
          <w:szCs w:val="24"/>
        </w:rPr>
        <w:t>号）；</w:t>
      </w:r>
    </w:p>
    <w:p w:rsidR="001C06EC" w:rsidRDefault="00AF6012">
      <w:pPr>
        <w:pStyle w:val="af1"/>
        <w:tabs>
          <w:tab w:val="left" w:pos="0"/>
          <w:tab w:val="left" w:pos="851"/>
        </w:tabs>
        <w:spacing w:line="360" w:lineRule="auto"/>
        <w:ind w:left="48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7.</w:t>
      </w:r>
      <w:r>
        <w:rPr>
          <w:rFonts w:asciiTheme="minorEastAsia" w:eastAsiaTheme="minorEastAsia" w:hAnsiTheme="minorEastAsia"/>
          <w:sz w:val="24"/>
          <w:szCs w:val="24"/>
        </w:rPr>
        <w:t>《资产评估</w:t>
      </w:r>
      <w:r>
        <w:rPr>
          <w:rFonts w:asciiTheme="minorEastAsia" w:eastAsiaTheme="minorEastAsia" w:hAnsiTheme="minorEastAsia" w:hint="eastAsia"/>
          <w:sz w:val="24"/>
          <w:szCs w:val="24"/>
        </w:rPr>
        <w:t>执业</w:t>
      </w:r>
      <w:r>
        <w:rPr>
          <w:rFonts w:asciiTheme="minorEastAsia" w:eastAsiaTheme="minorEastAsia" w:hAnsiTheme="minorEastAsia"/>
          <w:sz w:val="24"/>
          <w:szCs w:val="24"/>
        </w:rPr>
        <w:t>准则—</w:t>
      </w:r>
      <w:r>
        <w:rPr>
          <w:rFonts w:asciiTheme="minorEastAsia" w:eastAsiaTheme="minorEastAsia" w:hAnsiTheme="minorEastAsia" w:hint="eastAsia"/>
          <w:sz w:val="24"/>
          <w:szCs w:val="24"/>
        </w:rPr>
        <w:t>不动产</w:t>
      </w:r>
      <w:r>
        <w:rPr>
          <w:rFonts w:asciiTheme="minorEastAsia" w:eastAsiaTheme="minorEastAsia" w:hAnsiTheme="minorEastAsia"/>
          <w:sz w:val="24"/>
          <w:szCs w:val="24"/>
        </w:rPr>
        <w:t>》（中评协</w:t>
      </w:r>
      <w:r>
        <w:rPr>
          <w:rFonts w:asciiTheme="minorEastAsia" w:eastAsiaTheme="minorEastAsia" w:hAnsiTheme="minorEastAsia" w:hint="eastAsia"/>
          <w:sz w:val="24"/>
          <w:szCs w:val="24"/>
        </w:rPr>
        <w:t>（2017）38</w:t>
      </w:r>
      <w:r>
        <w:rPr>
          <w:rFonts w:asciiTheme="minorEastAsia" w:eastAsiaTheme="minorEastAsia" w:hAnsiTheme="minorEastAsia"/>
          <w:sz w:val="24"/>
          <w:szCs w:val="24"/>
        </w:rPr>
        <w:t>号）</w:t>
      </w:r>
      <w:r>
        <w:rPr>
          <w:rFonts w:asciiTheme="minorEastAsia" w:eastAsiaTheme="minorEastAsia" w:hAnsiTheme="minorEastAsia" w:hint="eastAsia"/>
          <w:sz w:val="24"/>
          <w:szCs w:val="24"/>
        </w:rPr>
        <w:t>。</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（四）产权依据</w:t>
      </w:r>
    </w:p>
    <w:p w:rsidR="001C06EC" w:rsidRDefault="00AF6012">
      <w:pPr>
        <w:pStyle w:val="af1"/>
        <w:numPr>
          <w:ilvl w:val="0"/>
          <w:numId w:val="4"/>
        </w:numPr>
        <w:tabs>
          <w:tab w:val="left" w:pos="851"/>
        </w:tabs>
        <w:spacing w:line="360" w:lineRule="auto"/>
        <w:ind w:firstLineChars="0"/>
        <w:rPr>
          <w:rFonts w:asciiTheme="minorEastAsia" w:eastAsiaTheme="minorEastAsia" w:hAnsiTheme="minorEastAsia"/>
          <w:sz w:val="24"/>
          <w:szCs w:val="24"/>
        </w:rPr>
      </w:pPr>
      <w:r>
        <w:rPr>
          <w:rFonts w:asciiTheme="minorEastAsia" w:eastAsiaTheme="minorEastAsia" w:hAnsiTheme="minorEastAsia" w:hint="eastAsia"/>
          <w:sz w:val="24"/>
          <w:szCs w:val="24"/>
        </w:rPr>
        <w:t>委托函</w:t>
      </w:r>
      <w:r w:rsidR="00C74154">
        <w:rPr>
          <w:rFonts w:asciiTheme="minorEastAsia" w:eastAsiaTheme="minorEastAsia" w:hAnsiTheme="minorEastAsia" w:hint="eastAsia"/>
          <w:sz w:val="24"/>
          <w:szCs w:val="24"/>
        </w:rPr>
        <w:t>、现场勘查笔录。</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（五）取价依据</w:t>
      </w:r>
    </w:p>
    <w:p w:rsidR="001C06EC" w:rsidRDefault="00AF6012">
      <w:pPr>
        <w:numPr>
          <w:ilvl w:val="0"/>
          <w:numId w:val="5"/>
        </w:numPr>
        <w:tabs>
          <w:tab w:val="left" w:pos="0"/>
          <w:tab w:val="left" w:pos="851"/>
        </w:tabs>
        <w:spacing w:line="360" w:lineRule="auto"/>
        <w:rPr>
          <w:rFonts w:ascii="宋体" w:hAnsi="宋体"/>
          <w:sz w:val="24"/>
          <w:szCs w:val="24"/>
        </w:rPr>
      </w:pPr>
      <w:bookmarkStart w:id="33" w:name="_Toc66605633"/>
      <w:bookmarkStart w:id="34" w:name="_Toc205892046"/>
      <w:bookmarkEnd w:id="31"/>
      <w:bookmarkEnd w:id="32"/>
      <w:r>
        <w:rPr>
          <w:rFonts w:ascii="宋体" w:hAnsi="宋体" w:hint="eastAsia"/>
          <w:sz w:val="24"/>
          <w:szCs w:val="24"/>
        </w:rPr>
        <w:t xml:space="preserve">青岛材价； </w:t>
      </w:r>
    </w:p>
    <w:p w:rsidR="001C06EC" w:rsidRDefault="00AF6012">
      <w:pPr>
        <w:numPr>
          <w:ilvl w:val="0"/>
          <w:numId w:val="5"/>
        </w:numPr>
        <w:tabs>
          <w:tab w:val="left" w:pos="0"/>
          <w:tab w:val="left" w:pos="851"/>
        </w:tabs>
        <w:spacing w:line="360" w:lineRule="auto"/>
        <w:rPr>
          <w:rFonts w:ascii="宋体" w:hAnsi="宋体"/>
          <w:sz w:val="24"/>
          <w:szCs w:val="24"/>
        </w:rPr>
      </w:pPr>
      <w:r>
        <w:rPr>
          <w:rFonts w:ascii="宋体" w:hAnsi="宋体" w:hint="eastAsia"/>
          <w:sz w:val="24"/>
          <w:szCs w:val="24"/>
        </w:rPr>
        <w:t>评估人员市场调查及询价资料；</w:t>
      </w:r>
    </w:p>
    <w:p w:rsidR="001C06EC" w:rsidRDefault="00AF6012">
      <w:pPr>
        <w:numPr>
          <w:ilvl w:val="0"/>
          <w:numId w:val="5"/>
        </w:numPr>
        <w:tabs>
          <w:tab w:val="left" w:pos="0"/>
          <w:tab w:val="left" w:pos="851"/>
        </w:tabs>
        <w:spacing w:line="360" w:lineRule="auto"/>
        <w:rPr>
          <w:rFonts w:ascii="宋体" w:hAnsi="宋体"/>
          <w:sz w:val="24"/>
          <w:szCs w:val="24"/>
        </w:rPr>
      </w:pPr>
      <w:r>
        <w:rPr>
          <w:rFonts w:ascii="宋体" w:hAnsi="宋体" w:hint="eastAsia"/>
          <w:sz w:val="24"/>
          <w:szCs w:val="24"/>
        </w:rPr>
        <w:t>评估机构价格库的相关资料；</w:t>
      </w:r>
    </w:p>
    <w:p w:rsidR="001C06EC" w:rsidRDefault="00AF6012">
      <w:pPr>
        <w:tabs>
          <w:tab w:val="left" w:pos="0"/>
          <w:tab w:val="left" w:pos="851"/>
        </w:tabs>
        <w:spacing w:line="360" w:lineRule="auto"/>
        <w:ind w:left="480" w:firstLineChars="100" w:firstLine="240"/>
        <w:rPr>
          <w:rFonts w:asciiTheme="minorEastAsia" w:eastAsiaTheme="minorEastAsia" w:hAnsiTheme="minorEastAsia"/>
          <w:sz w:val="24"/>
          <w:szCs w:val="24"/>
        </w:rPr>
      </w:pPr>
      <w:r>
        <w:rPr>
          <w:rFonts w:ascii="宋体" w:hAnsi="宋体" w:hint="eastAsia"/>
          <w:sz w:val="24"/>
          <w:szCs w:val="24"/>
        </w:rPr>
        <w:t>4、其他与本次评估有关的资料。</w:t>
      </w:r>
      <w:bookmarkEnd w:id="33"/>
      <w:bookmarkEnd w:id="34"/>
    </w:p>
    <w:p w:rsidR="001C06EC" w:rsidRDefault="00AF6012">
      <w:pPr>
        <w:pStyle w:val="2"/>
        <w:ind w:firstLine="482"/>
      </w:pPr>
      <w:bookmarkStart w:id="35" w:name="_Toc515005166"/>
      <w:bookmarkStart w:id="36" w:name="_Toc504984259"/>
      <w:bookmarkStart w:id="37" w:name="_Toc334186093"/>
      <w:r>
        <w:lastRenderedPageBreak/>
        <w:t>七、</w:t>
      </w:r>
      <w:bookmarkStart w:id="38" w:name="三09"/>
      <w:r>
        <w:t>评估方法</w:t>
      </w:r>
      <w:bookmarkEnd w:id="35"/>
      <w:bookmarkEnd w:id="36"/>
      <w:bookmarkEnd w:id="37"/>
      <w:bookmarkEnd w:id="38"/>
    </w:p>
    <w:p w:rsidR="001C06EC" w:rsidRDefault="00AF6012">
      <w:pPr>
        <w:tabs>
          <w:tab w:val="left" w:pos="0"/>
        </w:tabs>
        <w:spacing w:line="360" w:lineRule="auto"/>
        <w:ind w:firstLineChars="200" w:firstLine="480"/>
        <w:rPr>
          <w:rFonts w:asciiTheme="minorEastAsia" w:eastAsiaTheme="minorEastAsia" w:hAnsiTheme="minorEastAsia"/>
          <w:sz w:val="24"/>
          <w:szCs w:val="24"/>
        </w:rPr>
      </w:pPr>
      <w:bookmarkStart w:id="39" w:name="_Toc334186094"/>
      <w:r w:rsidRPr="00C74154">
        <w:rPr>
          <w:rFonts w:asciiTheme="minorEastAsia" w:eastAsiaTheme="minorEastAsia" w:hAnsiTheme="minorEastAsia" w:hint="eastAsia"/>
          <w:sz w:val="24"/>
          <w:szCs w:val="24"/>
        </w:rPr>
        <w:t>本次评估根据评估目的、资产特点等因素采用市场法进行评估。</w:t>
      </w:r>
    </w:p>
    <w:p w:rsidR="001C06EC" w:rsidRDefault="00AF6012">
      <w:pPr>
        <w:tabs>
          <w:tab w:val="left" w:pos="0"/>
        </w:tabs>
        <w:spacing w:line="360" w:lineRule="auto"/>
        <w:ind w:firstLineChars="200" w:firstLine="480"/>
        <w:rPr>
          <w:rFonts w:ascii="宋体" w:hAnsi="宋体"/>
          <w:sz w:val="24"/>
          <w:szCs w:val="24"/>
        </w:rPr>
      </w:pPr>
      <w:r w:rsidRPr="00C74154">
        <w:rPr>
          <w:rFonts w:ascii="宋体" w:hAnsi="宋体" w:hint="eastAsia"/>
          <w:sz w:val="24"/>
          <w:szCs w:val="24"/>
        </w:rPr>
        <w:t>市场</w:t>
      </w:r>
      <w:r w:rsidRPr="00C74154">
        <w:rPr>
          <w:rFonts w:ascii="宋体" w:hAnsi="宋体"/>
          <w:sz w:val="24"/>
          <w:szCs w:val="24"/>
        </w:rPr>
        <w:t>法是</w:t>
      </w:r>
      <w:r w:rsidRPr="00C74154">
        <w:rPr>
          <w:rFonts w:ascii="宋体" w:hAnsi="宋体" w:hint="eastAsia"/>
          <w:sz w:val="24"/>
          <w:szCs w:val="24"/>
        </w:rPr>
        <w:t>利用市场上同类或类似资产评估基准日近期</w:t>
      </w:r>
      <w:r w:rsidRPr="00C74154">
        <w:rPr>
          <w:rFonts w:ascii="宋体" w:hAnsi="宋体"/>
          <w:sz w:val="24"/>
          <w:szCs w:val="24"/>
        </w:rPr>
        <w:t>价格，</w:t>
      </w:r>
      <w:r w:rsidRPr="00C74154">
        <w:rPr>
          <w:rFonts w:ascii="宋体" w:hAnsi="宋体" w:hint="eastAsia"/>
          <w:sz w:val="24"/>
          <w:szCs w:val="24"/>
        </w:rPr>
        <w:t>经过直接比较或类比分析以估测资产价值的评估方法。</w:t>
      </w:r>
    </w:p>
    <w:p w:rsidR="001C06EC" w:rsidRDefault="00AF6012">
      <w:pPr>
        <w:pStyle w:val="2"/>
        <w:ind w:firstLine="482"/>
      </w:pPr>
      <w:bookmarkStart w:id="40" w:name="_Toc515005167"/>
      <w:bookmarkStart w:id="41" w:name="_Toc504984260"/>
      <w:r>
        <w:t>八、</w:t>
      </w:r>
      <w:bookmarkStart w:id="42" w:name="三10"/>
      <w:r>
        <w:t>评估程序实施过程和情况</w:t>
      </w:r>
      <w:bookmarkEnd w:id="39"/>
      <w:bookmarkEnd w:id="40"/>
      <w:bookmarkEnd w:id="41"/>
      <w:bookmarkEnd w:id="42"/>
    </w:p>
    <w:p w:rsidR="001C06EC" w:rsidRDefault="00AF6012">
      <w:pPr>
        <w:widowControl/>
        <w:numPr>
          <w:ilvl w:val="0"/>
          <w:numId w:val="6"/>
        </w:numPr>
        <w:tabs>
          <w:tab w:val="left" w:pos="1134"/>
        </w:tabs>
        <w:adjustRightInd w:val="0"/>
        <w:snapToGrid w:val="0"/>
        <w:spacing w:line="360" w:lineRule="auto"/>
        <w:ind w:left="0" w:firstLineChars="200" w:firstLine="480"/>
        <w:outlineLvl w:val="2"/>
        <w:rPr>
          <w:rFonts w:ascii="宋体" w:hAnsi="宋体"/>
          <w:snapToGrid w:val="0"/>
          <w:sz w:val="24"/>
          <w:szCs w:val="24"/>
        </w:rPr>
      </w:pPr>
      <w:bookmarkStart w:id="43" w:name="_Toc515005168"/>
      <w:bookmarkStart w:id="44" w:name="_Toc504984261"/>
      <w:bookmarkStart w:id="45" w:name="_Toc334186095"/>
      <w:r>
        <w:rPr>
          <w:rFonts w:ascii="宋体" w:hAnsi="宋体" w:hint="eastAsia"/>
          <w:snapToGrid w:val="0"/>
          <w:sz w:val="24"/>
          <w:szCs w:val="24"/>
        </w:rPr>
        <w:t>接受委托</w:t>
      </w:r>
      <w:bookmarkEnd w:id="43"/>
    </w:p>
    <w:p w:rsidR="001C06EC" w:rsidRDefault="00AF6012">
      <w:pPr>
        <w:snapToGrid w:val="0"/>
        <w:spacing w:line="360" w:lineRule="auto"/>
        <w:ind w:firstLine="504"/>
        <w:rPr>
          <w:rFonts w:ascii="宋体" w:hAnsi="宋体"/>
          <w:sz w:val="24"/>
          <w:szCs w:val="24"/>
        </w:rPr>
      </w:pPr>
      <w:r>
        <w:rPr>
          <w:rFonts w:ascii="宋体" w:hAnsi="宋体" w:hint="eastAsia"/>
          <w:sz w:val="24"/>
          <w:szCs w:val="24"/>
        </w:rPr>
        <w:t>我公司与委托人就评估目的、评估对象和评估范围、评估基准日等评估业务基本事项，以及各方的权利、义务等达成一致，并与委托人协商拟定了相应的评估计划，评估报告提交时间及方式等评估业务基本事项。</w:t>
      </w:r>
    </w:p>
    <w:p w:rsidR="001C06EC" w:rsidRDefault="00AF6012">
      <w:pPr>
        <w:widowControl/>
        <w:numPr>
          <w:ilvl w:val="0"/>
          <w:numId w:val="6"/>
        </w:numPr>
        <w:tabs>
          <w:tab w:val="left" w:pos="1134"/>
        </w:tabs>
        <w:adjustRightInd w:val="0"/>
        <w:snapToGrid w:val="0"/>
        <w:spacing w:line="360" w:lineRule="auto"/>
        <w:ind w:left="0" w:firstLineChars="200" w:firstLine="480"/>
        <w:outlineLvl w:val="2"/>
        <w:rPr>
          <w:rFonts w:ascii="宋体" w:hAnsi="宋体"/>
          <w:kern w:val="0"/>
          <w:sz w:val="24"/>
          <w:szCs w:val="24"/>
        </w:rPr>
      </w:pPr>
      <w:bookmarkStart w:id="46" w:name="_Toc515005169"/>
      <w:bookmarkStart w:id="47" w:name="_Toc284660064"/>
      <w:bookmarkStart w:id="48" w:name="_Toc284660106"/>
      <w:bookmarkStart w:id="49" w:name="_Toc267862693"/>
      <w:bookmarkStart w:id="50" w:name="_Toc267862438"/>
      <w:r>
        <w:rPr>
          <w:rFonts w:ascii="宋体" w:hAnsi="宋体" w:hint="eastAsia"/>
          <w:kern w:val="0"/>
          <w:sz w:val="24"/>
          <w:szCs w:val="24"/>
        </w:rPr>
        <w:t>前期准备</w:t>
      </w:r>
      <w:bookmarkEnd w:id="46"/>
      <w:bookmarkEnd w:id="47"/>
      <w:bookmarkEnd w:id="48"/>
    </w:p>
    <w:p w:rsidR="001C06EC" w:rsidRDefault="00AF6012">
      <w:pPr>
        <w:snapToGrid w:val="0"/>
        <w:spacing w:line="360" w:lineRule="auto"/>
        <w:ind w:firstLineChars="150" w:firstLine="360"/>
        <w:rPr>
          <w:rFonts w:ascii="宋体" w:hAnsi="宋体"/>
          <w:sz w:val="24"/>
          <w:szCs w:val="24"/>
        </w:rPr>
      </w:pPr>
      <w:r>
        <w:rPr>
          <w:rFonts w:ascii="宋体" w:hAnsi="宋体" w:hint="eastAsia"/>
          <w:sz w:val="24"/>
          <w:szCs w:val="24"/>
        </w:rPr>
        <w:t>根据评估基本事项拟定评估方案、组建评估团队、实施项目相关人员培训。</w:t>
      </w:r>
    </w:p>
    <w:p w:rsidR="001C06EC" w:rsidRDefault="00AF6012">
      <w:pPr>
        <w:widowControl/>
        <w:numPr>
          <w:ilvl w:val="0"/>
          <w:numId w:val="6"/>
        </w:numPr>
        <w:tabs>
          <w:tab w:val="left" w:pos="1134"/>
        </w:tabs>
        <w:adjustRightInd w:val="0"/>
        <w:snapToGrid w:val="0"/>
        <w:spacing w:line="360" w:lineRule="auto"/>
        <w:ind w:left="0" w:firstLineChars="200" w:firstLine="480"/>
        <w:outlineLvl w:val="2"/>
        <w:rPr>
          <w:rFonts w:ascii="宋体" w:hAnsi="宋体"/>
          <w:kern w:val="0"/>
          <w:sz w:val="24"/>
          <w:szCs w:val="24"/>
        </w:rPr>
      </w:pPr>
      <w:bookmarkStart w:id="51" w:name="_Toc284660107"/>
      <w:bookmarkStart w:id="52" w:name="_Toc515005170"/>
      <w:bookmarkStart w:id="53" w:name="_Toc284660065"/>
      <w:bookmarkEnd w:id="49"/>
      <w:bookmarkEnd w:id="50"/>
      <w:r>
        <w:rPr>
          <w:rFonts w:ascii="宋体" w:hAnsi="宋体" w:hint="eastAsia"/>
          <w:kern w:val="0"/>
          <w:sz w:val="24"/>
          <w:szCs w:val="24"/>
        </w:rPr>
        <w:t>现场调查</w:t>
      </w:r>
      <w:bookmarkEnd w:id="51"/>
      <w:bookmarkEnd w:id="52"/>
      <w:bookmarkEnd w:id="53"/>
    </w:p>
    <w:p w:rsidR="001C06EC" w:rsidRDefault="00AF6012">
      <w:pPr>
        <w:snapToGrid w:val="0"/>
        <w:spacing w:line="360" w:lineRule="auto"/>
        <w:ind w:firstLine="504"/>
        <w:rPr>
          <w:rFonts w:ascii="宋体" w:hAnsi="宋体"/>
          <w:sz w:val="24"/>
          <w:szCs w:val="24"/>
        </w:rPr>
      </w:pPr>
      <w:r>
        <w:rPr>
          <w:rFonts w:ascii="宋体" w:hAnsi="宋体" w:hint="eastAsia"/>
          <w:sz w:val="24"/>
          <w:szCs w:val="24"/>
        </w:rPr>
        <w:t>评估人员对评估对象进行了必要的清查核实。</w:t>
      </w:r>
    </w:p>
    <w:p w:rsidR="001C06EC" w:rsidRDefault="00AF6012">
      <w:pPr>
        <w:adjustRightInd w:val="0"/>
        <w:snapToGrid w:val="0"/>
        <w:spacing w:line="360" w:lineRule="auto"/>
        <w:ind w:firstLineChars="200" w:firstLine="480"/>
        <w:rPr>
          <w:rFonts w:ascii="宋体" w:hAnsi="宋体"/>
          <w:sz w:val="24"/>
          <w:szCs w:val="24"/>
        </w:rPr>
      </w:pPr>
      <w:r>
        <w:rPr>
          <w:rFonts w:ascii="宋体" w:hAnsi="宋体" w:hint="eastAsia"/>
          <w:sz w:val="24"/>
          <w:szCs w:val="24"/>
        </w:rPr>
        <w:t>现场实地勘查</w:t>
      </w:r>
    </w:p>
    <w:p w:rsidR="001C06EC" w:rsidRDefault="00AF6012">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评估人员根据现场实地勘查结果,并和产权持有单位相关人员充分沟通,进一步完善“资产评估明细表”,以做到：账、表、实相符。</w:t>
      </w:r>
    </w:p>
    <w:p w:rsidR="001C06EC" w:rsidRDefault="00AF6012">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评估人员对产权证明文件资料进行查验,对权属资料不完善、权属不清晰的情况提请企业核实或出具相关产权说明文件。</w:t>
      </w:r>
    </w:p>
    <w:p w:rsidR="001C06EC" w:rsidRDefault="00AF6012">
      <w:pPr>
        <w:widowControl/>
        <w:numPr>
          <w:ilvl w:val="0"/>
          <w:numId w:val="6"/>
        </w:numPr>
        <w:tabs>
          <w:tab w:val="left" w:pos="1134"/>
        </w:tabs>
        <w:adjustRightInd w:val="0"/>
        <w:snapToGrid w:val="0"/>
        <w:spacing w:line="360" w:lineRule="auto"/>
        <w:ind w:left="0" w:firstLineChars="200" w:firstLine="480"/>
        <w:outlineLvl w:val="2"/>
        <w:rPr>
          <w:rFonts w:ascii="宋体" w:hAnsi="宋体"/>
          <w:snapToGrid w:val="0"/>
          <w:sz w:val="24"/>
          <w:szCs w:val="24"/>
        </w:rPr>
      </w:pPr>
      <w:bookmarkStart w:id="54" w:name="_Toc515005171"/>
      <w:bookmarkStart w:id="55" w:name="_Toc267862694"/>
      <w:bookmarkStart w:id="56" w:name="_Toc267862439"/>
      <w:bookmarkStart w:id="57" w:name="_Toc284660108"/>
      <w:bookmarkStart w:id="58" w:name="_Toc284660066"/>
      <w:r>
        <w:rPr>
          <w:rFonts w:ascii="宋体" w:hAnsi="宋体" w:hint="eastAsia"/>
          <w:snapToGrid w:val="0"/>
          <w:sz w:val="24"/>
          <w:szCs w:val="24"/>
        </w:rPr>
        <w:t>资料收集</w:t>
      </w:r>
      <w:bookmarkEnd w:id="54"/>
    </w:p>
    <w:p w:rsidR="001C06EC" w:rsidRDefault="00AF6012">
      <w:pPr>
        <w:adjustRightInd w:val="0"/>
        <w:snapToGrid w:val="0"/>
        <w:spacing w:line="360" w:lineRule="auto"/>
        <w:ind w:firstLineChars="200" w:firstLine="480"/>
        <w:rPr>
          <w:rFonts w:ascii="宋体" w:hAnsi="宋体"/>
          <w:sz w:val="24"/>
          <w:szCs w:val="24"/>
        </w:rPr>
      </w:pPr>
      <w:r>
        <w:rPr>
          <w:rFonts w:ascii="宋体" w:hAnsi="宋体" w:hint="eastAsia"/>
          <w:sz w:val="24"/>
          <w:szCs w:val="24"/>
        </w:rPr>
        <w:t>评估人员根据评估项目的具体情况进行了评估资料收集，包括直接从市场等渠道独立获取的资料，从委托方等相关当事方获取的资料，以及从政府部门、各类专业机构和其他相关部门获取的资料，并对收集的评估资料进行了必要分析、归纳和整理，形成评定估算的依据。</w:t>
      </w:r>
    </w:p>
    <w:p w:rsidR="001C06EC" w:rsidRDefault="00AF6012">
      <w:pPr>
        <w:widowControl/>
        <w:numPr>
          <w:ilvl w:val="0"/>
          <w:numId w:val="6"/>
        </w:numPr>
        <w:tabs>
          <w:tab w:val="left" w:pos="1134"/>
        </w:tabs>
        <w:adjustRightInd w:val="0"/>
        <w:snapToGrid w:val="0"/>
        <w:spacing w:line="360" w:lineRule="auto"/>
        <w:ind w:left="0" w:firstLineChars="200" w:firstLine="480"/>
        <w:outlineLvl w:val="2"/>
        <w:rPr>
          <w:rFonts w:ascii="宋体" w:hAnsi="宋体"/>
          <w:snapToGrid w:val="0"/>
          <w:sz w:val="24"/>
          <w:szCs w:val="24"/>
        </w:rPr>
      </w:pPr>
      <w:bookmarkStart w:id="59" w:name="_Toc515005172"/>
      <w:r>
        <w:rPr>
          <w:rFonts w:ascii="宋体" w:hAnsi="宋体" w:hint="eastAsia"/>
          <w:snapToGrid w:val="0"/>
          <w:sz w:val="24"/>
          <w:szCs w:val="24"/>
        </w:rPr>
        <w:t>评定估算</w:t>
      </w:r>
      <w:bookmarkEnd w:id="55"/>
      <w:bookmarkEnd w:id="56"/>
      <w:bookmarkEnd w:id="57"/>
      <w:bookmarkEnd w:id="58"/>
      <w:bookmarkEnd w:id="59"/>
    </w:p>
    <w:p w:rsidR="001C06EC" w:rsidRDefault="00AF6012">
      <w:pPr>
        <w:adjustRightInd w:val="0"/>
        <w:snapToGrid w:val="0"/>
        <w:spacing w:line="360" w:lineRule="auto"/>
        <w:ind w:firstLineChars="200" w:firstLine="480"/>
        <w:rPr>
          <w:rFonts w:ascii="宋体" w:hAnsi="宋体"/>
          <w:snapToGrid w:val="0"/>
          <w:sz w:val="24"/>
          <w:szCs w:val="24"/>
        </w:rPr>
      </w:pPr>
      <w:r>
        <w:rPr>
          <w:rFonts w:ascii="宋体" w:hAnsi="宋体" w:hint="eastAsia"/>
          <w:snapToGrid w:val="0"/>
          <w:sz w:val="24"/>
          <w:szCs w:val="24"/>
        </w:rPr>
        <w:t>评估人员针对各类资产的具体情况，根据选用的评估方法，选取相应的公式和参数进行分析、计算和判断，形成了初步评估结论。项目负责人对各类资产评估初步结论进行汇总，撰写并形成初步资产评估报告。</w:t>
      </w:r>
    </w:p>
    <w:p w:rsidR="001C06EC" w:rsidRDefault="00AF6012">
      <w:pPr>
        <w:widowControl/>
        <w:numPr>
          <w:ilvl w:val="0"/>
          <w:numId w:val="6"/>
        </w:numPr>
        <w:tabs>
          <w:tab w:val="left" w:pos="1134"/>
        </w:tabs>
        <w:adjustRightInd w:val="0"/>
        <w:snapToGrid w:val="0"/>
        <w:spacing w:line="360" w:lineRule="auto"/>
        <w:ind w:left="0" w:firstLineChars="200" w:firstLine="480"/>
        <w:outlineLvl w:val="2"/>
        <w:rPr>
          <w:rFonts w:ascii="宋体" w:hAnsi="宋体"/>
          <w:snapToGrid w:val="0"/>
          <w:sz w:val="24"/>
          <w:szCs w:val="24"/>
        </w:rPr>
      </w:pPr>
      <w:bookmarkStart w:id="60" w:name="_Toc515005173"/>
      <w:r>
        <w:rPr>
          <w:rFonts w:ascii="宋体" w:hAnsi="宋体" w:hint="eastAsia"/>
          <w:snapToGrid w:val="0"/>
          <w:sz w:val="24"/>
          <w:szCs w:val="24"/>
        </w:rPr>
        <w:t>内部审核</w:t>
      </w:r>
      <w:bookmarkEnd w:id="60"/>
    </w:p>
    <w:p w:rsidR="001C06EC" w:rsidRDefault="00AF6012">
      <w:pPr>
        <w:adjustRightInd w:val="0"/>
        <w:snapToGrid w:val="0"/>
        <w:spacing w:line="360" w:lineRule="auto"/>
        <w:ind w:firstLineChars="200" w:firstLine="480"/>
        <w:rPr>
          <w:rFonts w:ascii="宋体" w:hAnsi="宋体"/>
          <w:snapToGrid w:val="0"/>
          <w:sz w:val="24"/>
          <w:szCs w:val="24"/>
        </w:rPr>
      </w:pPr>
      <w:r>
        <w:rPr>
          <w:rFonts w:ascii="宋体" w:hAnsi="宋体" w:hint="eastAsia"/>
          <w:snapToGrid w:val="0"/>
          <w:sz w:val="24"/>
          <w:szCs w:val="24"/>
        </w:rPr>
        <w:lastRenderedPageBreak/>
        <w:t>根据我公司评估业务流程管理办法规定，项目负责人在完成初步资产评估报告后提交公司内部审核。项目负责人在内部审核完成后，与委托人或者委托人同意的其他相关当事人就资产评估报告有关内容进行沟通，根据反馈意见进行合理修改后出具并提交资产评估报告。</w:t>
      </w:r>
    </w:p>
    <w:p w:rsidR="001C06EC" w:rsidRDefault="00AF6012">
      <w:pPr>
        <w:widowControl/>
        <w:numPr>
          <w:ilvl w:val="0"/>
          <w:numId w:val="6"/>
        </w:numPr>
        <w:tabs>
          <w:tab w:val="left" w:pos="1134"/>
        </w:tabs>
        <w:adjustRightInd w:val="0"/>
        <w:snapToGrid w:val="0"/>
        <w:spacing w:line="360" w:lineRule="auto"/>
        <w:ind w:left="0" w:firstLineChars="200" w:firstLine="480"/>
        <w:outlineLvl w:val="2"/>
        <w:rPr>
          <w:rFonts w:ascii="宋体" w:hAnsi="宋体"/>
          <w:snapToGrid w:val="0"/>
          <w:sz w:val="24"/>
          <w:szCs w:val="24"/>
        </w:rPr>
      </w:pPr>
      <w:bookmarkStart w:id="61" w:name="_Toc515005174"/>
      <w:r>
        <w:rPr>
          <w:rFonts w:ascii="宋体" w:hAnsi="宋体" w:hint="eastAsia"/>
          <w:snapToGrid w:val="0"/>
          <w:sz w:val="24"/>
          <w:szCs w:val="24"/>
        </w:rPr>
        <w:t>评估档案归档</w:t>
      </w:r>
      <w:bookmarkEnd w:id="61"/>
    </w:p>
    <w:p w:rsidR="001C06EC" w:rsidRDefault="00AF6012">
      <w:pPr>
        <w:widowControl/>
        <w:tabs>
          <w:tab w:val="left" w:pos="1134"/>
        </w:tabs>
        <w:adjustRightInd w:val="0"/>
        <w:snapToGrid w:val="0"/>
        <w:spacing w:line="360" w:lineRule="auto"/>
        <w:ind w:left="480"/>
        <w:outlineLvl w:val="2"/>
        <w:rPr>
          <w:rFonts w:ascii="宋体" w:hAnsi="宋体"/>
          <w:snapToGrid w:val="0"/>
          <w:sz w:val="24"/>
          <w:szCs w:val="24"/>
        </w:rPr>
      </w:pPr>
      <w:bookmarkStart w:id="62" w:name="_Toc515005175"/>
      <w:r>
        <w:rPr>
          <w:rFonts w:ascii="宋体" w:hAnsi="宋体" w:hint="eastAsia"/>
          <w:snapToGrid w:val="0"/>
          <w:sz w:val="24"/>
          <w:szCs w:val="24"/>
        </w:rPr>
        <w:t>按照资产评估准则的要求对工作底稿、资产评估报告及其他相关资料进行整理，形成资产评估档案。</w:t>
      </w:r>
      <w:bookmarkEnd w:id="62"/>
    </w:p>
    <w:p w:rsidR="001C06EC" w:rsidRDefault="00AF6012">
      <w:pPr>
        <w:pStyle w:val="2"/>
        <w:ind w:firstLine="482"/>
      </w:pPr>
      <w:bookmarkStart w:id="63" w:name="_Toc515005176"/>
      <w:r>
        <w:t>九、</w:t>
      </w:r>
      <w:bookmarkStart w:id="64" w:name="三11"/>
      <w:r>
        <w:t>评估假设</w:t>
      </w:r>
      <w:bookmarkEnd w:id="44"/>
      <w:bookmarkEnd w:id="45"/>
      <w:bookmarkEnd w:id="63"/>
      <w:bookmarkEnd w:id="64"/>
    </w:p>
    <w:p w:rsidR="001C06EC" w:rsidRDefault="00AF6012">
      <w:pPr>
        <w:adjustRightInd w:val="0"/>
        <w:snapToGrid w:val="0"/>
        <w:spacing w:line="360" w:lineRule="auto"/>
        <w:ind w:firstLineChars="200" w:firstLine="480"/>
        <w:rPr>
          <w:rFonts w:ascii="宋体" w:hAnsi="宋体"/>
          <w:sz w:val="24"/>
          <w:szCs w:val="24"/>
        </w:rPr>
      </w:pPr>
      <w:bookmarkStart w:id="65" w:name="_Toc267862442"/>
      <w:bookmarkStart w:id="66" w:name="_Toc267862697"/>
      <w:r>
        <w:rPr>
          <w:rFonts w:ascii="宋体" w:hAnsi="宋体"/>
          <w:sz w:val="24"/>
          <w:szCs w:val="24"/>
        </w:rPr>
        <w:t>本</w:t>
      </w:r>
      <w:r>
        <w:rPr>
          <w:rFonts w:ascii="宋体" w:hAnsi="宋体" w:hint="eastAsia"/>
          <w:sz w:val="24"/>
          <w:szCs w:val="24"/>
        </w:rPr>
        <w:t>资产</w:t>
      </w:r>
      <w:r>
        <w:rPr>
          <w:rFonts w:ascii="宋体" w:hAnsi="宋体"/>
          <w:sz w:val="24"/>
          <w:szCs w:val="24"/>
        </w:rPr>
        <w:t>评估报告</w:t>
      </w:r>
      <w:r>
        <w:rPr>
          <w:rFonts w:ascii="宋体" w:hAnsi="宋体" w:hint="eastAsia"/>
          <w:sz w:val="24"/>
          <w:szCs w:val="24"/>
        </w:rPr>
        <w:t>分析估算采用的</w:t>
      </w:r>
      <w:r>
        <w:rPr>
          <w:rFonts w:ascii="宋体" w:hAnsi="宋体"/>
          <w:sz w:val="24"/>
          <w:szCs w:val="24"/>
        </w:rPr>
        <w:t>假设</w:t>
      </w:r>
      <w:r>
        <w:rPr>
          <w:rFonts w:ascii="宋体" w:hAnsi="宋体" w:hint="eastAsia"/>
          <w:sz w:val="24"/>
          <w:szCs w:val="24"/>
        </w:rPr>
        <w:t>条件如下</w:t>
      </w:r>
      <w:r>
        <w:rPr>
          <w:rFonts w:ascii="宋体" w:hAnsi="宋体"/>
          <w:sz w:val="24"/>
          <w:szCs w:val="24"/>
        </w:rPr>
        <w:t>：</w:t>
      </w:r>
    </w:p>
    <w:p w:rsidR="001C06EC" w:rsidRDefault="00AF6012">
      <w:pPr>
        <w:widowControl/>
        <w:numPr>
          <w:ilvl w:val="0"/>
          <w:numId w:val="7"/>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67" w:name="_Toc515005177"/>
      <w:r>
        <w:rPr>
          <w:rFonts w:ascii="宋体" w:hAnsi="宋体"/>
          <w:sz w:val="24"/>
          <w:szCs w:val="24"/>
        </w:rPr>
        <w:t>基本假设</w:t>
      </w:r>
      <w:bookmarkEnd w:id="67"/>
    </w:p>
    <w:p w:rsidR="001C06EC" w:rsidRDefault="00AF6012">
      <w:pPr>
        <w:widowControl/>
        <w:numPr>
          <w:ilvl w:val="0"/>
          <w:numId w:val="8"/>
        </w:numPr>
        <w:adjustRightInd w:val="0"/>
        <w:snapToGrid w:val="0"/>
        <w:spacing w:line="360" w:lineRule="auto"/>
        <w:ind w:left="0" w:firstLineChars="200" w:firstLine="480"/>
        <w:rPr>
          <w:rFonts w:ascii="宋体" w:hAnsi="宋体"/>
          <w:sz w:val="24"/>
          <w:szCs w:val="24"/>
        </w:rPr>
      </w:pPr>
      <w:r>
        <w:rPr>
          <w:rFonts w:ascii="宋体" w:hAnsi="宋体"/>
          <w:sz w:val="24"/>
          <w:szCs w:val="24"/>
        </w:rPr>
        <w:t xml:space="preserve">公开市场假设，即假定在市场上交易的资产或拟在市场上交易的资产，资产交易双方彼此地位平等，彼此都有获取足够市场信息的机会和时间，以便于对资产的功能、用途及其交易价格等作出理智的判断； </w:t>
      </w:r>
    </w:p>
    <w:p w:rsidR="001C06EC" w:rsidRDefault="00AF6012">
      <w:pPr>
        <w:widowControl/>
        <w:numPr>
          <w:ilvl w:val="0"/>
          <w:numId w:val="8"/>
        </w:numPr>
        <w:adjustRightInd w:val="0"/>
        <w:snapToGrid w:val="0"/>
        <w:spacing w:line="360" w:lineRule="auto"/>
        <w:ind w:left="0" w:firstLineChars="200" w:firstLine="480"/>
        <w:rPr>
          <w:rFonts w:ascii="宋体" w:hAnsi="宋体"/>
          <w:sz w:val="24"/>
          <w:szCs w:val="24"/>
        </w:rPr>
      </w:pPr>
      <w:r>
        <w:rPr>
          <w:rFonts w:ascii="宋体" w:hAnsi="宋体"/>
          <w:sz w:val="24"/>
          <w:szCs w:val="24"/>
        </w:rPr>
        <w:t>交易假设，即假定所有待评估资产已经处在交易的过程中，评估师根据待评估资产的交易条件等模拟市场进行估价。交易假设是资产评估得以进行的一个最基本的前提假设；</w:t>
      </w:r>
      <w:r>
        <w:rPr>
          <w:rFonts w:ascii="宋体" w:hAnsi="宋体" w:hint="eastAsia"/>
          <w:sz w:val="24"/>
          <w:szCs w:val="24"/>
        </w:rPr>
        <w:t xml:space="preserve">    </w:t>
      </w:r>
    </w:p>
    <w:p w:rsidR="001C06EC" w:rsidRDefault="00AF6012">
      <w:pPr>
        <w:widowControl/>
        <w:numPr>
          <w:ilvl w:val="0"/>
          <w:numId w:val="8"/>
        </w:numPr>
        <w:adjustRightInd w:val="0"/>
        <w:snapToGrid w:val="0"/>
        <w:spacing w:line="360" w:lineRule="auto"/>
        <w:ind w:left="0" w:firstLineChars="200" w:firstLine="480"/>
        <w:rPr>
          <w:rFonts w:ascii="宋体" w:hAnsi="宋体"/>
          <w:sz w:val="24"/>
          <w:szCs w:val="24"/>
        </w:rPr>
      </w:pPr>
      <w:r>
        <w:rPr>
          <w:rFonts w:ascii="宋体" w:hAnsi="宋体"/>
          <w:sz w:val="24"/>
          <w:szCs w:val="24"/>
        </w:rPr>
        <w:t>持续</w:t>
      </w:r>
      <w:r>
        <w:rPr>
          <w:rFonts w:ascii="宋体" w:hAnsi="宋体" w:hint="eastAsia"/>
          <w:sz w:val="24"/>
          <w:szCs w:val="24"/>
        </w:rPr>
        <w:t>使用</w:t>
      </w:r>
      <w:r>
        <w:rPr>
          <w:rFonts w:ascii="宋体" w:hAnsi="宋体"/>
          <w:sz w:val="24"/>
          <w:szCs w:val="24"/>
        </w:rPr>
        <w:t>假设，即</w:t>
      </w:r>
      <w:r>
        <w:rPr>
          <w:rFonts w:ascii="宋体" w:hAnsi="宋体" w:hint="eastAsia"/>
          <w:sz w:val="24"/>
          <w:szCs w:val="24"/>
        </w:rPr>
        <w:t>假设评估范围内资产按原用途原地继续使用</w:t>
      </w:r>
    </w:p>
    <w:p w:rsidR="001C06EC" w:rsidRDefault="00AF6012">
      <w:pPr>
        <w:widowControl/>
        <w:numPr>
          <w:ilvl w:val="0"/>
          <w:numId w:val="7"/>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68" w:name="_Toc515005178"/>
      <w:bookmarkStart w:id="69" w:name="_Toc284660070"/>
      <w:bookmarkStart w:id="70" w:name="_Toc284660112"/>
      <w:r>
        <w:rPr>
          <w:rFonts w:ascii="宋体" w:hAnsi="宋体" w:hint="eastAsia"/>
          <w:sz w:val="24"/>
          <w:szCs w:val="24"/>
        </w:rPr>
        <w:t>一般假设</w:t>
      </w:r>
      <w:bookmarkStart w:id="71" w:name="_Toc284660113"/>
      <w:bookmarkStart w:id="72" w:name="_Toc267862443"/>
      <w:bookmarkStart w:id="73" w:name="_Toc267862698"/>
      <w:bookmarkStart w:id="74" w:name="_Toc284660071"/>
      <w:bookmarkEnd w:id="65"/>
      <w:bookmarkEnd w:id="66"/>
      <w:bookmarkEnd w:id="68"/>
      <w:bookmarkEnd w:id="69"/>
      <w:bookmarkEnd w:id="70"/>
    </w:p>
    <w:p w:rsidR="008415DA" w:rsidRDefault="00AF6012" w:rsidP="007F7015">
      <w:pPr>
        <w:widowControl/>
        <w:numPr>
          <w:ilvl w:val="2"/>
          <w:numId w:val="9"/>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假设国家现行的有关法律法规及政策、国家宏观经济形势无重大变化，本次交易各方所处地区的政治、经济和社会环境无重大变化；</w:t>
      </w:r>
    </w:p>
    <w:p w:rsidR="008415DA" w:rsidRDefault="00AF6012" w:rsidP="007F7015">
      <w:pPr>
        <w:widowControl/>
        <w:numPr>
          <w:ilvl w:val="2"/>
          <w:numId w:val="9"/>
        </w:numPr>
        <w:adjustRightInd w:val="0"/>
        <w:snapToGrid w:val="0"/>
        <w:spacing w:line="360" w:lineRule="auto"/>
        <w:ind w:left="0" w:firstLineChars="200" w:firstLine="480"/>
        <w:rPr>
          <w:rFonts w:ascii="宋体" w:hAnsi="宋体"/>
          <w:sz w:val="24"/>
          <w:szCs w:val="24"/>
        </w:rPr>
      </w:pPr>
      <w:r w:rsidRPr="007F7015">
        <w:rPr>
          <w:rFonts w:ascii="宋体" w:hAnsi="宋体" w:hint="eastAsia"/>
          <w:sz w:val="24"/>
          <w:szCs w:val="24"/>
        </w:rPr>
        <w:t>假设评估基准日后无不可抗力及不可预见因素对产权持有人造成重大不利影响。</w:t>
      </w:r>
    </w:p>
    <w:p w:rsidR="001C06EC" w:rsidRPr="007F7015" w:rsidRDefault="007F7015" w:rsidP="007F7015">
      <w:pPr>
        <w:widowControl/>
        <w:numPr>
          <w:ilvl w:val="2"/>
          <w:numId w:val="9"/>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假设</w:t>
      </w:r>
      <w:r w:rsidRPr="007F7015">
        <w:rPr>
          <w:rFonts w:ascii="宋体" w:hAnsi="宋体" w:hint="eastAsia"/>
          <w:sz w:val="24"/>
          <w:szCs w:val="24"/>
        </w:rPr>
        <w:t>评估基准日后</w:t>
      </w:r>
      <w:r>
        <w:rPr>
          <w:rFonts w:ascii="宋体" w:hAnsi="宋体" w:hint="eastAsia"/>
          <w:sz w:val="24"/>
          <w:szCs w:val="24"/>
        </w:rPr>
        <w:t>苗木能正常生长，不受自然以及人为灾害毁坏。</w:t>
      </w:r>
    </w:p>
    <w:p w:rsidR="001C06EC" w:rsidRDefault="00AF6012">
      <w:pPr>
        <w:widowControl/>
        <w:numPr>
          <w:ilvl w:val="0"/>
          <w:numId w:val="7"/>
        </w:numPr>
        <w:tabs>
          <w:tab w:val="clear" w:pos="1290"/>
          <w:tab w:val="left" w:pos="1134"/>
        </w:tabs>
        <w:adjustRightInd w:val="0"/>
        <w:snapToGrid w:val="0"/>
        <w:spacing w:line="360" w:lineRule="auto"/>
        <w:ind w:left="0" w:firstLineChars="200" w:firstLine="480"/>
        <w:textAlignment w:val="bottom"/>
        <w:outlineLvl w:val="2"/>
        <w:rPr>
          <w:rFonts w:ascii="宋体" w:hAnsi="宋体"/>
          <w:sz w:val="24"/>
          <w:szCs w:val="24"/>
        </w:rPr>
      </w:pPr>
      <w:bookmarkStart w:id="75" w:name="_Toc515005179"/>
      <w:r>
        <w:rPr>
          <w:rFonts w:ascii="宋体" w:hAnsi="宋体" w:hint="eastAsia"/>
          <w:sz w:val="24"/>
          <w:szCs w:val="24"/>
        </w:rPr>
        <w:t>特殊假设</w:t>
      </w:r>
      <w:bookmarkEnd w:id="71"/>
      <w:bookmarkEnd w:id="72"/>
      <w:bookmarkEnd w:id="73"/>
      <w:bookmarkEnd w:id="74"/>
      <w:bookmarkEnd w:id="75"/>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宋体" w:hAnsi="宋体"/>
          <w:sz w:val="24"/>
          <w:szCs w:val="24"/>
        </w:rPr>
        <w:t>本</w:t>
      </w:r>
      <w:r>
        <w:rPr>
          <w:rFonts w:ascii="宋体" w:hAnsi="宋体" w:hint="eastAsia"/>
          <w:sz w:val="24"/>
          <w:szCs w:val="24"/>
        </w:rPr>
        <w:t>资产</w:t>
      </w:r>
      <w:r>
        <w:rPr>
          <w:rFonts w:ascii="宋体" w:hAnsi="宋体"/>
          <w:sz w:val="24"/>
          <w:szCs w:val="24"/>
        </w:rPr>
        <w:t>评估报告</w:t>
      </w:r>
      <w:r>
        <w:rPr>
          <w:rFonts w:ascii="宋体" w:hAnsi="宋体" w:hint="eastAsia"/>
          <w:sz w:val="24"/>
          <w:szCs w:val="24"/>
        </w:rPr>
        <w:t>评估</w:t>
      </w:r>
      <w:r>
        <w:rPr>
          <w:rFonts w:ascii="宋体" w:hAnsi="宋体"/>
          <w:sz w:val="24"/>
          <w:szCs w:val="24"/>
        </w:rPr>
        <w:t>结论在上述假设条件下在评估基准日时成立，当上述假设条件发生较大变化时，签名资产评估师及本评估机构将不承担由于假设条件改变而推导出不同评估结论的责任。</w:t>
      </w:r>
    </w:p>
    <w:p w:rsidR="001C06EC" w:rsidRDefault="00AF6012">
      <w:pPr>
        <w:pStyle w:val="2"/>
        <w:ind w:firstLine="482"/>
      </w:pPr>
      <w:bookmarkStart w:id="76" w:name="_Toc334186096"/>
      <w:bookmarkStart w:id="77" w:name="_Toc515005180"/>
      <w:bookmarkStart w:id="78" w:name="_Toc504984262"/>
      <w:r>
        <w:lastRenderedPageBreak/>
        <w:t>十、</w:t>
      </w:r>
      <w:bookmarkStart w:id="79" w:name="三12"/>
      <w:r>
        <w:t>评估结论</w:t>
      </w:r>
      <w:bookmarkEnd w:id="76"/>
      <w:bookmarkEnd w:id="77"/>
      <w:bookmarkEnd w:id="78"/>
      <w:bookmarkEnd w:id="79"/>
    </w:p>
    <w:p w:rsidR="00332891" w:rsidRDefault="00AF6012" w:rsidP="00332891">
      <w:pPr>
        <w:tabs>
          <w:tab w:val="left" w:pos="315"/>
        </w:tabs>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根据以上评估工作得出评估结论如下：</w:t>
      </w:r>
      <w:r>
        <w:rPr>
          <w:rFonts w:asciiTheme="minorEastAsia" w:eastAsiaTheme="minorEastAsia" w:hAnsiTheme="minorEastAsia" w:hint="eastAsia"/>
          <w:sz w:val="24"/>
          <w:szCs w:val="24"/>
        </w:rPr>
        <w:t>截止评估基准日2018</w:t>
      </w:r>
      <w:r>
        <w:rPr>
          <w:rFonts w:asciiTheme="minorEastAsia" w:eastAsiaTheme="minorEastAsia" w:hAnsiTheme="minorEastAsia"/>
          <w:sz w:val="24"/>
          <w:szCs w:val="24"/>
        </w:rPr>
        <w:t>年</w:t>
      </w:r>
      <w:r>
        <w:rPr>
          <w:rFonts w:asciiTheme="minorEastAsia" w:eastAsiaTheme="minorEastAsia" w:hAnsiTheme="minorEastAsia" w:hint="eastAsia"/>
          <w:sz w:val="24"/>
          <w:szCs w:val="24"/>
        </w:rPr>
        <w:t>7</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24</w:t>
      </w:r>
      <w:r>
        <w:rPr>
          <w:rFonts w:asciiTheme="minorEastAsia" w:eastAsiaTheme="minorEastAsia" w:hAnsiTheme="minorEastAsia"/>
          <w:sz w:val="24"/>
          <w:szCs w:val="24"/>
        </w:rPr>
        <w:t>日</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 </w:t>
      </w:r>
      <w:r>
        <w:rPr>
          <w:rFonts w:asciiTheme="minorEastAsia" w:eastAsiaTheme="minorEastAsia" w:hAnsiTheme="minorEastAsia" w:hint="eastAsia"/>
          <w:sz w:val="24"/>
          <w:szCs w:val="24"/>
        </w:rPr>
        <w:t>青岛市黄岛区人民法院委估的对被执行人青岛金蚯蚓生态科技有限公司所有的银杏树进行评估的市场价值为</w:t>
      </w:r>
      <w:bookmarkStart w:id="80" w:name="_Toc334186097"/>
      <w:bookmarkStart w:id="81" w:name="_Toc515005181"/>
      <w:bookmarkStart w:id="82" w:name="_Toc504984263"/>
      <w:r w:rsidR="00332891">
        <w:rPr>
          <w:rFonts w:asciiTheme="minorEastAsia" w:eastAsiaTheme="minorEastAsia" w:hAnsiTheme="minorEastAsia" w:hint="eastAsia"/>
          <w:sz w:val="24"/>
          <w:szCs w:val="24"/>
        </w:rPr>
        <w:t>362600.00</w:t>
      </w:r>
      <w:r w:rsidR="00332891">
        <w:rPr>
          <w:rFonts w:asciiTheme="minorEastAsia" w:eastAsiaTheme="minorEastAsia" w:hAnsiTheme="minorEastAsia"/>
          <w:sz w:val="24"/>
          <w:szCs w:val="24"/>
        </w:rPr>
        <w:t xml:space="preserve"> </w:t>
      </w:r>
      <w:r w:rsidR="00332891">
        <w:rPr>
          <w:rFonts w:asciiTheme="minorEastAsia" w:eastAsiaTheme="minorEastAsia" w:hAnsiTheme="minorEastAsia" w:hint="eastAsia"/>
          <w:sz w:val="24"/>
          <w:szCs w:val="24"/>
        </w:rPr>
        <w:t>元</w:t>
      </w:r>
      <w:r w:rsidR="006A4315">
        <w:rPr>
          <w:rFonts w:asciiTheme="minorEastAsia" w:eastAsiaTheme="minorEastAsia" w:hAnsiTheme="minorEastAsia" w:hint="eastAsia"/>
          <w:sz w:val="24"/>
          <w:szCs w:val="24"/>
        </w:rPr>
        <w:t>，</w:t>
      </w:r>
      <w:r w:rsidR="00332891">
        <w:rPr>
          <w:rFonts w:asciiTheme="minorEastAsia" w:eastAsiaTheme="minorEastAsia" w:hAnsiTheme="minorEastAsia" w:hint="eastAsia"/>
          <w:sz w:val="24"/>
          <w:szCs w:val="24"/>
        </w:rPr>
        <w:t>大写人民币叁拾陆万贰仟陆佰元整。</w:t>
      </w:r>
    </w:p>
    <w:p w:rsidR="001C06EC" w:rsidRDefault="00AF6012" w:rsidP="00332891">
      <w:pPr>
        <w:tabs>
          <w:tab w:val="left" w:pos="315"/>
        </w:tabs>
        <w:spacing w:line="360" w:lineRule="auto"/>
        <w:ind w:firstLineChars="200" w:firstLine="420"/>
      </w:pPr>
      <w:r>
        <w:t>十一、</w:t>
      </w:r>
      <w:bookmarkStart w:id="83" w:name="三13"/>
      <w:r>
        <w:t>特别事项说明</w:t>
      </w:r>
      <w:bookmarkEnd w:id="80"/>
      <w:bookmarkEnd w:id="81"/>
      <w:bookmarkEnd w:id="82"/>
      <w:bookmarkEnd w:id="83"/>
    </w:p>
    <w:p w:rsidR="001C06EC" w:rsidRDefault="00AF6012">
      <w:pPr>
        <w:tabs>
          <w:tab w:val="left" w:pos="0"/>
        </w:tabs>
        <w:spacing w:line="360" w:lineRule="auto"/>
        <w:ind w:firstLineChars="200" w:firstLine="480"/>
        <w:rPr>
          <w:rFonts w:ascii="宋体" w:hAnsi="宋体"/>
          <w:color w:val="FF0000"/>
          <w:sz w:val="24"/>
          <w:szCs w:val="24"/>
        </w:rPr>
      </w:pPr>
      <w:r>
        <w:rPr>
          <w:rFonts w:ascii="宋体" w:hAnsi="宋体" w:hint="eastAsia"/>
          <w:sz w:val="24"/>
          <w:szCs w:val="24"/>
        </w:rPr>
        <w:t>以下为在评估过程中已发现可能影响评估结论但非评估人员执业水平和专业能力所能评定估算的有关事项：</w:t>
      </w:r>
      <w:r>
        <w:rPr>
          <w:rFonts w:ascii="宋体" w:hAnsi="宋体"/>
          <w:color w:val="FF0000"/>
          <w:sz w:val="24"/>
          <w:szCs w:val="24"/>
        </w:rPr>
        <w:t xml:space="preserve"> </w:t>
      </w:r>
    </w:p>
    <w:p w:rsidR="001C06EC" w:rsidRDefault="00AF6012">
      <w:pPr>
        <w:pStyle w:val="a7"/>
        <w:widowControl/>
        <w:numPr>
          <w:ilvl w:val="0"/>
          <w:numId w:val="10"/>
        </w:numPr>
        <w:adjustRightInd w:val="0"/>
        <w:snapToGrid w:val="0"/>
        <w:spacing w:line="360" w:lineRule="auto"/>
        <w:ind w:left="0" w:firstLineChars="200" w:firstLine="480"/>
        <w:rPr>
          <w:rFonts w:ascii="宋体" w:hAnsi="宋体"/>
          <w:color w:val="000000" w:themeColor="text1"/>
          <w:sz w:val="24"/>
          <w:szCs w:val="24"/>
        </w:rPr>
      </w:pPr>
      <w:r>
        <w:rPr>
          <w:rFonts w:ascii="宋体" w:hAnsi="宋体" w:hint="eastAsia"/>
          <w:color w:val="000000" w:themeColor="text1"/>
          <w:sz w:val="24"/>
          <w:szCs w:val="24"/>
        </w:rPr>
        <w:t>关于引用其他机构出具的报告结论的情况特别说明；</w:t>
      </w:r>
    </w:p>
    <w:p w:rsidR="001C06EC" w:rsidRDefault="00AF6012">
      <w:pPr>
        <w:pStyle w:val="a7"/>
        <w:widowControl/>
        <w:adjustRightInd w:val="0"/>
        <w:snapToGrid w:val="0"/>
        <w:spacing w:line="360" w:lineRule="auto"/>
        <w:ind w:left="480"/>
        <w:rPr>
          <w:rFonts w:ascii="宋体" w:hAnsi="宋体"/>
          <w:color w:val="000000" w:themeColor="text1"/>
          <w:sz w:val="24"/>
          <w:szCs w:val="24"/>
        </w:rPr>
      </w:pPr>
      <w:r>
        <w:rPr>
          <w:rFonts w:ascii="宋体" w:hAnsi="宋体" w:hint="eastAsia"/>
          <w:color w:val="000000" w:themeColor="text1"/>
          <w:sz w:val="24"/>
          <w:szCs w:val="24"/>
        </w:rPr>
        <w:t>无</w:t>
      </w:r>
    </w:p>
    <w:p w:rsidR="001C06EC" w:rsidRDefault="00AF6012">
      <w:pPr>
        <w:pStyle w:val="a7"/>
        <w:widowControl/>
        <w:numPr>
          <w:ilvl w:val="0"/>
          <w:numId w:val="10"/>
        </w:numPr>
        <w:adjustRightInd w:val="0"/>
        <w:snapToGrid w:val="0"/>
        <w:spacing w:line="360" w:lineRule="auto"/>
        <w:ind w:left="0" w:firstLineChars="200" w:firstLine="480"/>
        <w:rPr>
          <w:rFonts w:ascii="宋体" w:hAnsi="宋体"/>
          <w:color w:val="000000" w:themeColor="text1"/>
          <w:sz w:val="24"/>
          <w:szCs w:val="24"/>
        </w:rPr>
      </w:pPr>
      <w:r>
        <w:rPr>
          <w:rFonts w:ascii="宋体" w:hAnsi="宋体" w:hint="eastAsia"/>
          <w:color w:val="000000" w:themeColor="text1"/>
          <w:sz w:val="24"/>
          <w:szCs w:val="24"/>
        </w:rPr>
        <w:t>关于权属资料不全面或者存在瑕疵的情形特别说明以及本次评估对相关事项是如何考虑的或未考虑的披露；</w:t>
      </w:r>
    </w:p>
    <w:p w:rsidR="001C06EC" w:rsidRDefault="00AF6012">
      <w:pPr>
        <w:pStyle w:val="a7"/>
        <w:widowControl/>
        <w:adjustRightInd w:val="0"/>
        <w:snapToGrid w:val="0"/>
        <w:spacing w:line="360" w:lineRule="auto"/>
        <w:ind w:left="480"/>
        <w:rPr>
          <w:rFonts w:ascii="宋体" w:hAnsi="宋体"/>
          <w:color w:val="000000" w:themeColor="text1"/>
          <w:sz w:val="24"/>
          <w:szCs w:val="24"/>
        </w:rPr>
      </w:pPr>
      <w:r>
        <w:rPr>
          <w:rFonts w:ascii="宋体" w:hAnsi="宋体" w:hint="eastAsia"/>
          <w:color w:val="000000" w:themeColor="text1"/>
          <w:sz w:val="24"/>
          <w:szCs w:val="24"/>
        </w:rPr>
        <w:t>无</w:t>
      </w:r>
    </w:p>
    <w:p w:rsidR="001C06EC" w:rsidRDefault="00AF6012">
      <w:pPr>
        <w:pStyle w:val="a7"/>
        <w:widowControl/>
        <w:numPr>
          <w:ilvl w:val="0"/>
          <w:numId w:val="10"/>
        </w:numPr>
        <w:adjustRightInd w:val="0"/>
        <w:snapToGrid w:val="0"/>
        <w:spacing w:line="360" w:lineRule="auto"/>
        <w:ind w:left="0" w:firstLineChars="200" w:firstLine="480"/>
        <w:rPr>
          <w:rFonts w:ascii="宋体" w:hAnsi="宋体"/>
          <w:color w:val="000000" w:themeColor="text1"/>
          <w:sz w:val="24"/>
          <w:szCs w:val="24"/>
        </w:rPr>
      </w:pPr>
      <w:r>
        <w:rPr>
          <w:rFonts w:ascii="宋体" w:hAnsi="宋体" w:hint="eastAsia"/>
          <w:color w:val="000000" w:themeColor="text1"/>
          <w:sz w:val="24"/>
          <w:szCs w:val="24"/>
        </w:rPr>
        <w:t>关于评估程序受到限制的情形特别说明以及本次评估对相关事项是如何考虑的或未考虑的披露；</w:t>
      </w:r>
    </w:p>
    <w:p w:rsidR="001C06EC" w:rsidRDefault="00AF6012">
      <w:pPr>
        <w:pStyle w:val="a7"/>
        <w:widowControl/>
        <w:adjustRightInd w:val="0"/>
        <w:snapToGrid w:val="0"/>
        <w:spacing w:line="360" w:lineRule="auto"/>
        <w:ind w:left="480"/>
        <w:rPr>
          <w:rFonts w:ascii="宋体" w:hAnsi="宋体"/>
          <w:color w:val="000000" w:themeColor="text1"/>
          <w:sz w:val="24"/>
          <w:szCs w:val="24"/>
        </w:rPr>
      </w:pPr>
      <w:r>
        <w:rPr>
          <w:rFonts w:ascii="宋体" w:hAnsi="宋体" w:hint="eastAsia"/>
          <w:color w:val="000000" w:themeColor="text1"/>
          <w:sz w:val="24"/>
          <w:szCs w:val="24"/>
        </w:rPr>
        <w:t>无</w:t>
      </w:r>
    </w:p>
    <w:p w:rsidR="001C06EC" w:rsidRDefault="00AF6012">
      <w:pPr>
        <w:pStyle w:val="a7"/>
        <w:widowControl/>
        <w:numPr>
          <w:ilvl w:val="0"/>
          <w:numId w:val="10"/>
        </w:numPr>
        <w:adjustRightInd w:val="0"/>
        <w:snapToGrid w:val="0"/>
        <w:spacing w:line="360" w:lineRule="auto"/>
        <w:ind w:left="0" w:firstLineChars="200" w:firstLine="480"/>
        <w:rPr>
          <w:rFonts w:ascii="宋体" w:hAnsi="宋体"/>
          <w:color w:val="000000" w:themeColor="text1"/>
          <w:sz w:val="24"/>
          <w:szCs w:val="24"/>
        </w:rPr>
      </w:pPr>
      <w:r>
        <w:rPr>
          <w:rFonts w:ascii="宋体" w:hAnsi="宋体" w:hint="eastAsia"/>
          <w:color w:val="000000" w:themeColor="text1"/>
          <w:sz w:val="24"/>
          <w:szCs w:val="24"/>
        </w:rPr>
        <w:t>关于评估资料不完整的情形特别说明以及本次评估对相关事项是如何考虑的或未考虑的披露；</w:t>
      </w:r>
    </w:p>
    <w:p w:rsidR="001C06EC" w:rsidRDefault="00AF6012">
      <w:pPr>
        <w:pStyle w:val="a7"/>
        <w:widowControl/>
        <w:adjustRightInd w:val="0"/>
        <w:snapToGrid w:val="0"/>
        <w:spacing w:line="360" w:lineRule="auto"/>
        <w:ind w:left="480"/>
        <w:rPr>
          <w:rFonts w:ascii="宋体" w:hAnsi="宋体"/>
          <w:color w:val="000000" w:themeColor="text1"/>
          <w:sz w:val="24"/>
          <w:szCs w:val="24"/>
        </w:rPr>
      </w:pPr>
      <w:r>
        <w:rPr>
          <w:rFonts w:ascii="宋体" w:hAnsi="宋体" w:hint="eastAsia"/>
          <w:color w:val="000000" w:themeColor="text1"/>
          <w:sz w:val="24"/>
          <w:szCs w:val="24"/>
        </w:rPr>
        <w:t>无</w:t>
      </w:r>
    </w:p>
    <w:p w:rsidR="001C06EC" w:rsidRDefault="00AF6012">
      <w:pPr>
        <w:pStyle w:val="a7"/>
        <w:widowControl/>
        <w:numPr>
          <w:ilvl w:val="0"/>
          <w:numId w:val="10"/>
        </w:numPr>
        <w:adjustRightInd w:val="0"/>
        <w:snapToGrid w:val="0"/>
        <w:spacing w:line="360" w:lineRule="auto"/>
        <w:ind w:left="0" w:firstLineChars="200" w:firstLine="480"/>
        <w:rPr>
          <w:rFonts w:ascii="宋体" w:hAnsi="宋体"/>
          <w:color w:val="000000" w:themeColor="text1"/>
          <w:sz w:val="24"/>
          <w:szCs w:val="24"/>
        </w:rPr>
      </w:pPr>
      <w:r>
        <w:rPr>
          <w:rFonts w:ascii="宋体" w:hAnsi="宋体" w:hint="eastAsia"/>
          <w:color w:val="000000" w:themeColor="text1"/>
          <w:sz w:val="24"/>
          <w:szCs w:val="24"/>
        </w:rPr>
        <w:t>关于评估基准日存在的法律、经济等未决事项特别说明以及本次评估对相关事项是如何考虑的或未考虑的披露；</w:t>
      </w:r>
    </w:p>
    <w:p w:rsidR="001C06EC" w:rsidRDefault="00AF6012" w:rsidP="007F7015">
      <w:pPr>
        <w:pStyle w:val="a7"/>
        <w:widowControl/>
        <w:adjustRightInd w:val="0"/>
        <w:snapToGrid w:val="0"/>
        <w:spacing w:line="360" w:lineRule="auto"/>
        <w:ind w:left="480"/>
        <w:rPr>
          <w:rFonts w:ascii="宋体" w:hAnsi="宋体"/>
          <w:color w:val="000000" w:themeColor="text1"/>
          <w:sz w:val="24"/>
          <w:szCs w:val="24"/>
        </w:rPr>
      </w:pPr>
      <w:r>
        <w:rPr>
          <w:rFonts w:ascii="宋体" w:hAnsi="宋体" w:hint="eastAsia"/>
          <w:color w:val="000000" w:themeColor="text1"/>
          <w:sz w:val="24"/>
          <w:szCs w:val="24"/>
        </w:rPr>
        <w:t>无</w:t>
      </w:r>
    </w:p>
    <w:p w:rsidR="001C06EC" w:rsidRDefault="00AF6012">
      <w:pPr>
        <w:pStyle w:val="a7"/>
        <w:widowControl/>
        <w:numPr>
          <w:ilvl w:val="0"/>
          <w:numId w:val="10"/>
        </w:numPr>
        <w:adjustRightInd w:val="0"/>
        <w:snapToGrid w:val="0"/>
        <w:spacing w:line="360" w:lineRule="auto"/>
        <w:ind w:left="0" w:firstLineChars="200" w:firstLine="480"/>
        <w:rPr>
          <w:rFonts w:ascii="宋体" w:hAnsi="宋体"/>
          <w:color w:val="000000" w:themeColor="text1"/>
          <w:sz w:val="24"/>
          <w:szCs w:val="24"/>
        </w:rPr>
      </w:pPr>
      <w:r>
        <w:rPr>
          <w:rFonts w:ascii="宋体" w:hAnsi="宋体" w:hint="eastAsia"/>
          <w:color w:val="000000" w:themeColor="text1"/>
          <w:sz w:val="24"/>
          <w:szCs w:val="24"/>
        </w:rPr>
        <w:t>关于评估基准日至资产评估报告日之间可能对评估结论产生重大影响的事项特别说明以及本次评估对相关事项是如何考虑的或未考虑的披露；</w:t>
      </w:r>
    </w:p>
    <w:p w:rsidR="001C06EC" w:rsidRDefault="00AF6012">
      <w:pPr>
        <w:pStyle w:val="a7"/>
        <w:widowControl/>
        <w:adjustRightInd w:val="0"/>
        <w:snapToGrid w:val="0"/>
        <w:spacing w:line="360" w:lineRule="auto"/>
        <w:ind w:left="480"/>
        <w:rPr>
          <w:rFonts w:ascii="宋体" w:hAnsi="宋体"/>
          <w:color w:val="000000" w:themeColor="text1"/>
          <w:sz w:val="24"/>
          <w:szCs w:val="24"/>
        </w:rPr>
      </w:pPr>
      <w:r>
        <w:rPr>
          <w:rFonts w:ascii="宋体" w:hAnsi="宋体" w:hint="eastAsia"/>
          <w:color w:val="000000" w:themeColor="text1"/>
          <w:sz w:val="24"/>
          <w:szCs w:val="24"/>
        </w:rPr>
        <w:t>无</w:t>
      </w:r>
    </w:p>
    <w:p w:rsidR="001C06EC" w:rsidRDefault="00AF6012">
      <w:pPr>
        <w:pStyle w:val="a7"/>
        <w:widowControl/>
        <w:numPr>
          <w:ilvl w:val="0"/>
          <w:numId w:val="10"/>
        </w:numPr>
        <w:adjustRightInd w:val="0"/>
        <w:snapToGrid w:val="0"/>
        <w:spacing w:line="360" w:lineRule="auto"/>
        <w:ind w:left="0" w:firstLineChars="200" w:firstLine="480"/>
        <w:rPr>
          <w:rFonts w:ascii="宋体" w:hAnsi="宋体"/>
          <w:color w:val="000000" w:themeColor="text1"/>
          <w:sz w:val="24"/>
          <w:szCs w:val="24"/>
        </w:rPr>
      </w:pPr>
      <w:r>
        <w:rPr>
          <w:rFonts w:ascii="宋体" w:hAnsi="宋体" w:hint="eastAsia"/>
          <w:color w:val="000000" w:themeColor="text1"/>
          <w:sz w:val="24"/>
          <w:szCs w:val="24"/>
        </w:rPr>
        <w:t>其他需要说明的问题</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本评估报告是在独立、客观公正、科学的原则下做出的，遵循了有关的法律、法规和资产评估准则的规定。</w:t>
      </w:r>
      <w:r>
        <w:rPr>
          <w:rFonts w:asciiTheme="minorEastAsia" w:eastAsiaTheme="minorEastAsia" w:hAnsiTheme="minorEastAsia" w:hint="eastAsia"/>
          <w:sz w:val="24"/>
          <w:szCs w:val="24"/>
        </w:rPr>
        <w:t>评估机构及其评估专业人员</w:t>
      </w:r>
      <w:r>
        <w:rPr>
          <w:rFonts w:asciiTheme="minorEastAsia" w:eastAsiaTheme="minorEastAsia" w:hAnsiTheme="minorEastAsia"/>
          <w:sz w:val="24"/>
          <w:szCs w:val="24"/>
        </w:rPr>
        <w:t>与委托人及有关当事人之间无任何特殊利害关系，评估人员在整个评估过程中，始终恪守职业道德</w:t>
      </w:r>
      <w:r>
        <w:rPr>
          <w:rFonts w:asciiTheme="minorEastAsia" w:eastAsiaTheme="minorEastAsia" w:hAnsiTheme="minorEastAsia"/>
          <w:sz w:val="24"/>
          <w:szCs w:val="24"/>
        </w:rPr>
        <w:lastRenderedPageBreak/>
        <w:t>和规范。</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本评估报告中涉及的</w:t>
      </w:r>
      <w:r>
        <w:rPr>
          <w:rFonts w:asciiTheme="minorEastAsia" w:eastAsiaTheme="minorEastAsia" w:hAnsiTheme="minorEastAsia" w:hint="eastAsia"/>
          <w:sz w:val="24"/>
          <w:szCs w:val="24"/>
        </w:rPr>
        <w:t>青岛金蚯蚓生态科技有限公司</w:t>
      </w:r>
      <w:r>
        <w:rPr>
          <w:rFonts w:asciiTheme="minorEastAsia" w:eastAsiaTheme="minorEastAsia" w:hAnsiTheme="minorEastAsia"/>
          <w:sz w:val="24"/>
          <w:szCs w:val="24"/>
        </w:rPr>
        <w:t>产权资料及相关材料由委托人及产权持有人负责提供，对其真实性、合法性由委托人及产权持有人承担相关的法律责任；同时根据</w:t>
      </w:r>
      <w:r>
        <w:rPr>
          <w:rFonts w:asciiTheme="minorEastAsia" w:eastAsiaTheme="minorEastAsia" w:hAnsiTheme="minorEastAsia" w:hint="eastAsia"/>
          <w:sz w:val="24"/>
          <w:szCs w:val="24"/>
        </w:rPr>
        <w:t>中国资产评估协会发布《资产评估对象法律权属指导意见》的规定，执行资产评估业务的目的是对资产评估对象价值进行估算并发表专业意见，对资产评估对象法律权属确认或者发表意见超出资产评估专业人员的职业范围。因此评估专业人员不对资产评估对象的法律权属提供保证。</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4</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本评估报告只对结论本身符合职业规范要求负责，而不对经济业务定价决策负责，资产评估结论不应该被认为是对评估对象可实现价格的保证。</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5</w:t>
      </w:r>
      <w:r>
        <w:rPr>
          <w:rFonts w:asciiTheme="minorEastAsia" w:eastAsiaTheme="minorEastAsia" w:hAnsiTheme="minorEastAsia" w:hint="eastAsia"/>
          <w:sz w:val="24"/>
          <w:szCs w:val="24"/>
        </w:rPr>
        <w:t>.</w:t>
      </w:r>
      <w:r>
        <w:rPr>
          <w:rFonts w:asciiTheme="minorEastAsia" w:eastAsiaTheme="minorEastAsia" w:hAnsiTheme="minorEastAsia"/>
          <w:sz w:val="24"/>
          <w:szCs w:val="24"/>
        </w:rPr>
        <w:t>本评估结论由本公司出具。受本公司</w:t>
      </w:r>
      <w:r>
        <w:rPr>
          <w:rFonts w:asciiTheme="minorEastAsia" w:eastAsiaTheme="minorEastAsia" w:hAnsiTheme="minorEastAsia" w:hint="eastAsia"/>
          <w:sz w:val="24"/>
          <w:szCs w:val="24"/>
        </w:rPr>
        <w:t>评估专业人员</w:t>
      </w:r>
      <w:r>
        <w:rPr>
          <w:rFonts w:asciiTheme="minorEastAsia" w:eastAsiaTheme="minorEastAsia" w:hAnsiTheme="minorEastAsia"/>
          <w:sz w:val="24"/>
          <w:szCs w:val="24"/>
        </w:rPr>
        <w:t>的执业水平和能力的影响，评估结论不作为相关交易及其它经济行为的唯一依据，仅作为有关当事人</w:t>
      </w:r>
      <w:r>
        <w:rPr>
          <w:rFonts w:asciiTheme="minorEastAsia" w:eastAsiaTheme="minorEastAsia" w:hAnsiTheme="minorEastAsia" w:hint="eastAsia"/>
          <w:sz w:val="24"/>
          <w:szCs w:val="24"/>
        </w:rPr>
        <w:t>经济行为</w:t>
      </w:r>
      <w:r>
        <w:rPr>
          <w:rFonts w:asciiTheme="minorEastAsia" w:eastAsiaTheme="minorEastAsia" w:hAnsiTheme="minorEastAsia"/>
          <w:sz w:val="24"/>
          <w:szCs w:val="24"/>
        </w:rPr>
        <w:t>价值参考。</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sz w:val="24"/>
          <w:szCs w:val="24"/>
        </w:rPr>
        <w:t>评估报告附件与报告正文配套使用方为有效。</w:t>
      </w: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宋体" w:hAnsi="宋体" w:hint="eastAsia"/>
          <w:sz w:val="24"/>
          <w:szCs w:val="24"/>
        </w:rPr>
        <w:t>资产评估报告使用人应注意以上特别事项对评估结论产生的影响。</w:t>
      </w:r>
    </w:p>
    <w:p w:rsidR="001C06EC" w:rsidRDefault="00AF6012">
      <w:pPr>
        <w:pStyle w:val="2"/>
        <w:ind w:firstLine="482"/>
      </w:pPr>
      <w:bookmarkStart w:id="84" w:name="_Toc504984264"/>
      <w:bookmarkStart w:id="85" w:name="_Toc515005182"/>
      <w:bookmarkStart w:id="86" w:name="_Toc334186098"/>
      <w:r>
        <w:t>十二、</w:t>
      </w:r>
      <w:bookmarkStart w:id="87" w:name="三14"/>
      <w:r>
        <w:t>评估报告使用限制说明</w:t>
      </w:r>
      <w:bookmarkEnd w:id="84"/>
      <w:bookmarkEnd w:id="85"/>
      <w:bookmarkEnd w:id="86"/>
      <w:bookmarkEnd w:id="87"/>
    </w:p>
    <w:p w:rsidR="001C06EC" w:rsidRDefault="00AF6012">
      <w:pPr>
        <w:pStyle w:val="a7"/>
        <w:widowControl/>
        <w:numPr>
          <w:ilvl w:val="0"/>
          <w:numId w:val="11"/>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本资产评估报告只能用于资产评估报告载明的评估目的和用途、只能由资产评估报告载明的资产评估报告使用人使用。本资产评估报告的全部或者部分内容被摘抄、引用或者被披露于公开媒体，需评估机构审阅相关内容，法律、法规规定以及相关当事方另有约定的除外；</w:t>
      </w:r>
    </w:p>
    <w:p w:rsidR="001C06EC" w:rsidRDefault="00AF6012">
      <w:pPr>
        <w:pStyle w:val="a7"/>
        <w:widowControl/>
        <w:numPr>
          <w:ilvl w:val="0"/>
          <w:numId w:val="11"/>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委托人或者其他资产评估报告使用人未按照法律、行政法规规定和资产评估报告载明的使用范围使用资产评估报告的，资产评估机构及其资产评估专业人员不承担责任；</w:t>
      </w:r>
    </w:p>
    <w:p w:rsidR="001C06EC" w:rsidRDefault="00AF6012">
      <w:pPr>
        <w:pStyle w:val="a7"/>
        <w:widowControl/>
        <w:numPr>
          <w:ilvl w:val="0"/>
          <w:numId w:val="11"/>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除委托人、资产评估委托合同中约定的其他资产评估报告使用人和法律、行政法规规定的资产评估报告使用人之外，其他任何机构和个人不能成为资产评估报告的使用人；</w:t>
      </w:r>
    </w:p>
    <w:p w:rsidR="001C06EC" w:rsidRDefault="00AF6012">
      <w:pPr>
        <w:pStyle w:val="a7"/>
        <w:widowControl/>
        <w:numPr>
          <w:ilvl w:val="0"/>
          <w:numId w:val="11"/>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t>资产评估报告使用人应当正确理解评估结论。评估结论不等同于评估对象可实现价格，评估结论不应当被认为是对评估对象可实现价格的保证；</w:t>
      </w:r>
    </w:p>
    <w:p w:rsidR="001C06EC" w:rsidRDefault="00AF6012">
      <w:pPr>
        <w:pStyle w:val="a7"/>
        <w:widowControl/>
        <w:numPr>
          <w:ilvl w:val="0"/>
          <w:numId w:val="11"/>
        </w:numPr>
        <w:adjustRightInd w:val="0"/>
        <w:snapToGrid w:val="0"/>
        <w:spacing w:line="360" w:lineRule="auto"/>
        <w:ind w:left="0" w:firstLineChars="200" w:firstLine="480"/>
        <w:rPr>
          <w:rFonts w:ascii="宋体" w:hAnsi="宋体"/>
          <w:sz w:val="24"/>
          <w:szCs w:val="24"/>
        </w:rPr>
      </w:pPr>
      <w:r>
        <w:rPr>
          <w:rFonts w:ascii="宋体" w:hAnsi="宋体" w:hint="eastAsia"/>
          <w:sz w:val="24"/>
          <w:szCs w:val="24"/>
        </w:rPr>
        <w:lastRenderedPageBreak/>
        <w:t>本资产评估报告经承办该评估业务的资产评估师签名并加盖评估机构公章</w:t>
      </w:r>
      <w:bookmarkStart w:id="88" w:name="OLE_LINK42"/>
      <w:r>
        <w:rPr>
          <w:rFonts w:ascii="宋体" w:hAnsi="宋体" w:hint="eastAsia"/>
          <w:sz w:val="24"/>
          <w:szCs w:val="24"/>
        </w:rPr>
        <w:t>，后方可正式使用</w:t>
      </w:r>
      <w:bookmarkEnd w:id="88"/>
      <w:r>
        <w:rPr>
          <w:rFonts w:ascii="宋体" w:hAnsi="宋体" w:hint="eastAsia"/>
          <w:sz w:val="24"/>
          <w:szCs w:val="24"/>
        </w:rPr>
        <w:t>；</w:t>
      </w:r>
    </w:p>
    <w:p w:rsidR="001C06EC" w:rsidRDefault="00AF6012">
      <w:pPr>
        <w:tabs>
          <w:tab w:val="left" w:pos="0"/>
        </w:tabs>
        <w:spacing w:line="360" w:lineRule="auto"/>
        <w:ind w:firstLineChars="200" w:firstLine="480"/>
        <w:rPr>
          <w:rFonts w:asciiTheme="minorEastAsia" w:eastAsiaTheme="minorEastAsia" w:hAnsiTheme="minorEastAsia"/>
          <w:b/>
          <w:bCs/>
          <w:sz w:val="24"/>
          <w:szCs w:val="24"/>
        </w:rPr>
      </w:pPr>
      <w:r>
        <w:rPr>
          <w:rFonts w:ascii="宋体" w:hAnsi="宋体" w:hint="eastAsia"/>
          <w:sz w:val="24"/>
          <w:szCs w:val="24"/>
        </w:rPr>
        <w:t>本资产评估报告所揭示的评估结论仅对资产评估报告中描述的经济行为有效，评估结论使用有效期为自评估基准日起一年。</w:t>
      </w:r>
    </w:p>
    <w:p w:rsidR="001C06EC" w:rsidRDefault="00AF6012">
      <w:pPr>
        <w:pStyle w:val="2"/>
        <w:ind w:firstLine="482"/>
        <w:rPr>
          <w:rFonts w:asciiTheme="minorEastAsia" w:eastAsiaTheme="minorEastAsia" w:hAnsiTheme="minorEastAsia"/>
          <w:b w:val="0"/>
          <w:bCs w:val="0"/>
          <w:szCs w:val="24"/>
        </w:rPr>
      </w:pPr>
      <w:bookmarkStart w:id="89" w:name="_Toc334186099"/>
      <w:bookmarkStart w:id="90" w:name="_Toc515005183"/>
      <w:bookmarkStart w:id="91" w:name="_Toc504984265"/>
      <w:r>
        <w:t>十三、</w:t>
      </w:r>
      <w:bookmarkStart w:id="92" w:name="三15"/>
      <w:r>
        <w:t>评估报告日</w:t>
      </w:r>
      <w:bookmarkEnd w:id="89"/>
      <w:bookmarkEnd w:id="90"/>
      <w:bookmarkEnd w:id="91"/>
      <w:bookmarkEnd w:id="92"/>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本评估报告日为</w:t>
      </w:r>
      <w:r>
        <w:rPr>
          <w:rFonts w:asciiTheme="minorEastAsia" w:eastAsiaTheme="minorEastAsia" w:hAnsiTheme="minorEastAsia" w:hint="eastAsia"/>
          <w:sz w:val="24"/>
          <w:szCs w:val="24"/>
        </w:rPr>
        <w:t>2018</w:t>
      </w:r>
      <w:r>
        <w:rPr>
          <w:rFonts w:asciiTheme="minorEastAsia" w:eastAsiaTheme="minorEastAsia" w:hAnsiTheme="minorEastAsia"/>
          <w:sz w:val="24"/>
          <w:szCs w:val="24"/>
        </w:rPr>
        <w:t>年</w:t>
      </w:r>
      <w:r w:rsidR="00873851">
        <w:rPr>
          <w:rFonts w:asciiTheme="minorEastAsia" w:eastAsiaTheme="minorEastAsia" w:hAnsiTheme="minorEastAsia" w:hint="eastAsia"/>
          <w:sz w:val="24"/>
          <w:szCs w:val="24"/>
        </w:rPr>
        <w:t>12</w:t>
      </w:r>
      <w:r>
        <w:rPr>
          <w:rFonts w:asciiTheme="minorEastAsia" w:eastAsiaTheme="minorEastAsia" w:hAnsiTheme="minorEastAsia"/>
          <w:sz w:val="24"/>
          <w:szCs w:val="24"/>
        </w:rPr>
        <w:t>月</w:t>
      </w:r>
      <w:r>
        <w:rPr>
          <w:rFonts w:asciiTheme="minorEastAsia" w:eastAsiaTheme="minorEastAsia" w:hAnsiTheme="minorEastAsia" w:hint="eastAsia"/>
          <w:sz w:val="24"/>
          <w:szCs w:val="24"/>
        </w:rPr>
        <w:t>1</w:t>
      </w:r>
      <w:r w:rsidR="00873851">
        <w:rPr>
          <w:rFonts w:asciiTheme="minorEastAsia" w:eastAsiaTheme="minorEastAsia" w:hAnsiTheme="minorEastAsia" w:hint="eastAsia"/>
          <w:sz w:val="24"/>
          <w:szCs w:val="24"/>
        </w:rPr>
        <w:t>0</w:t>
      </w:r>
      <w:r>
        <w:rPr>
          <w:rFonts w:asciiTheme="minorEastAsia" w:eastAsiaTheme="minorEastAsia" w:hAnsiTheme="minorEastAsia"/>
          <w:sz w:val="24"/>
          <w:szCs w:val="24"/>
        </w:rPr>
        <w:t>日。</w:t>
      </w:r>
      <w:r>
        <w:rPr>
          <w:rFonts w:asciiTheme="minorEastAsia" w:eastAsiaTheme="minorEastAsia" w:hAnsiTheme="minorEastAsia"/>
          <w:sz w:val="24"/>
          <w:szCs w:val="24"/>
        </w:rPr>
        <w:br w:type="page"/>
      </w:r>
    </w:p>
    <w:p w:rsidR="001C06EC" w:rsidRDefault="001C06EC">
      <w:pPr>
        <w:tabs>
          <w:tab w:val="left" w:pos="0"/>
        </w:tabs>
        <w:spacing w:line="360" w:lineRule="auto"/>
        <w:rPr>
          <w:rFonts w:asciiTheme="minorEastAsia" w:eastAsiaTheme="minorEastAsia" w:hAnsiTheme="minorEastAsia"/>
          <w:b/>
          <w:bCs/>
          <w:sz w:val="24"/>
          <w:szCs w:val="24"/>
        </w:rPr>
      </w:pPr>
    </w:p>
    <w:p w:rsidR="001C06EC" w:rsidRDefault="00AF6012">
      <w:pPr>
        <w:pStyle w:val="2"/>
        <w:ind w:firstLine="482"/>
      </w:pPr>
      <w:bookmarkStart w:id="93" w:name="_Toc515005184"/>
      <w:bookmarkStart w:id="94" w:name="_Toc493752493"/>
      <w:r>
        <w:t>十四、</w:t>
      </w:r>
      <w:r>
        <w:rPr>
          <w:rFonts w:hint="eastAsia"/>
        </w:rPr>
        <w:t>资产评估专业人员签名和资产评估机构印章</w:t>
      </w:r>
      <w:bookmarkEnd w:id="93"/>
      <w:bookmarkEnd w:id="94"/>
    </w:p>
    <w:p w:rsidR="001C06EC" w:rsidRDefault="001C06EC">
      <w:pPr>
        <w:tabs>
          <w:tab w:val="left" w:pos="0"/>
        </w:tabs>
        <w:spacing w:line="360" w:lineRule="auto"/>
        <w:rPr>
          <w:rFonts w:asciiTheme="minorEastAsia" w:eastAsiaTheme="minorEastAsia" w:hAnsiTheme="minorEastAsia"/>
          <w:sz w:val="24"/>
          <w:szCs w:val="24"/>
        </w:rPr>
      </w:pPr>
    </w:p>
    <w:p w:rsidR="001C06EC" w:rsidRDefault="001C06EC">
      <w:pPr>
        <w:tabs>
          <w:tab w:val="left" w:pos="0"/>
        </w:tabs>
        <w:spacing w:line="360" w:lineRule="auto"/>
        <w:rPr>
          <w:rFonts w:asciiTheme="minorEastAsia" w:eastAsiaTheme="minorEastAsia" w:hAnsiTheme="minorEastAsia"/>
          <w:sz w:val="24"/>
          <w:szCs w:val="24"/>
        </w:rPr>
      </w:pPr>
    </w:p>
    <w:p w:rsidR="001C06EC" w:rsidRDefault="00AF6012">
      <w:pPr>
        <w:tabs>
          <w:tab w:val="left" w:pos="0"/>
        </w:tabs>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rPr>
        <w:t>评估机构法定代表人：</w:t>
      </w:r>
    </w:p>
    <w:p w:rsidR="001C06EC" w:rsidRDefault="001C06EC">
      <w:pPr>
        <w:tabs>
          <w:tab w:val="left" w:pos="0"/>
        </w:tabs>
        <w:spacing w:line="360" w:lineRule="auto"/>
        <w:ind w:firstLineChars="200" w:firstLine="480"/>
        <w:rPr>
          <w:rFonts w:asciiTheme="minorEastAsia" w:eastAsiaTheme="minorEastAsia" w:hAnsiTheme="minorEastAsia"/>
          <w:sz w:val="24"/>
          <w:szCs w:val="24"/>
        </w:rPr>
      </w:pPr>
    </w:p>
    <w:p w:rsidR="001C06EC" w:rsidRDefault="001C06EC">
      <w:pPr>
        <w:tabs>
          <w:tab w:val="left" w:pos="0"/>
        </w:tabs>
        <w:spacing w:line="360" w:lineRule="auto"/>
        <w:ind w:firstLineChars="200" w:firstLine="480"/>
        <w:rPr>
          <w:rFonts w:asciiTheme="minorEastAsia" w:eastAsiaTheme="minorEastAsia" w:hAnsiTheme="minorEastAsia"/>
          <w:sz w:val="24"/>
          <w:szCs w:val="24"/>
        </w:rPr>
      </w:pPr>
    </w:p>
    <w:p w:rsidR="001C06EC" w:rsidRDefault="00AF6012">
      <w:pPr>
        <w:tabs>
          <w:tab w:val="left" w:pos="0"/>
        </w:tabs>
        <w:spacing w:line="360" w:lineRule="auto"/>
        <w:ind w:firstLineChars="200" w:firstLine="480"/>
        <w:rPr>
          <w:rFonts w:asciiTheme="minorEastAsia" w:eastAsiaTheme="minorEastAsia" w:hAnsiTheme="minorEastAsia"/>
          <w:sz w:val="24"/>
          <w:szCs w:val="24"/>
          <w:u w:val="single"/>
        </w:rPr>
      </w:pPr>
      <w:r>
        <w:rPr>
          <w:rFonts w:asciiTheme="minorEastAsia" w:eastAsiaTheme="minorEastAsia" w:hAnsiTheme="minorEastAsia"/>
          <w:sz w:val="24"/>
          <w:szCs w:val="24"/>
        </w:rPr>
        <w:t>资产评估师：</w:t>
      </w:r>
    </w:p>
    <w:p w:rsidR="001C06EC" w:rsidRDefault="001C06EC">
      <w:pPr>
        <w:tabs>
          <w:tab w:val="left" w:pos="0"/>
        </w:tabs>
        <w:spacing w:line="360" w:lineRule="auto"/>
        <w:ind w:firstLineChars="200" w:firstLine="480"/>
        <w:rPr>
          <w:rFonts w:asciiTheme="minorEastAsia" w:eastAsiaTheme="minorEastAsia" w:hAnsiTheme="minorEastAsia"/>
          <w:sz w:val="24"/>
          <w:szCs w:val="24"/>
        </w:rPr>
      </w:pPr>
    </w:p>
    <w:p w:rsidR="001C06EC" w:rsidRDefault="001C06EC">
      <w:pPr>
        <w:tabs>
          <w:tab w:val="left" w:pos="0"/>
        </w:tabs>
        <w:spacing w:line="360" w:lineRule="auto"/>
        <w:ind w:firstLineChars="200" w:firstLine="480"/>
        <w:rPr>
          <w:rFonts w:asciiTheme="minorEastAsia" w:eastAsiaTheme="minorEastAsia" w:hAnsiTheme="minorEastAsia"/>
          <w:sz w:val="24"/>
          <w:szCs w:val="24"/>
        </w:rPr>
      </w:pPr>
    </w:p>
    <w:p w:rsidR="001C06EC" w:rsidRDefault="00AF6012">
      <w:pPr>
        <w:tabs>
          <w:tab w:val="left" w:pos="0"/>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资产评估师：</w:t>
      </w:r>
    </w:p>
    <w:p w:rsidR="001C06EC" w:rsidRDefault="001C06EC">
      <w:pPr>
        <w:tabs>
          <w:tab w:val="left" w:pos="0"/>
        </w:tabs>
        <w:spacing w:line="360" w:lineRule="auto"/>
        <w:rPr>
          <w:rFonts w:asciiTheme="minorEastAsia" w:eastAsiaTheme="minorEastAsia" w:hAnsiTheme="minorEastAsia"/>
          <w:sz w:val="24"/>
          <w:szCs w:val="24"/>
        </w:rPr>
      </w:pPr>
    </w:p>
    <w:p w:rsidR="001C06EC" w:rsidRDefault="001C06EC">
      <w:pPr>
        <w:tabs>
          <w:tab w:val="left" w:pos="0"/>
        </w:tabs>
        <w:spacing w:line="360" w:lineRule="auto"/>
        <w:rPr>
          <w:rFonts w:asciiTheme="minorEastAsia" w:eastAsiaTheme="minorEastAsia" w:hAnsiTheme="minorEastAsia"/>
          <w:sz w:val="24"/>
          <w:szCs w:val="24"/>
        </w:rPr>
      </w:pPr>
    </w:p>
    <w:p w:rsidR="001C06EC" w:rsidRDefault="001C06EC">
      <w:pPr>
        <w:tabs>
          <w:tab w:val="left" w:pos="0"/>
        </w:tabs>
        <w:spacing w:line="360" w:lineRule="auto"/>
        <w:rPr>
          <w:rFonts w:asciiTheme="minorEastAsia" w:eastAsiaTheme="minorEastAsia" w:hAnsiTheme="minorEastAsia"/>
          <w:sz w:val="24"/>
          <w:szCs w:val="24"/>
        </w:rPr>
      </w:pPr>
    </w:p>
    <w:p w:rsidR="001C06EC" w:rsidRDefault="001C06EC">
      <w:pPr>
        <w:tabs>
          <w:tab w:val="left" w:pos="0"/>
        </w:tabs>
        <w:spacing w:line="360" w:lineRule="auto"/>
        <w:rPr>
          <w:rFonts w:asciiTheme="minorEastAsia" w:eastAsiaTheme="minorEastAsia" w:hAnsiTheme="minorEastAsia"/>
          <w:sz w:val="24"/>
          <w:szCs w:val="24"/>
        </w:rPr>
      </w:pPr>
    </w:p>
    <w:p w:rsidR="001C06EC" w:rsidRDefault="00AF6012">
      <w:pPr>
        <w:tabs>
          <w:tab w:val="left" w:pos="0"/>
        </w:tabs>
        <w:spacing w:line="360" w:lineRule="auto"/>
        <w:jc w:val="right"/>
        <w:rPr>
          <w:rFonts w:asciiTheme="minorEastAsia" w:eastAsiaTheme="minorEastAsia" w:hAnsiTheme="minorEastAsia"/>
          <w:sz w:val="24"/>
          <w:szCs w:val="24"/>
        </w:rPr>
      </w:pPr>
      <w:r>
        <w:rPr>
          <w:rFonts w:asciiTheme="minorEastAsia" w:eastAsiaTheme="minorEastAsia" w:hAnsiTheme="minorEastAsia" w:hint="eastAsia"/>
          <w:sz w:val="24"/>
          <w:szCs w:val="24"/>
        </w:rPr>
        <w:t>青岛振青</w:t>
      </w:r>
      <w:r>
        <w:rPr>
          <w:rFonts w:asciiTheme="minorEastAsia" w:eastAsiaTheme="minorEastAsia" w:hAnsiTheme="minorEastAsia"/>
          <w:sz w:val="24"/>
          <w:szCs w:val="24"/>
        </w:rPr>
        <w:t>资产评估有限责任公司</w:t>
      </w:r>
    </w:p>
    <w:p w:rsidR="001C06EC" w:rsidRDefault="001C06EC">
      <w:pPr>
        <w:tabs>
          <w:tab w:val="left" w:pos="0"/>
        </w:tabs>
        <w:spacing w:line="360" w:lineRule="auto"/>
        <w:jc w:val="right"/>
        <w:rPr>
          <w:rFonts w:asciiTheme="minorEastAsia" w:eastAsiaTheme="minorEastAsia" w:hAnsiTheme="minorEastAsia"/>
          <w:sz w:val="24"/>
          <w:szCs w:val="24"/>
        </w:rPr>
      </w:pPr>
    </w:p>
    <w:p w:rsidR="001C06EC" w:rsidRDefault="00AF6012">
      <w:pPr>
        <w:tabs>
          <w:tab w:val="left" w:pos="0"/>
        </w:tabs>
        <w:spacing w:line="360" w:lineRule="auto"/>
        <w:ind w:right="480" w:firstLineChars="2400" w:firstLine="5760"/>
        <w:rPr>
          <w:rFonts w:asciiTheme="minorEastAsia" w:eastAsiaTheme="minorEastAsia" w:hAnsiTheme="minorEastAsia"/>
          <w:sz w:val="24"/>
          <w:szCs w:val="24"/>
        </w:rPr>
      </w:pPr>
      <w:r>
        <w:rPr>
          <w:rFonts w:asciiTheme="minorEastAsia" w:eastAsiaTheme="minorEastAsia" w:hAnsiTheme="minorEastAsia" w:hint="eastAsia"/>
          <w:sz w:val="24"/>
          <w:szCs w:val="24"/>
        </w:rPr>
        <w:t>2018</w:t>
      </w:r>
      <w:r>
        <w:rPr>
          <w:rFonts w:asciiTheme="minorEastAsia" w:eastAsiaTheme="minorEastAsia" w:hAnsiTheme="minorEastAsia"/>
          <w:sz w:val="24"/>
          <w:szCs w:val="24"/>
        </w:rPr>
        <w:t>年</w:t>
      </w:r>
      <w:r w:rsidR="00873851">
        <w:rPr>
          <w:rFonts w:asciiTheme="minorEastAsia" w:eastAsiaTheme="minorEastAsia" w:hAnsiTheme="minorEastAsia" w:hint="eastAsia"/>
          <w:sz w:val="24"/>
          <w:szCs w:val="24"/>
        </w:rPr>
        <w:t>12</w:t>
      </w:r>
      <w:r>
        <w:rPr>
          <w:rFonts w:asciiTheme="minorEastAsia" w:eastAsiaTheme="minorEastAsia" w:hAnsiTheme="minorEastAsia"/>
          <w:sz w:val="24"/>
          <w:szCs w:val="24"/>
        </w:rPr>
        <w:t>月</w:t>
      </w:r>
      <w:r w:rsidR="00873851">
        <w:rPr>
          <w:rFonts w:asciiTheme="minorEastAsia" w:eastAsiaTheme="minorEastAsia" w:hAnsiTheme="minorEastAsia" w:hint="eastAsia"/>
          <w:sz w:val="24"/>
          <w:szCs w:val="24"/>
        </w:rPr>
        <w:t>10</w:t>
      </w:r>
      <w:r>
        <w:rPr>
          <w:rFonts w:asciiTheme="minorEastAsia" w:eastAsiaTheme="minorEastAsia" w:hAnsiTheme="minorEastAsia"/>
          <w:sz w:val="24"/>
          <w:szCs w:val="24"/>
        </w:rPr>
        <w:t>日</w:t>
      </w:r>
    </w:p>
    <w:p w:rsidR="001C06EC" w:rsidRDefault="00AF6012">
      <w:pPr>
        <w:tabs>
          <w:tab w:val="left" w:pos="0"/>
        </w:tabs>
        <w:spacing w:line="360" w:lineRule="auto"/>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1C06EC" w:rsidRDefault="00AF6012">
      <w:pPr>
        <w:pStyle w:val="1"/>
        <w:spacing w:before="100" w:beforeAutospacing="1" w:after="0" w:line="360" w:lineRule="auto"/>
        <w:jc w:val="center"/>
        <w:rPr>
          <w:sz w:val="32"/>
          <w:szCs w:val="32"/>
        </w:rPr>
      </w:pPr>
      <w:bookmarkStart w:id="95" w:name="_Toc504984267"/>
      <w:bookmarkStart w:id="96" w:name="_Toc515005185"/>
      <w:bookmarkStart w:id="97" w:name="_Toc334186100"/>
      <w:bookmarkStart w:id="98" w:name="四"/>
      <w:r>
        <w:rPr>
          <w:sz w:val="32"/>
          <w:szCs w:val="32"/>
        </w:rPr>
        <w:lastRenderedPageBreak/>
        <w:t>附件</w:t>
      </w:r>
      <w:bookmarkEnd w:id="95"/>
      <w:bookmarkEnd w:id="96"/>
      <w:bookmarkEnd w:id="97"/>
      <w:bookmarkEnd w:id="98"/>
    </w:p>
    <w:p w:rsidR="001C06EC" w:rsidRDefault="00AF6012">
      <w:pPr>
        <w:tabs>
          <w:tab w:val="left" w:pos="0"/>
        </w:tabs>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以下附件资料除特别说明外均为复印件：</w:t>
      </w:r>
    </w:p>
    <w:p w:rsidR="001C06EC" w:rsidRDefault="00AF6012">
      <w:pPr>
        <w:pStyle w:val="af1"/>
        <w:numPr>
          <w:ilvl w:val="0"/>
          <w:numId w:val="12"/>
        </w:numPr>
        <w:tabs>
          <w:tab w:val="left" w:pos="0"/>
          <w:tab w:val="left" w:pos="1701"/>
          <w:tab w:val="left" w:pos="1985"/>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司法鉴定委托书；</w:t>
      </w:r>
    </w:p>
    <w:p w:rsidR="001C06EC" w:rsidRDefault="00AF6012">
      <w:pPr>
        <w:pStyle w:val="af1"/>
        <w:numPr>
          <w:ilvl w:val="0"/>
          <w:numId w:val="12"/>
        </w:numPr>
        <w:tabs>
          <w:tab w:val="left" w:pos="0"/>
          <w:tab w:val="left" w:pos="1701"/>
          <w:tab w:val="left" w:pos="1985"/>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签字资产评估师承诺函；</w:t>
      </w:r>
    </w:p>
    <w:p w:rsidR="001C06EC" w:rsidRDefault="00AF6012">
      <w:pPr>
        <w:pStyle w:val="af1"/>
        <w:numPr>
          <w:ilvl w:val="0"/>
          <w:numId w:val="12"/>
        </w:numPr>
        <w:tabs>
          <w:tab w:val="left" w:pos="0"/>
          <w:tab w:val="left" w:pos="1701"/>
          <w:tab w:val="left" w:pos="1985"/>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评估机构资格证书；</w:t>
      </w:r>
    </w:p>
    <w:p w:rsidR="001C06EC" w:rsidRDefault="00AF6012">
      <w:pPr>
        <w:pStyle w:val="af1"/>
        <w:numPr>
          <w:ilvl w:val="0"/>
          <w:numId w:val="12"/>
        </w:numPr>
        <w:tabs>
          <w:tab w:val="left" w:pos="0"/>
          <w:tab w:val="left" w:pos="1701"/>
          <w:tab w:val="left" w:pos="1985"/>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评估机构营业执照副本；</w:t>
      </w:r>
    </w:p>
    <w:p w:rsidR="001C06EC" w:rsidRDefault="00AF6012">
      <w:pPr>
        <w:pStyle w:val="af1"/>
        <w:numPr>
          <w:ilvl w:val="0"/>
          <w:numId w:val="12"/>
        </w:numPr>
        <w:tabs>
          <w:tab w:val="left" w:pos="0"/>
          <w:tab w:val="left" w:pos="1701"/>
          <w:tab w:val="left" w:pos="1985"/>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签字资产评估师资格证书；</w:t>
      </w:r>
    </w:p>
    <w:p w:rsidR="00596857" w:rsidRDefault="00596857">
      <w:pPr>
        <w:pStyle w:val="af1"/>
        <w:numPr>
          <w:ilvl w:val="0"/>
          <w:numId w:val="12"/>
        </w:numPr>
        <w:tabs>
          <w:tab w:val="left" w:pos="0"/>
          <w:tab w:val="left" w:pos="1701"/>
          <w:tab w:val="left" w:pos="1985"/>
        </w:tabs>
        <w:spacing w:line="360" w:lineRule="auto"/>
        <w:ind w:firstLine="480"/>
        <w:rPr>
          <w:rFonts w:asciiTheme="minorEastAsia" w:eastAsiaTheme="minorEastAsia" w:hAnsiTheme="minorEastAsia"/>
          <w:sz w:val="24"/>
          <w:szCs w:val="24"/>
        </w:rPr>
      </w:pPr>
      <w:r>
        <w:rPr>
          <w:rFonts w:asciiTheme="minorEastAsia" w:eastAsiaTheme="minorEastAsia" w:hAnsiTheme="minorEastAsia" w:hint="eastAsia"/>
          <w:sz w:val="24"/>
          <w:szCs w:val="24"/>
        </w:rPr>
        <w:t>资产评估明细表；</w:t>
      </w:r>
      <w:bookmarkStart w:id="99" w:name="_GoBack"/>
      <w:bookmarkEnd w:id="99"/>
    </w:p>
    <w:p w:rsidR="001C06EC" w:rsidRDefault="00AF6012">
      <w:pPr>
        <w:pStyle w:val="af1"/>
        <w:tabs>
          <w:tab w:val="left" w:pos="1701"/>
          <w:tab w:val="left" w:pos="1985"/>
        </w:tabs>
        <w:spacing w:line="360" w:lineRule="auto"/>
        <w:ind w:left="900" w:firstLineChars="0" w:firstLine="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附件</w:t>
      </w:r>
      <w:r w:rsidR="008415DA">
        <w:rPr>
          <w:rFonts w:asciiTheme="minorEastAsia" w:eastAsiaTheme="minorEastAsia" w:hAnsiTheme="minorEastAsia" w:hint="eastAsia"/>
          <w:sz w:val="24"/>
          <w:szCs w:val="24"/>
        </w:rPr>
        <w:t>七</w:t>
      </w:r>
      <w:r>
        <w:rPr>
          <w:rFonts w:asciiTheme="minorEastAsia" w:eastAsiaTheme="minorEastAsia" w:hAnsiTheme="minorEastAsia" w:hint="eastAsia"/>
          <w:sz w:val="24"/>
          <w:szCs w:val="24"/>
        </w:rPr>
        <w:t>：评估费用发票复印件。</w:t>
      </w:r>
    </w:p>
    <w:p w:rsidR="001C06EC" w:rsidRDefault="001C06EC">
      <w:pPr>
        <w:tabs>
          <w:tab w:val="left" w:pos="0"/>
        </w:tabs>
        <w:spacing w:line="360" w:lineRule="auto"/>
        <w:ind w:firstLineChars="200" w:firstLine="480"/>
        <w:rPr>
          <w:rFonts w:asciiTheme="minorEastAsia" w:eastAsiaTheme="minorEastAsia" w:hAnsiTheme="minorEastAsia"/>
          <w:sz w:val="24"/>
          <w:szCs w:val="24"/>
        </w:rPr>
      </w:pPr>
    </w:p>
    <w:p w:rsidR="001C06EC" w:rsidRDefault="001C06EC">
      <w:pPr>
        <w:rPr>
          <w:rFonts w:asciiTheme="minorEastAsia" w:eastAsiaTheme="minorEastAsia" w:hAnsiTheme="minorEastAsia"/>
          <w:sz w:val="24"/>
          <w:szCs w:val="24"/>
        </w:rPr>
      </w:pPr>
    </w:p>
    <w:sectPr w:rsidR="001C06EC" w:rsidSect="001C06E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508" w:rsidRDefault="006E1508" w:rsidP="001C06EC">
      <w:r>
        <w:separator/>
      </w:r>
    </w:p>
  </w:endnote>
  <w:endnote w:type="continuationSeparator" w:id="1">
    <w:p w:rsidR="006E1508" w:rsidRDefault="006E1508" w:rsidP="001C06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EC" w:rsidRDefault="00AF6012">
    <w:pPr>
      <w:pStyle w:val="ac"/>
      <w:pBdr>
        <w:top w:val="single" w:sz="4" w:space="1" w:color="auto"/>
      </w:pBdr>
      <w:rPr>
        <w:sz w:val="21"/>
        <w:szCs w:val="21"/>
      </w:rPr>
    </w:pPr>
    <w:r>
      <w:rPr>
        <w:rFonts w:hint="eastAsia"/>
        <w:sz w:val="21"/>
        <w:szCs w:val="21"/>
      </w:rPr>
      <w:t>青岛振青资产评估有限责任公司</w:t>
    </w:r>
    <w:r>
      <w:rPr>
        <w:rFonts w:hint="eastAsia"/>
        <w:sz w:val="21"/>
        <w:szCs w:val="21"/>
      </w:rPr>
      <w:t xml:space="preserve">    </w:t>
    </w:r>
  </w:p>
  <w:p w:rsidR="001C06EC" w:rsidRDefault="00AF6012">
    <w:pPr>
      <w:pStyle w:val="ac"/>
      <w:pBdr>
        <w:top w:val="single" w:sz="4" w:space="1" w:color="auto"/>
      </w:pBdr>
      <w:rPr>
        <w:sz w:val="21"/>
        <w:szCs w:val="21"/>
      </w:rPr>
    </w:pPr>
    <w:r>
      <w:rPr>
        <w:rFonts w:hint="eastAsia"/>
        <w:sz w:val="21"/>
        <w:szCs w:val="21"/>
      </w:rPr>
      <w:t xml:space="preserve">                              </w:t>
    </w:r>
  </w:p>
  <w:p w:rsidR="001C06EC" w:rsidRDefault="001C06EC">
    <w:pPr>
      <w:pStyle w:val="ac"/>
      <w:pBdr>
        <w:top w:val="single" w:sz="4" w:space="1" w:color="auto"/>
      </w:pBdr>
      <w:rPr>
        <w:sz w:val="21"/>
        <w:szCs w:val="21"/>
      </w:rPr>
    </w:pPr>
  </w:p>
  <w:p w:rsidR="001C06EC" w:rsidRDefault="001C06EC">
    <w:pPr>
      <w:pStyle w:val="ac"/>
      <w:pBdr>
        <w:top w:val="single" w:sz="4" w:space="1" w:color="auto"/>
      </w:pBdr>
      <w:rPr>
        <w:sz w:val="21"/>
        <w:szCs w:val="21"/>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EC" w:rsidRDefault="00AF6012">
    <w:pPr>
      <w:pStyle w:val="ac"/>
      <w:pBdr>
        <w:top w:val="single" w:sz="4" w:space="1" w:color="auto"/>
      </w:pBdr>
      <w:rPr>
        <w:sz w:val="21"/>
        <w:szCs w:val="21"/>
      </w:rPr>
    </w:pPr>
    <w:r>
      <w:rPr>
        <w:rFonts w:hint="eastAsia"/>
        <w:sz w:val="21"/>
        <w:szCs w:val="21"/>
      </w:rPr>
      <w:t>青岛振青资产评估有限责任公司</w:t>
    </w:r>
    <w:r>
      <w:rPr>
        <w:rFonts w:hint="eastAsia"/>
        <w:sz w:val="21"/>
        <w:szCs w:val="21"/>
      </w:rPr>
      <w:t xml:space="preserve">          </w:t>
    </w:r>
    <w:r w:rsidR="003A5F2B">
      <w:rPr>
        <w:sz w:val="21"/>
        <w:szCs w:val="21"/>
      </w:rPr>
      <w:fldChar w:fldCharType="begin"/>
    </w:r>
    <w:r>
      <w:rPr>
        <w:sz w:val="21"/>
        <w:szCs w:val="21"/>
      </w:rPr>
      <w:instrText>PAGE   \* MERGEFORMAT</w:instrText>
    </w:r>
    <w:r w:rsidR="003A5F2B">
      <w:rPr>
        <w:sz w:val="21"/>
        <w:szCs w:val="21"/>
      </w:rPr>
      <w:fldChar w:fldCharType="separate"/>
    </w:r>
    <w:r w:rsidR="00FF1DB2" w:rsidRPr="00FF1DB2">
      <w:rPr>
        <w:noProof/>
        <w:sz w:val="21"/>
        <w:szCs w:val="21"/>
        <w:lang w:val="zh-CN"/>
      </w:rPr>
      <w:t>10</w:t>
    </w:r>
    <w:r w:rsidR="003A5F2B">
      <w:rPr>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508" w:rsidRDefault="006E1508" w:rsidP="001C06EC">
      <w:r>
        <w:separator/>
      </w:r>
    </w:p>
  </w:footnote>
  <w:footnote w:type="continuationSeparator" w:id="1">
    <w:p w:rsidR="006E1508" w:rsidRDefault="006E1508" w:rsidP="001C06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EC" w:rsidRDefault="001C06EC">
    <w:pPr>
      <w:pStyle w:val="ad"/>
      <w:pBdr>
        <w:bottom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6EC" w:rsidRDefault="00AF6012">
    <w:pPr>
      <w:pStyle w:val="ad"/>
      <w:tabs>
        <w:tab w:val="clear" w:pos="4153"/>
        <w:tab w:val="clear" w:pos="8306"/>
        <w:tab w:val="left" w:pos="4755"/>
      </w:tabs>
      <w:ind w:left="7020" w:hangingChars="3900" w:hanging="7020"/>
      <w:jc w:val="left"/>
      <w:rPr>
        <w:sz w:val="21"/>
        <w:szCs w:val="21"/>
      </w:rPr>
    </w:pPr>
    <w:r>
      <w:rPr>
        <w:noProof/>
      </w:rPr>
      <w:drawing>
        <wp:inline distT="0" distB="0" distL="0" distR="0">
          <wp:extent cx="638175" cy="497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2841" cy="501831"/>
                  </a:xfrm>
                  <a:prstGeom prst="rect">
                    <a:avLst/>
                  </a:prstGeom>
                </pic:spPr>
              </pic:pic>
            </a:graphicData>
          </a:graphic>
        </wp:inline>
      </w:drawing>
    </w:r>
    <w:r>
      <w:rPr>
        <w:rFonts w:hint="eastAsia"/>
      </w:rPr>
      <w:t xml:space="preserve">                    </w:t>
    </w:r>
    <w:r>
      <w:rPr>
        <w:rFonts w:hint="eastAsia"/>
        <w:sz w:val="21"/>
        <w:szCs w:val="21"/>
      </w:rPr>
      <w:t>青岛市黄岛区人民法院委托对银杏树价值鉴定</w:t>
    </w:r>
    <w:r>
      <w:rPr>
        <w:sz w:val="21"/>
        <w:szCs w:val="21"/>
      </w:rPr>
      <w:t>项目评估报告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0"/>
    <w:multiLevelType w:val="multilevel"/>
    <w:tmpl w:val="00000020"/>
    <w:lvl w:ilvl="0">
      <w:start w:val="1"/>
      <w:numFmt w:val="chineseCountingThousand"/>
      <w:lvlText w:val="(%1)"/>
      <w:lvlJc w:val="left"/>
      <w:pPr>
        <w:tabs>
          <w:tab w:val="left" w:pos="1290"/>
        </w:tabs>
        <w:ind w:left="1290" w:hanging="720"/>
      </w:pPr>
      <w:rPr>
        <w:rFonts w:hint="default"/>
      </w:rPr>
    </w:lvl>
    <w:lvl w:ilvl="1">
      <w:start w:val="1"/>
      <w:numFmt w:val="decimal"/>
      <w:lvlText w:val="%2."/>
      <w:lvlJc w:val="left"/>
      <w:pPr>
        <w:ind w:left="1710" w:hanging="720"/>
      </w:pPr>
      <w:rPr>
        <w:rFonts w:ascii="仿宋_GB2312" w:eastAsia="仿宋_GB2312" w:hint="eastAsia"/>
      </w:r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abstractNum w:abstractNumId="1">
    <w:nsid w:val="06D71AC8"/>
    <w:multiLevelType w:val="multilevel"/>
    <w:tmpl w:val="06D71AC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27D7B0D"/>
    <w:multiLevelType w:val="multilevel"/>
    <w:tmpl w:val="127D7B0D"/>
    <w:lvl w:ilvl="0">
      <w:start w:val="1"/>
      <w:numFmt w:val="chineseCountingThousand"/>
      <w:lvlText w:val="附件%1："/>
      <w:lvlJc w:val="left"/>
      <w:pPr>
        <w:ind w:left="900" w:hanging="420"/>
      </w:pPr>
      <w:rPr>
        <w:rFonts w:hint="eastAsia"/>
        <w:lang w:val="en-US"/>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3">
    <w:nsid w:val="1C8C5EB1"/>
    <w:multiLevelType w:val="multilevel"/>
    <w:tmpl w:val="06D71AC8"/>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1C50890"/>
    <w:multiLevelType w:val="multilevel"/>
    <w:tmpl w:val="31C50890"/>
    <w:lvl w:ilvl="0">
      <w:start w:val="1"/>
      <w:numFmt w:val="chineseCountingThousand"/>
      <w:lvlText w:val="(%1)"/>
      <w:lvlJc w:val="left"/>
      <w:pPr>
        <w:ind w:left="993"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5">
    <w:nsid w:val="32F21932"/>
    <w:multiLevelType w:val="multilevel"/>
    <w:tmpl w:val="32F21932"/>
    <w:lvl w:ilvl="0">
      <w:start w:val="1"/>
      <w:numFmt w:val="decimal"/>
      <w:lvlText w:val="%1、"/>
      <w:lvlJc w:val="left"/>
      <w:pPr>
        <w:tabs>
          <w:tab w:val="left" w:pos="1140"/>
        </w:tabs>
        <w:ind w:left="1140" w:hanging="420"/>
      </w:pPr>
      <w:rPr>
        <w:rFonts w:hint="eastAsia"/>
      </w:rPr>
    </w:lvl>
    <w:lvl w:ilvl="1">
      <w:start w:val="1"/>
      <w:numFmt w:val="lowerLetter"/>
      <w:lvlText w:val="%2)"/>
      <w:lvlJc w:val="left"/>
      <w:pPr>
        <w:tabs>
          <w:tab w:val="left" w:pos="1014"/>
        </w:tabs>
        <w:ind w:left="1014" w:hanging="420"/>
      </w:pPr>
    </w:lvl>
    <w:lvl w:ilvl="2">
      <w:start w:val="1"/>
      <w:numFmt w:val="lowerRoman"/>
      <w:lvlText w:val="%3."/>
      <w:lvlJc w:val="right"/>
      <w:pPr>
        <w:tabs>
          <w:tab w:val="left" w:pos="1434"/>
        </w:tabs>
        <w:ind w:left="1434" w:hanging="420"/>
      </w:pPr>
    </w:lvl>
    <w:lvl w:ilvl="3">
      <w:start w:val="1"/>
      <w:numFmt w:val="decimal"/>
      <w:lvlText w:val="%4."/>
      <w:lvlJc w:val="left"/>
      <w:pPr>
        <w:tabs>
          <w:tab w:val="left" w:pos="1854"/>
        </w:tabs>
        <w:ind w:left="1854" w:hanging="420"/>
      </w:pPr>
    </w:lvl>
    <w:lvl w:ilvl="4">
      <w:start w:val="1"/>
      <w:numFmt w:val="lowerLetter"/>
      <w:lvlText w:val="%5)"/>
      <w:lvlJc w:val="left"/>
      <w:pPr>
        <w:tabs>
          <w:tab w:val="left" w:pos="2274"/>
        </w:tabs>
        <w:ind w:left="2274" w:hanging="420"/>
      </w:pPr>
    </w:lvl>
    <w:lvl w:ilvl="5">
      <w:start w:val="1"/>
      <w:numFmt w:val="lowerRoman"/>
      <w:lvlText w:val="%6."/>
      <w:lvlJc w:val="right"/>
      <w:pPr>
        <w:tabs>
          <w:tab w:val="left" w:pos="2694"/>
        </w:tabs>
        <w:ind w:left="2694" w:hanging="420"/>
      </w:pPr>
    </w:lvl>
    <w:lvl w:ilvl="6">
      <w:start w:val="1"/>
      <w:numFmt w:val="decimal"/>
      <w:lvlText w:val="%7."/>
      <w:lvlJc w:val="left"/>
      <w:pPr>
        <w:tabs>
          <w:tab w:val="left" w:pos="3114"/>
        </w:tabs>
        <w:ind w:left="3114" w:hanging="420"/>
      </w:pPr>
    </w:lvl>
    <w:lvl w:ilvl="7">
      <w:start w:val="1"/>
      <w:numFmt w:val="lowerLetter"/>
      <w:lvlText w:val="%8)"/>
      <w:lvlJc w:val="left"/>
      <w:pPr>
        <w:tabs>
          <w:tab w:val="left" w:pos="3534"/>
        </w:tabs>
        <w:ind w:left="3534" w:hanging="420"/>
      </w:pPr>
    </w:lvl>
    <w:lvl w:ilvl="8">
      <w:start w:val="1"/>
      <w:numFmt w:val="lowerRoman"/>
      <w:lvlText w:val="%9."/>
      <w:lvlJc w:val="right"/>
      <w:pPr>
        <w:tabs>
          <w:tab w:val="left" w:pos="3954"/>
        </w:tabs>
        <w:ind w:left="3954" w:hanging="420"/>
      </w:pPr>
    </w:lvl>
  </w:abstractNum>
  <w:abstractNum w:abstractNumId="6">
    <w:nsid w:val="432C2838"/>
    <w:multiLevelType w:val="multilevel"/>
    <w:tmpl w:val="432C2838"/>
    <w:lvl w:ilvl="0">
      <w:start w:val="1"/>
      <w:numFmt w:val="decimal"/>
      <w:lvlText w:val="%1."/>
      <w:lvlJc w:val="left"/>
      <w:pPr>
        <w:ind w:left="3015" w:hanging="855"/>
      </w:pPr>
      <w:rPr>
        <w:rFonts w:hint="default"/>
        <w:b w:val="0"/>
      </w:rPr>
    </w:lvl>
    <w:lvl w:ilvl="1">
      <w:start w:val="1"/>
      <w:numFmt w:val="decimal"/>
      <w:lvlText w:val="%2."/>
      <w:lvlJc w:val="left"/>
      <w:pPr>
        <w:tabs>
          <w:tab w:val="left" w:pos="1380"/>
        </w:tabs>
        <w:ind w:left="1380" w:hanging="420"/>
      </w:pPr>
      <w:rPr>
        <w:rFonts w:hint="eastAsia"/>
      </w:rPr>
    </w:lvl>
    <w:lvl w:ilvl="2">
      <w:start w:val="1"/>
      <w:numFmt w:val="lowerRoman"/>
      <w:lvlText w:val="%3."/>
      <w:lvlJc w:val="right"/>
      <w:pPr>
        <w:tabs>
          <w:tab w:val="left" w:pos="1800"/>
        </w:tabs>
        <w:ind w:left="1800" w:hanging="420"/>
      </w:pPr>
      <w:rPr>
        <w:rFonts w:hint="eastAsia"/>
      </w:rPr>
    </w:lvl>
    <w:lvl w:ilvl="3">
      <w:start w:val="1"/>
      <w:numFmt w:val="decimal"/>
      <w:lvlText w:val="%4."/>
      <w:lvlJc w:val="left"/>
      <w:pPr>
        <w:tabs>
          <w:tab w:val="left" w:pos="2220"/>
        </w:tabs>
        <w:ind w:left="2220" w:hanging="420"/>
      </w:pPr>
      <w:rPr>
        <w:rFonts w:hint="eastAsia"/>
      </w:rPr>
    </w:lvl>
    <w:lvl w:ilvl="4">
      <w:start w:val="1"/>
      <w:numFmt w:val="lowerLetter"/>
      <w:lvlText w:val="%5)"/>
      <w:lvlJc w:val="left"/>
      <w:pPr>
        <w:tabs>
          <w:tab w:val="left" w:pos="2640"/>
        </w:tabs>
        <w:ind w:left="2640" w:hanging="420"/>
      </w:pPr>
      <w:rPr>
        <w:rFonts w:hint="eastAsia"/>
      </w:rPr>
    </w:lvl>
    <w:lvl w:ilvl="5">
      <w:start w:val="1"/>
      <w:numFmt w:val="lowerRoman"/>
      <w:lvlText w:val="%6."/>
      <w:lvlJc w:val="right"/>
      <w:pPr>
        <w:tabs>
          <w:tab w:val="left" w:pos="3060"/>
        </w:tabs>
        <w:ind w:left="3060" w:hanging="420"/>
      </w:pPr>
      <w:rPr>
        <w:rFonts w:hint="eastAsia"/>
      </w:rPr>
    </w:lvl>
    <w:lvl w:ilvl="6">
      <w:start w:val="1"/>
      <w:numFmt w:val="decimal"/>
      <w:lvlText w:val="%7."/>
      <w:lvlJc w:val="left"/>
      <w:pPr>
        <w:tabs>
          <w:tab w:val="left" w:pos="3480"/>
        </w:tabs>
        <w:ind w:left="3480" w:hanging="420"/>
      </w:pPr>
      <w:rPr>
        <w:rFonts w:hint="eastAsia"/>
      </w:rPr>
    </w:lvl>
    <w:lvl w:ilvl="7">
      <w:start w:val="1"/>
      <w:numFmt w:val="lowerLetter"/>
      <w:lvlText w:val="%8)"/>
      <w:lvlJc w:val="left"/>
      <w:pPr>
        <w:tabs>
          <w:tab w:val="left" w:pos="3900"/>
        </w:tabs>
        <w:ind w:left="3900" w:hanging="420"/>
      </w:pPr>
      <w:rPr>
        <w:rFonts w:hint="eastAsia"/>
      </w:rPr>
    </w:lvl>
    <w:lvl w:ilvl="8">
      <w:start w:val="1"/>
      <w:numFmt w:val="lowerRoman"/>
      <w:lvlText w:val="%9."/>
      <w:lvlJc w:val="right"/>
      <w:pPr>
        <w:tabs>
          <w:tab w:val="left" w:pos="4320"/>
        </w:tabs>
        <w:ind w:left="4320" w:hanging="420"/>
      </w:pPr>
      <w:rPr>
        <w:rFonts w:hint="eastAsia"/>
      </w:rPr>
    </w:lvl>
  </w:abstractNum>
  <w:abstractNum w:abstractNumId="7">
    <w:nsid w:val="47C50727"/>
    <w:multiLevelType w:val="multilevel"/>
    <w:tmpl w:val="47C50727"/>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nsid w:val="49F21E3C"/>
    <w:multiLevelType w:val="multilevel"/>
    <w:tmpl w:val="49F21E3C"/>
    <w:lvl w:ilvl="0">
      <w:start w:val="1"/>
      <w:numFmt w:val="chineseCountingThousand"/>
      <w:lvlText w:val="(%1)"/>
      <w:lvlJc w:val="left"/>
      <w:pPr>
        <w:ind w:left="1135" w:hanging="425"/>
      </w:pPr>
    </w:lvl>
    <w:lvl w:ilvl="1">
      <w:start w:val="1"/>
      <w:numFmt w:val="chineseCountingThousand"/>
      <w:lvlText w:val="%2、"/>
      <w:lvlJc w:val="left"/>
      <w:pPr>
        <w:ind w:left="850" w:hanging="425"/>
      </w:pPr>
    </w:lvl>
    <w:lvl w:ilvl="2">
      <w:start w:val="1"/>
      <w:numFmt w:val="chineseCountingThousand"/>
      <w:lvlText w:val="（%3）"/>
      <w:lvlJc w:val="left"/>
      <w:pPr>
        <w:ind w:left="1275" w:hanging="425"/>
      </w:pPr>
      <w:rPr>
        <w:rFonts w:ascii="仿宋_GB2312" w:eastAsia="仿宋_GB2312" w:hint="eastAsia"/>
        <w:sz w:val="28"/>
      </w:rPr>
    </w:lvl>
    <w:lvl w:ilvl="3">
      <w:start w:val="1"/>
      <w:numFmt w:val="chineseCountingThousand"/>
      <w:lvlText w:val="(%4)"/>
      <w:lvlJc w:val="left"/>
      <w:pPr>
        <w:ind w:left="1700" w:hanging="425"/>
      </w:pPr>
      <w:rPr>
        <w:rFonts w:hint="eastAsia"/>
        <w:b w:val="0"/>
      </w:rPr>
    </w:lvl>
    <w:lvl w:ilvl="4">
      <w:start w:val="1"/>
      <w:numFmt w:val="decimal"/>
      <w:lvlText w:val="(%5)"/>
      <w:lvlJc w:val="left"/>
      <w:pPr>
        <w:ind w:left="2125" w:hanging="425"/>
      </w:pPr>
    </w:lvl>
    <w:lvl w:ilvl="5">
      <w:start w:val="1"/>
      <w:numFmt w:val="lowerLetter"/>
      <w:lvlText w:val="(%6)"/>
      <w:lvlJc w:val="left"/>
      <w:pPr>
        <w:ind w:left="2550" w:hanging="425"/>
      </w:pPr>
    </w:lvl>
    <w:lvl w:ilvl="6">
      <w:start w:val="1"/>
      <w:numFmt w:val="lowerRoman"/>
      <w:lvlText w:val="(%7)"/>
      <w:lvlJc w:val="left"/>
      <w:pPr>
        <w:ind w:left="2975" w:hanging="425"/>
      </w:pPr>
    </w:lvl>
    <w:lvl w:ilvl="7">
      <w:start w:val="1"/>
      <w:numFmt w:val="lowerLetter"/>
      <w:lvlText w:val="(%8)"/>
      <w:lvlJc w:val="left"/>
      <w:pPr>
        <w:ind w:left="3400" w:hanging="425"/>
      </w:pPr>
    </w:lvl>
    <w:lvl w:ilvl="8">
      <w:start w:val="1"/>
      <w:numFmt w:val="lowerRoman"/>
      <w:lvlText w:val="(%9)"/>
      <w:lvlJc w:val="left"/>
      <w:pPr>
        <w:ind w:left="3825" w:hanging="425"/>
      </w:pPr>
    </w:lvl>
  </w:abstractNum>
  <w:abstractNum w:abstractNumId="9">
    <w:nsid w:val="729D4114"/>
    <w:multiLevelType w:val="multilevel"/>
    <w:tmpl w:val="729D4114"/>
    <w:lvl w:ilvl="0">
      <w:start w:val="1"/>
      <w:numFmt w:val="decimal"/>
      <w:lvlText w:val="%1."/>
      <w:lvlJc w:val="left"/>
      <w:pPr>
        <w:ind w:left="90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nsid w:val="7565012C"/>
    <w:multiLevelType w:val="multilevel"/>
    <w:tmpl w:val="7565012C"/>
    <w:lvl w:ilvl="0">
      <w:start w:val="1"/>
      <w:numFmt w:val="chineseCountingThousand"/>
      <w:lvlText w:val="(%1)"/>
      <w:lvlJc w:val="left"/>
      <w:pPr>
        <w:tabs>
          <w:tab w:val="left" w:pos="1394"/>
        </w:tabs>
        <w:ind w:left="1394" w:hanging="855"/>
      </w:pPr>
      <w:rPr>
        <w:rFonts w:hint="eastAsia"/>
      </w:rPr>
    </w:lvl>
    <w:lvl w:ilvl="1">
      <w:start w:val="1"/>
      <w:numFmt w:val="decimal"/>
      <w:lvlText w:val="%2."/>
      <w:lvlJc w:val="left"/>
      <w:pPr>
        <w:ind w:left="1571" w:hanging="720"/>
      </w:pPr>
      <w:rPr>
        <w:rFonts w:ascii="仿宋_GB2312" w:eastAsia="仿宋_GB2312" w:hint="eastAsia"/>
      </w:rPr>
    </w:lvl>
    <w:lvl w:ilvl="2">
      <w:start w:val="1"/>
      <w:numFmt w:val="lowerRoman"/>
      <w:lvlText w:val="%3."/>
      <w:lvlJc w:val="right"/>
      <w:pPr>
        <w:tabs>
          <w:tab w:val="left" w:pos="1799"/>
        </w:tabs>
        <w:ind w:left="1799" w:hanging="420"/>
      </w:pPr>
    </w:lvl>
    <w:lvl w:ilvl="3">
      <w:start w:val="1"/>
      <w:numFmt w:val="decimal"/>
      <w:lvlText w:val="%4."/>
      <w:lvlJc w:val="left"/>
      <w:pPr>
        <w:tabs>
          <w:tab w:val="left" w:pos="2219"/>
        </w:tabs>
        <w:ind w:left="2219" w:hanging="420"/>
      </w:pPr>
    </w:lvl>
    <w:lvl w:ilvl="4">
      <w:start w:val="1"/>
      <w:numFmt w:val="lowerLetter"/>
      <w:lvlText w:val="%5)"/>
      <w:lvlJc w:val="left"/>
      <w:pPr>
        <w:tabs>
          <w:tab w:val="left" w:pos="2639"/>
        </w:tabs>
        <w:ind w:left="2639" w:hanging="420"/>
      </w:pPr>
    </w:lvl>
    <w:lvl w:ilvl="5">
      <w:start w:val="1"/>
      <w:numFmt w:val="lowerRoman"/>
      <w:lvlText w:val="%6."/>
      <w:lvlJc w:val="right"/>
      <w:pPr>
        <w:tabs>
          <w:tab w:val="left" w:pos="3059"/>
        </w:tabs>
        <w:ind w:left="3059" w:hanging="420"/>
      </w:pPr>
    </w:lvl>
    <w:lvl w:ilvl="6">
      <w:start w:val="1"/>
      <w:numFmt w:val="decimal"/>
      <w:lvlText w:val="%7."/>
      <w:lvlJc w:val="left"/>
      <w:pPr>
        <w:tabs>
          <w:tab w:val="left" w:pos="3479"/>
        </w:tabs>
        <w:ind w:left="3479" w:hanging="420"/>
      </w:pPr>
    </w:lvl>
    <w:lvl w:ilvl="7">
      <w:start w:val="1"/>
      <w:numFmt w:val="lowerLetter"/>
      <w:lvlText w:val="%8)"/>
      <w:lvlJc w:val="left"/>
      <w:pPr>
        <w:tabs>
          <w:tab w:val="left" w:pos="3899"/>
        </w:tabs>
        <w:ind w:left="3899" w:hanging="420"/>
      </w:pPr>
    </w:lvl>
    <w:lvl w:ilvl="8">
      <w:start w:val="1"/>
      <w:numFmt w:val="lowerRoman"/>
      <w:lvlText w:val="%9."/>
      <w:lvlJc w:val="right"/>
      <w:pPr>
        <w:tabs>
          <w:tab w:val="left" w:pos="4319"/>
        </w:tabs>
        <w:ind w:left="4319" w:hanging="420"/>
      </w:pPr>
    </w:lvl>
  </w:abstractNum>
  <w:abstractNum w:abstractNumId="11">
    <w:nsid w:val="7DFE4E48"/>
    <w:multiLevelType w:val="multilevel"/>
    <w:tmpl w:val="7DFE4E48"/>
    <w:lvl w:ilvl="0">
      <w:start w:val="1"/>
      <w:numFmt w:val="decimal"/>
      <w:lvlText w:val="%1."/>
      <w:lvlJc w:val="left"/>
      <w:pPr>
        <w:ind w:left="1008" w:hanging="420"/>
      </w:pPr>
      <w:rPr>
        <w:rFonts w:hint="default"/>
      </w:rPr>
    </w:lvl>
    <w:lvl w:ilvl="1">
      <w:start w:val="1"/>
      <w:numFmt w:val="decimal"/>
      <w:lvlText w:val="%2、"/>
      <w:lvlJc w:val="left"/>
      <w:pPr>
        <w:ind w:left="1728" w:hanging="720"/>
      </w:pPr>
      <w:rPr>
        <w:rFonts w:ascii="仿宋_GB2312" w:eastAsia="仿宋_GB2312" w:hint="default"/>
      </w:rPr>
    </w:lvl>
    <w:lvl w:ilvl="2">
      <w:start w:val="1"/>
      <w:numFmt w:val="lowerRoman"/>
      <w:lvlText w:val="%3."/>
      <w:lvlJc w:val="right"/>
      <w:pPr>
        <w:ind w:left="1848" w:hanging="420"/>
      </w:pPr>
    </w:lvl>
    <w:lvl w:ilvl="3">
      <w:start w:val="1"/>
      <w:numFmt w:val="decimal"/>
      <w:lvlText w:val="%4."/>
      <w:lvlJc w:val="left"/>
      <w:pPr>
        <w:ind w:left="2268" w:hanging="420"/>
      </w:pPr>
    </w:lvl>
    <w:lvl w:ilvl="4">
      <w:start w:val="1"/>
      <w:numFmt w:val="lowerLetter"/>
      <w:lvlText w:val="%5)"/>
      <w:lvlJc w:val="left"/>
      <w:pPr>
        <w:ind w:left="2688" w:hanging="420"/>
      </w:pPr>
    </w:lvl>
    <w:lvl w:ilvl="5">
      <w:start w:val="1"/>
      <w:numFmt w:val="lowerRoman"/>
      <w:lvlText w:val="%6."/>
      <w:lvlJc w:val="right"/>
      <w:pPr>
        <w:ind w:left="3108" w:hanging="420"/>
      </w:pPr>
    </w:lvl>
    <w:lvl w:ilvl="6">
      <w:start w:val="1"/>
      <w:numFmt w:val="decimal"/>
      <w:lvlText w:val="%7."/>
      <w:lvlJc w:val="left"/>
      <w:pPr>
        <w:ind w:left="3528" w:hanging="420"/>
      </w:pPr>
    </w:lvl>
    <w:lvl w:ilvl="7">
      <w:start w:val="1"/>
      <w:numFmt w:val="lowerLetter"/>
      <w:lvlText w:val="%8)"/>
      <w:lvlJc w:val="left"/>
      <w:pPr>
        <w:ind w:left="3948" w:hanging="420"/>
      </w:pPr>
    </w:lvl>
    <w:lvl w:ilvl="8">
      <w:start w:val="1"/>
      <w:numFmt w:val="lowerRoman"/>
      <w:lvlText w:val="%9."/>
      <w:lvlJc w:val="right"/>
      <w:pPr>
        <w:ind w:left="4368" w:hanging="420"/>
      </w:pPr>
    </w:lvl>
  </w:abstractNum>
  <w:abstractNum w:abstractNumId="12">
    <w:nsid w:val="7F4F4918"/>
    <w:multiLevelType w:val="multilevel"/>
    <w:tmpl w:val="7F4F4918"/>
    <w:lvl w:ilvl="0">
      <w:start w:val="1"/>
      <w:numFmt w:val="decimal"/>
      <w:lvlText w:val="%1."/>
      <w:lvlJc w:val="left"/>
      <w:pPr>
        <w:ind w:left="1130" w:hanging="4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7"/>
  </w:num>
  <w:num w:numId="2">
    <w:abstractNumId w:val="6"/>
  </w:num>
  <w:num w:numId="3">
    <w:abstractNumId w:val="12"/>
  </w:num>
  <w:num w:numId="4">
    <w:abstractNumId w:val="9"/>
  </w:num>
  <w:num w:numId="5">
    <w:abstractNumId w:val="5"/>
  </w:num>
  <w:num w:numId="6">
    <w:abstractNumId w:val="10"/>
  </w:num>
  <w:num w:numId="7">
    <w:abstractNumId w:val="0"/>
  </w:num>
  <w:num w:numId="8">
    <w:abstractNumId w:val="11"/>
  </w:num>
  <w:num w:numId="9">
    <w:abstractNumId w:val="1"/>
  </w:num>
  <w:num w:numId="10">
    <w:abstractNumId w:val="8"/>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2529"/>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1743A"/>
    <w:rsid w:val="00003FB0"/>
    <w:rsid w:val="00012782"/>
    <w:rsid w:val="00020EA7"/>
    <w:rsid w:val="00026A3D"/>
    <w:rsid w:val="0002710B"/>
    <w:rsid w:val="00031506"/>
    <w:rsid w:val="00033D1C"/>
    <w:rsid w:val="000346FB"/>
    <w:rsid w:val="00036DB4"/>
    <w:rsid w:val="0003794F"/>
    <w:rsid w:val="0004552B"/>
    <w:rsid w:val="00053E28"/>
    <w:rsid w:val="0005700E"/>
    <w:rsid w:val="0006322D"/>
    <w:rsid w:val="000674C0"/>
    <w:rsid w:val="000739D5"/>
    <w:rsid w:val="000740DA"/>
    <w:rsid w:val="00077D13"/>
    <w:rsid w:val="00084E93"/>
    <w:rsid w:val="000855A2"/>
    <w:rsid w:val="000918C8"/>
    <w:rsid w:val="00091B3C"/>
    <w:rsid w:val="00093B68"/>
    <w:rsid w:val="000A3E75"/>
    <w:rsid w:val="000A6C1C"/>
    <w:rsid w:val="000C74C5"/>
    <w:rsid w:val="000D1C46"/>
    <w:rsid w:val="000D69AC"/>
    <w:rsid w:val="000E670B"/>
    <w:rsid w:val="0010147A"/>
    <w:rsid w:val="00104173"/>
    <w:rsid w:val="00105148"/>
    <w:rsid w:val="001160EA"/>
    <w:rsid w:val="001166D7"/>
    <w:rsid w:val="00124FAE"/>
    <w:rsid w:val="00134AA8"/>
    <w:rsid w:val="00141924"/>
    <w:rsid w:val="00144B94"/>
    <w:rsid w:val="00145DB2"/>
    <w:rsid w:val="001622F9"/>
    <w:rsid w:val="00162484"/>
    <w:rsid w:val="00162EFF"/>
    <w:rsid w:val="00176A13"/>
    <w:rsid w:val="00177C1D"/>
    <w:rsid w:val="00181DF3"/>
    <w:rsid w:val="001851D7"/>
    <w:rsid w:val="00193CEC"/>
    <w:rsid w:val="00193FA3"/>
    <w:rsid w:val="001955BA"/>
    <w:rsid w:val="001A2097"/>
    <w:rsid w:val="001A445C"/>
    <w:rsid w:val="001A6AAC"/>
    <w:rsid w:val="001B0EBF"/>
    <w:rsid w:val="001C06EC"/>
    <w:rsid w:val="001C1448"/>
    <w:rsid w:val="001D50C6"/>
    <w:rsid w:val="001E1E7F"/>
    <w:rsid w:val="001F4455"/>
    <w:rsid w:val="001F673D"/>
    <w:rsid w:val="001F6D9A"/>
    <w:rsid w:val="00202011"/>
    <w:rsid w:val="00202F1D"/>
    <w:rsid w:val="00203330"/>
    <w:rsid w:val="00206687"/>
    <w:rsid w:val="00223463"/>
    <w:rsid w:val="0023041A"/>
    <w:rsid w:val="0023365D"/>
    <w:rsid w:val="00240D37"/>
    <w:rsid w:val="00241ED8"/>
    <w:rsid w:val="002448EA"/>
    <w:rsid w:val="00246BFA"/>
    <w:rsid w:val="002747F3"/>
    <w:rsid w:val="00274DA4"/>
    <w:rsid w:val="002761CF"/>
    <w:rsid w:val="00290D3D"/>
    <w:rsid w:val="002948F9"/>
    <w:rsid w:val="00295554"/>
    <w:rsid w:val="002A02C0"/>
    <w:rsid w:val="002A30B2"/>
    <w:rsid w:val="002A3A51"/>
    <w:rsid w:val="002A787E"/>
    <w:rsid w:val="002B3437"/>
    <w:rsid w:val="002B572E"/>
    <w:rsid w:val="002B5B76"/>
    <w:rsid w:val="002B5E76"/>
    <w:rsid w:val="002B7F1D"/>
    <w:rsid w:val="002D2B28"/>
    <w:rsid w:val="002E0841"/>
    <w:rsid w:val="002E735E"/>
    <w:rsid w:val="002F48AF"/>
    <w:rsid w:val="00300DB1"/>
    <w:rsid w:val="0030655A"/>
    <w:rsid w:val="0030696B"/>
    <w:rsid w:val="0030763D"/>
    <w:rsid w:val="0031092B"/>
    <w:rsid w:val="003146E7"/>
    <w:rsid w:val="00325C66"/>
    <w:rsid w:val="00332048"/>
    <w:rsid w:val="00332891"/>
    <w:rsid w:val="00335802"/>
    <w:rsid w:val="00335C50"/>
    <w:rsid w:val="003478DE"/>
    <w:rsid w:val="003502F1"/>
    <w:rsid w:val="00360DC2"/>
    <w:rsid w:val="003641A1"/>
    <w:rsid w:val="00367D78"/>
    <w:rsid w:val="0037234E"/>
    <w:rsid w:val="00377416"/>
    <w:rsid w:val="00385F61"/>
    <w:rsid w:val="00394C4B"/>
    <w:rsid w:val="003966BD"/>
    <w:rsid w:val="003A09B4"/>
    <w:rsid w:val="003A5F2B"/>
    <w:rsid w:val="003A64C2"/>
    <w:rsid w:val="003D2011"/>
    <w:rsid w:val="003D5D56"/>
    <w:rsid w:val="003E05FD"/>
    <w:rsid w:val="003E18EE"/>
    <w:rsid w:val="003E26C1"/>
    <w:rsid w:val="003E4120"/>
    <w:rsid w:val="00411D7D"/>
    <w:rsid w:val="00414A67"/>
    <w:rsid w:val="0041603D"/>
    <w:rsid w:val="00420772"/>
    <w:rsid w:val="00426998"/>
    <w:rsid w:val="004322B1"/>
    <w:rsid w:val="00435B2C"/>
    <w:rsid w:val="00440BFD"/>
    <w:rsid w:val="004515CB"/>
    <w:rsid w:val="004566EF"/>
    <w:rsid w:val="004618E5"/>
    <w:rsid w:val="00466569"/>
    <w:rsid w:val="00474A6E"/>
    <w:rsid w:val="00487071"/>
    <w:rsid w:val="00487734"/>
    <w:rsid w:val="004900C1"/>
    <w:rsid w:val="00494894"/>
    <w:rsid w:val="004A567F"/>
    <w:rsid w:val="004B098F"/>
    <w:rsid w:val="004B453A"/>
    <w:rsid w:val="004B4AAD"/>
    <w:rsid w:val="004C0357"/>
    <w:rsid w:val="004C288B"/>
    <w:rsid w:val="004E0A6B"/>
    <w:rsid w:val="004E385A"/>
    <w:rsid w:val="004F70DA"/>
    <w:rsid w:val="004F77F3"/>
    <w:rsid w:val="0050313E"/>
    <w:rsid w:val="00513594"/>
    <w:rsid w:val="00517FAF"/>
    <w:rsid w:val="00521383"/>
    <w:rsid w:val="00521850"/>
    <w:rsid w:val="00540BAB"/>
    <w:rsid w:val="005419BC"/>
    <w:rsid w:val="005436A1"/>
    <w:rsid w:val="00545868"/>
    <w:rsid w:val="0056129F"/>
    <w:rsid w:val="00565E27"/>
    <w:rsid w:val="00566014"/>
    <w:rsid w:val="00570C13"/>
    <w:rsid w:val="005717E5"/>
    <w:rsid w:val="00575F5F"/>
    <w:rsid w:val="00582EB1"/>
    <w:rsid w:val="005913A6"/>
    <w:rsid w:val="005918FA"/>
    <w:rsid w:val="00596857"/>
    <w:rsid w:val="005A2221"/>
    <w:rsid w:val="005A2F8A"/>
    <w:rsid w:val="005A725E"/>
    <w:rsid w:val="005B5100"/>
    <w:rsid w:val="005B6D08"/>
    <w:rsid w:val="005B7EB3"/>
    <w:rsid w:val="005D0104"/>
    <w:rsid w:val="005D0211"/>
    <w:rsid w:val="005E0A82"/>
    <w:rsid w:val="005F0461"/>
    <w:rsid w:val="005F5FC0"/>
    <w:rsid w:val="0060018F"/>
    <w:rsid w:val="00607947"/>
    <w:rsid w:val="00610122"/>
    <w:rsid w:val="006145E1"/>
    <w:rsid w:val="00616817"/>
    <w:rsid w:val="00617CB0"/>
    <w:rsid w:val="00621DA7"/>
    <w:rsid w:val="006223AD"/>
    <w:rsid w:val="00630FF7"/>
    <w:rsid w:val="00635281"/>
    <w:rsid w:val="006378F4"/>
    <w:rsid w:val="00637B61"/>
    <w:rsid w:val="00641377"/>
    <w:rsid w:val="00642386"/>
    <w:rsid w:val="00647FD8"/>
    <w:rsid w:val="00650DA4"/>
    <w:rsid w:val="00653B61"/>
    <w:rsid w:val="00653C07"/>
    <w:rsid w:val="0067601C"/>
    <w:rsid w:val="0067636A"/>
    <w:rsid w:val="00685125"/>
    <w:rsid w:val="00690BC4"/>
    <w:rsid w:val="00693B3D"/>
    <w:rsid w:val="0069627F"/>
    <w:rsid w:val="006A0A95"/>
    <w:rsid w:val="006A0ACB"/>
    <w:rsid w:val="006A40D2"/>
    <w:rsid w:val="006A4315"/>
    <w:rsid w:val="006A4A97"/>
    <w:rsid w:val="006A7FDE"/>
    <w:rsid w:val="006B099E"/>
    <w:rsid w:val="006B14CF"/>
    <w:rsid w:val="006D115C"/>
    <w:rsid w:val="006D1D63"/>
    <w:rsid w:val="006D32BE"/>
    <w:rsid w:val="006D3807"/>
    <w:rsid w:val="006D411E"/>
    <w:rsid w:val="006D696E"/>
    <w:rsid w:val="006E0495"/>
    <w:rsid w:val="006E1508"/>
    <w:rsid w:val="006E162A"/>
    <w:rsid w:val="006E35A5"/>
    <w:rsid w:val="006E5B43"/>
    <w:rsid w:val="006E7AB7"/>
    <w:rsid w:val="006F0669"/>
    <w:rsid w:val="006F1887"/>
    <w:rsid w:val="006F28E1"/>
    <w:rsid w:val="006F3A1E"/>
    <w:rsid w:val="006F5224"/>
    <w:rsid w:val="006F745E"/>
    <w:rsid w:val="00701456"/>
    <w:rsid w:val="00701886"/>
    <w:rsid w:val="00704A70"/>
    <w:rsid w:val="00704B70"/>
    <w:rsid w:val="007227A4"/>
    <w:rsid w:val="00725081"/>
    <w:rsid w:val="00730C0F"/>
    <w:rsid w:val="007326AB"/>
    <w:rsid w:val="00737D51"/>
    <w:rsid w:val="00740CB9"/>
    <w:rsid w:val="00747F00"/>
    <w:rsid w:val="00751545"/>
    <w:rsid w:val="007531FF"/>
    <w:rsid w:val="00755F66"/>
    <w:rsid w:val="00760D2D"/>
    <w:rsid w:val="00772E7E"/>
    <w:rsid w:val="007736BD"/>
    <w:rsid w:val="00777258"/>
    <w:rsid w:val="0077743B"/>
    <w:rsid w:val="00781088"/>
    <w:rsid w:val="007816C3"/>
    <w:rsid w:val="007836B1"/>
    <w:rsid w:val="00786AAF"/>
    <w:rsid w:val="00791FF8"/>
    <w:rsid w:val="00792DD3"/>
    <w:rsid w:val="00797734"/>
    <w:rsid w:val="007A14B4"/>
    <w:rsid w:val="007B29BE"/>
    <w:rsid w:val="007C1011"/>
    <w:rsid w:val="007C65FB"/>
    <w:rsid w:val="007C7E40"/>
    <w:rsid w:val="007D0374"/>
    <w:rsid w:val="007D19C4"/>
    <w:rsid w:val="007D3C69"/>
    <w:rsid w:val="007D5196"/>
    <w:rsid w:val="007D5DAF"/>
    <w:rsid w:val="007E05D4"/>
    <w:rsid w:val="007F11AD"/>
    <w:rsid w:val="007F5164"/>
    <w:rsid w:val="007F63E7"/>
    <w:rsid w:val="007F7015"/>
    <w:rsid w:val="00806403"/>
    <w:rsid w:val="00810559"/>
    <w:rsid w:val="00811D80"/>
    <w:rsid w:val="008154C3"/>
    <w:rsid w:val="008415DA"/>
    <w:rsid w:val="00841AF3"/>
    <w:rsid w:val="00844D58"/>
    <w:rsid w:val="00854440"/>
    <w:rsid w:val="00856C95"/>
    <w:rsid w:val="00867419"/>
    <w:rsid w:val="00873851"/>
    <w:rsid w:val="008802AE"/>
    <w:rsid w:val="008829FB"/>
    <w:rsid w:val="00885068"/>
    <w:rsid w:val="00887981"/>
    <w:rsid w:val="008909CC"/>
    <w:rsid w:val="00891511"/>
    <w:rsid w:val="008A11DE"/>
    <w:rsid w:val="008A2A3F"/>
    <w:rsid w:val="008A2CC5"/>
    <w:rsid w:val="008B0F32"/>
    <w:rsid w:val="008B278B"/>
    <w:rsid w:val="008B3C5C"/>
    <w:rsid w:val="008C6295"/>
    <w:rsid w:val="008E5028"/>
    <w:rsid w:val="008F12EB"/>
    <w:rsid w:val="008F5BB2"/>
    <w:rsid w:val="008F645C"/>
    <w:rsid w:val="008F6683"/>
    <w:rsid w:val="0090661A"/>
    <w:rsid w:val="009066AC"/>
    <w:rsid w:val="00907724"/>
    <w:rsid w:val="00913DEF"/>
    <w:rsid w:val="009149DD"/>
    <w:rsid w:val="00922AF0"/>
    <w:rsid w:val="00934EC8"/>
    <w:rsid w:val="009426F5"/>
    <w:rsid w:val="0094507B"/>
    <w:rsid w:val="00947D07"/>
    <w:rsid w:val="00954950"/>
    <w:rsid w:val="009578D8"/>
    <w:rsid w:val="0096390D"/>
    <w:rsid w:val="00963A12"/>
    <w:rsid w:val="00970DC4"/>
    <w:rsid w:val="00980DD1"/>
    <w:rsid w:val="00987A9B"/>
    <w:rsid w:val="009A001F"/>
    <w:rsid w:val="009B2705"/>
    <w:rsid w:val="009B282D"/>
    <w:rsid w:val="009C460D"/>
    <w:rsid w:val="009D0FB9"/>
    <w:rsid w:val="009D423E"/>
    <w:rsid w:val="009D51B7"/>
    <w:rsid w:val="009D5723"/>
    <w:rsid w:val="009D5FB4"/>
    <w:rsid w:val="009D7C09"/>
    <w:rsid w:val="009E589D"/>
    <w:rsid w:val="009F1FF8"/>
    <w:rsid w:val="009F4572"/>
    <w:rsid w:val="009F65AA"/>
    <w:rsid w:val="00A00EA5"/>
    <w:rsid w:val="00A0341A"/>
    <w:rsid w:val="00A06874"/>
    <w:rsid w:val="00A1001C"/>
    <w:rsid w:val="00A126CD"/>
    <w:rsid w:val="00A137A0"/>
    <w:rsid w:val="00A1743A"/>
    <w:rsid w:val="00A2037A"/>
    <w:rsid w:val="00A31D56"/>
    <w:rsid w:val="00A364F4"/>
    <w:rsid w:val="00A40FC3"/>
    <w:rsid w:val="00A41757"/>
    <w:rsid w:val="00A46774"/>
    <w:rsid w:val="00A608AF"/>
    <w:rsid w:val="00A66484"/>
    <w:rsid w:val="00A74599"/>
    <w:rsid w:val="00A74D88"/>
    <w:rsid w:val="00A86050"/>
    <w:rsid w:val="00A86C02"/>
    <w:rsid w:val="00A87433"/>
    <w:rsid w:val="00AA1689"/>
    <w:rsid w:val="00AA4E00"/>
    <w:rsid w:val="00AA707D"/>
    <w:rsid w:val="00AB065F"/>
    <w:rsid w:val="00AB3498"/>
    <w:rsid w:val="00AB7059"/>
    <w:rsid w:val="00AC15E5"/>
    <w:rsid w:val="00AC37AF"/>
    <w:rsid w:val="00AD04BB"/>
    <w:rsid w:val="00AD144C"/>
    <w:rsid w:val="00AD7E01"/>
    <w:rsid w:val="00AE0C6F"/>
    <w:rsid w:val="00AF4BC2"/>
    <w:rsid w:val="00AF6012"/>
    <w:rsid w:val="00AF634D"/>
    <w:rsid w:val="00B0353F"/>
    <w:rsid w:val="00B04DF9"/>
    <w:rsid w:val="00B163B0"/>
    <w:rsid w:val="00B207D4"/>
    <w:rsid w:val="00B25CA1"/>
    <w:rsid w:val="00B51D74"/>
    <w:rsid w:val="00B55FB0"/>
    <w:rsid w:val="00B57141"/>
    <w:rsid w:val="00B57808"/>
    <w:rsid w:val="00B672FE"/>
    <w:rsid w:val="00B70A8E"/>
    <w:rsid w:val="00B740F6"/>
    <w:rsid w:val="00B745FC"/>
    <w:rsid w:val="00B75197"/>
    <w:rsid w:val="00B75532"/>
    <w:rsid w:val="00B7622A"/>
    <w:rsid w:val="00B802A5"/>
    <w:rsid w:val="00B94234"/>
    <w:rsid w:val="00B95A81"/>
    <w:rsid w:val="00B9663D"/>
    <w:rsid w:val="00BA3178"/>
    <w:rsid w:val="00BA3DBE"/>
    <w:rsid w:val="00BB0083"/>
    <w:rsid w:val="00BB0193"/>
    <w:rsid w:val="00BB6686"/>
    <w:rsid w:val="00BB772D"/>
    <w:rsid w:val="00BC1AB3"/>
    <w:rsid w:val="00BC3FEC"/>
    <w:rsid w:val="00BC7BA5"/>
    <w:rsid w:val="00BF2588"/>
    <w:rsid w:val="00BF3D59"/>
    <w:rsid w:val="00BF422D"/>
    <w:rsid w:val="00BF4DC7"/>
    <w:rsid w:val="00C0106C"/>
    <w:rsid w:val="00C03806"/>
    <w:rsid w:val="00C07DCD"/>
    <w:rsid w:val="00C1007A"/>
    <w:rsid w:val="00C13961"/>
    <w:rsid w:val="00C162BD"/>
    <w:rsid w:val="00C17A79"/>
    <w:rsid w:val="00C21266"/>
    <w:rsid w:val="00C21E54"/>
    <w:rsid w:val="00C23294"/>
    <w:rsid w:val="00C23884"/>
    <w:rsid w:val="00C316DF"/>
    <w:rsid w:val="00C36701"/>
    <w:rsid w:val="00C40F79"/>
    <w:rsid w:val="00C43B16"/>
    <w:rsid w:val="00C478A0"/>
    <w:rsid w:val="00C5568A"/>
    <w:rsid w:val="00C569A6"/>
    <w:rsid w:val="00C6124E"/>
    <w:rsid w:val="00C61E4F"/>
    <w:rsid w:val="00C63813"/>
    <w:rsid w:val="00C718F0"/>
    <w:rsid w:val="00C74154"/>
    <w:rsid w:val="00C95119"/>
    <w:rsid w:val="00C97B43"/>
    <w:rsid w:val="00CA06DA"/>
    <w:rsid w:val="00CA2119"/>
    <w:rsid w:val="00CA5C43"/>
    <w:rsid w:val="00CA63CE"/>
    <w:rsid w:val="00CB0977"/>
    <w:rsid w:val="00CB1726"/>
    <w:rsid w:val="00CB439C"/>
    <w:rsid w:val="00CB4DD7"/>
    <w:rsid w:val="00CB6F80"/>
    <w:rsid w:val="00CB7848"/>
    <w:rsid w:val="00CC0603"/>
    <w:rsid w:val="00CC2BB6"/>
    <w:rsid w:val="00CC331D"/>
    <w:rsid w:val="00CC59F1"/>
    <w:rsid w:val="00CE450F"/>
    <w:rsid w:val="00CE5B4B"/>
    <w:rsid w:val="00CE67CB"/>
    <w:rsid w:val="00CF19C1"/>
    <w:rsid w:val="00CF2458"/>
    <w:rsid w:val="00D04D08"/>
    <w:rsid w:val="00D1473F"/>
    <w:rsid w:val="00D2015A"/>
    <w:rsid w:val="00D26B6E"/>
    <w:rsid w:val="00D316E5"/>
    <w:rsid w:val="00D36FDF"/>
    <w:rsid w:val="00D37B69"/>
    <w:rsid w:val="00D37FE2"/>
    <w:rsid w:val="00D47501"/>
    <w:rsid w:val="00D55B70"/>
    <w:rsid w:val="00D60F94"/>
    <w:rsid w:val="00D63BC4"/>
    <w:rsid w:val="00D70293"/>
    <w:rsid w:val="00D70B6E"/>
    <w:rsid w:val="00D7636D"/>
    <w:rsid w:val="00D9266A"/>
    <w:rsid w:val="00D932DF"/>
    <w:rsid w:val="00D937FF"/>
    <w:rsid w:val="00D93F67"/>
    <w:rsid w:val="00D95A8E"/>
    <w:rsid w:val="00DA5505"/>
    <w:rsid w:val="00DA70A9"/>
    <w:rsid w:val="00DB4DB6"/>
    <w:rsid w:val="00DC4FB4"/>
    <w:rsid w:val="00DC5810"/>
    <w:rsid w:val="00DC7258"/>
    <w:rsid w:val="00DE3487"/>
    <w:rsid w:val="00DE5362"/>
    <w:rsid w:val="00DE71C8"/>
    <w:rsid w:val="00DF1F09"/>
    <w:rsid w:val="00DF6332"/>
    <w:rsid w:val="00E23728"/>
    <w:rsid w:val="00E34639"/>
    <w:rsid w:val="00E34CF2"/>
    <w:rsid w:val="00E430C9"/>
    <w:rsid w:val="00E45B4A"/>
    <w:rsid w:val="00E514B8"/>
    <w:rsid w:val="00E625AA"/>
    <w:rsid w:val="00E63D11"/>
    <w:rsid w:val="00E709B8"/>
    <w:rsid w:val="00E7389D"/>
    <w:rsid w:val="00E7705F"/>
    <w:rsid w:val="00E823F8"/>
    <w:rsid w:val="00E91AC1"/>
    <w:rsid w:val="00EA2C1D"/>
    <w:rsid w:val="00EB0932"/>
    <w:rsid w:val="00EB17DD"/>
    <w:rsid w:val="00EC54BA"/>
    <w:rsid w:val="00EC719A"/>
    <w:rsid w:val="00ED3BB2"/>
    <w:rsid w:val="00ED43C2"/>
    <w:rsid w:val="00ED475E"/>
    <w:rsid w:val="00EE750F"/>
    <w:rsid w:val="00EF0329"/>
    <w:rsid w:val="00EF3781"/>
    <w:rsid w:val="00EF4743"/>
    <w:rsid w:val="00F1416C"/>
    <w:rsid w:val="00F26A41"/>
    <w:rsid w:val="00F3086F"/>
    <w:rsid w:val="00F308A8"/>
    <w:rsid w:val="00F43A2A"/>
    <w:rsid w:val="00F518C6"/>
    <w:rsid w:val="00F56F58"/>
    <w:rsid w:val="00F61409"/>
    <w:rsid w:val="00F72F2A"/>
    <w:rsid w:val="00F77FEF"/>
    <w:rsid w:val="00F84B46"/>
    <w:rsid w:val="00F85A22"/>
    <w:rsid w:val="00F87C8A"/>
    <w:rsid w:val="00FA4F99"/>
    <w:rsid w:val="00FA5C79"/>
    <w:rsid w:val="00FB0280"/>
    <w:rsid w:val="00FB66E9"/>
    <w:rsid w:val="00FC2B99"/>
    <w:rsid w:val="00FD3957"/>
    <w:rsid w:val="00FF0382"/>
    <w:rsid w:val="00FF1203"/>
    <w:rsid w:val="00FF1DB2"/>
    <w:rsid w:val="00FF7F80"/>
    <w:rsid w:val="111955AF"/>
    <w:rsid w:val="1DE054AC"/>
    <w:rsid w:val="251B5024"/>
    <w:rsid w:val="2A1E66CF"/>
    <w:rsid w:val="353F6B0B"/>
    <w:rsid w:val="45FD3630"/>
    <w:rsid w:val="4D296BB5"/>
    <w:rsid w:val="4F052607"/>
    <w:rsid w:val="57C3757A"/>
    <w:rsid w:val="594D353A"/>
    <w:rsid w:val="714143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uiPriority="0" w:unhideWhenUsed="0" w:qFormat="1"/>
    <w:lsdException w:name="header" w:semiHidden="0" w:qFormat="1"/>
    <w:lsdException w:name="footer" w:semiHidden="0" w:uiPriority="0" w:qFormat="1"/>
    <w:lsdException w:name="caption" w:uiPriority="35" w:qFormat="1"/>
    <w:lsdException w:name="annotation reference" w:semiHidden="0" w:uiPriority="0" w:qFormat="1"/>
    <w:lsdException w:name="page number"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Table" w:qFormat="1"/>
    <w:lsdException w:name="annotation subject" w:uiPriority="0" w:unhideWhenUsed="0" w:qFormat="1"/>
    <w:lsdException w:name="Balloon Text" w:semiHidden="0"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6EC"/>
    <w:pPr>
      <w:widowControl w:val="0"/>
      <w:jc w:val="both"/>
    </w:pPr>
    <w:rPr>
      <w:kern w:val="2"/>
      <w:sz w:val="21"/>
    </w:rPr>
  </w:style>
  <w:style w:type="paragraph" w:styleId="1">
    <w:name w:val="heading 1"/>
    <w:basedOn w:val="a"/>
    <w:next w:val="a"/>
    <w:link w:val="1Char"/>
    <w:qFormat/>
    <w:rsid w:val="001C06EC"/>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1C06EC"/>
    <w:pPr>
      <w:keepNext/>
      <w:keepLines/>
      <w:spacing w:before="100" w:beforeAutospacing="1" w:line="360" w:lineRule="auto"/>
      <w:ind w:firstLineChars="200" w:firstLine="200"/>
      <w:outlineLvl w:val="1"/>
    </w:pPr>
    <w:rPr>
      <w:rFonts w:ascii="Arial" w:hAnsi="Arial"/>
      <w:b/>
      <w:bCs/>
      <w:sz w:val="24"/>
      <w:szCs w:val="32"/>
    </w:rPr>
  </w:style>
  <w:style w:type="paragraph" w:styleId="3">
    <w:name w:val="heading 3"/>
    <w:basedOn w:val="a"/>
    <w:next w:val="a"/>
    <w:link w:val="3Char"/>
    <w:qFormat/>
    <w:rsid w:val="001C06EC"/>
    <w:pPr>
      <w:keepNext/>
      <w:keepLines/>
      <w:spacing w:before="260" w:after="260" w:line="416" w:lineRule="auto"/>
      <w:outlineLvl w:val="2"/>
    </w:pPr>
    <w:rPr>
      <w:rFonts w:eastAsia="仿宋_GB2312"/>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qFormat/>
    <w:rsid w:val="001C06EC"/>
    <w:rPr>
      <w:b/>
      <w:bCs/>
    </w:rPr>
  </w:style>
  <w:style w:type="paragraph" w:styleId="a4">
    <w:name w:val="annotation text"/>
    <w:basedOn w:val="a"/>
    <w:link w:val="Char0"/>
    <w:semiHidden/>
    <w:qFormat/>
    <w:rsid w:val="001C06EC"/>
    <w:pPr>
      <w:jc w:val="left"/>
    </w:pPr>
    <w:rPr>
      <w:szCs w:val="24"/>
    </w:rPr>
  </w:style>
  <w:style w:type="paragraph" w:styleId="a5">
    <w:name w:val="Normal Indent"/>
    <w:basedOn w:val="a"/>
    <w:link w:val="Char1"/>
    <w:qFormat/>
    <w:rsid w:val="001C06EC"/>
    <w:pPr>
      <w:snapToGrid w:val="0"/>
      <w:spacing w:line="300" w:lineRule="auto"/>
      <w:ind w:firstLine="556"/>
    </w:pPr>
    <w:rPr>
      <w:rFonts w:ascii="仿宋_GB2312" w:eastAsia="仿宋_GB2312"/>
      <w:sz w:val="28"/>
    </w:rPr>
  </w:style>
  <w:style w:type="paragraph" w:styleId="a6">
    <w:name w:val="Document Map"/>
    <w:basedOn w:val="a"/>
    <w:link w:val="Char2"/>
    <w:qFormat/>
    <w:rsid w:val="001C06EC"/>
    <w:rPr>
      <w:rFonts w:ascii="宋体"/>
      <w:sz w:val="18"/>
      <w:szCs w:val="18"/>
    </w:rPr>
  </w:style>
  <w:style w:type="paragraph" w:styleId="30">
    <w:name w:val="Body Text 3"/>
    <w:basedOn w:val="a"/>
    <w:link w:val="3Char0"/>
    <w:qFormat/>
    <w:rsid w:val="001C06EC"/>
    <w:rPr>
      <w:rFonts w:ascii="宋体" w:hAnsi="Courier New"/>
      <w:sz w:val="28"/>
    </w:rPr>
  </w:style>
  <w:style w:type="paragraph" w:styleId="a7">
    <w:name w:val="Body Text"/>
    <w:basedOn w:val="a"/>
    <w:link w:val="Char3"/>
    <w:qFormat/>
    <w:rsid w:val="001C06EC"/>
    <w:pPr>
      <w:spacing w:line="340" w:lineRule="atLeast"/>
    </w:pPr>
    <w:rPr>
      <w:sz w:val="30"/>
    </w:rPr>
  </w:style>
  <w:style w:type="paragraph" w:styleId="a8">
    <w:name w:val="Body Text Indent"/>
    <w:basedOn w:val="a"/>
    <w:link w:val="Char4"/>
    <w:qFormat/>
    <w:rsid w:val="001C06EC"/>
    <w:pPr>
      <w:spacing w:line="340" w:lineRule="atLeast"/>
      <w:ind w:firstLine="600"/>
    </w:pPr>
    <w:rPr>
      <w:sz w:val="30"/>
    </w:rPr>
  </w:style>
  <w:style w:type="paragraph" w:styleId="31">
    <w:name w:val="toc 3"/>
    <w:basedOn w:val="a"/>
    <w:next w:val="a"/>
    <w:uiPriority w:val="39"/>
    <w:qFormat/>
    <w:rsid w:val="001C06EC"/>
    <w:pPr>
      <w:tabs>
        <w:tab w:val="right" w:leader="dot" w:pos="9639"/>
      </w:tabs>
      <w:spacing w:line="360" w:lineRule="auto"/>
      <w:ind w:leftChars="129" w:left="470" w:hangingChars="71" w:hanging="199"/>
    </w:pPr>
    <w:rPr>
      <w:rFonts w:eastAsia="仿宋_GB2312"/>
      <w:sz w:val="28"/>
      <w:szCs w:val="24"/>
    </w:rPr>
  </w:style>
  <w:style w:type="paragraph" w:styleId="a9">
    <w:name w:val="Plain Text"/>
    <w:basedOn w:val="a"/>
    <w:link w:val="Char5"/>
    <w:qFormat/>
    <w:rsid w:val="001C06EC"/>
    <w:rPr>
      <w:rFonts w:ascii="宋体" w:hAnsi="Courier New"/>
    </w:rPr>
  </w:style>
  <w:style w:type="paragraph" w:styleId="aa">
    <w:name w:val="Date"/>
    <w:basedOn w:val="a"/>
    <w:next w:val="a"/>
    <w:link w:val="Char6"/>
    <w:qFormat/>
    <w:rsid w:val="001C06EC"/>
    <w:rPr>
      <w:rFonts w:ascii="黑体" w:eastAsia="黑体"/>
      <w:sz w:val="44"/>
    </w:rPr>
  </w:style>
  <w:style w:type="paragraph" w:styleId="20">
    <w:name w:val="Body Text Indent 2"/>
    <w:basedOn w:val="a"/>
    <w:link w:val="2Char0"/>
    <w:qFormat/>
    <w:rsid w:val="001C06EC"/>
    <w:pPr>
      <w:spacing w:line="360" w:lineRule="auto"/>
      <w:ind w:firstLineChars="200" w:firstLine="560"/>
    </w:pPr>
    <w:rPr>
      <w:rFonts w:ascii="宋体"/>
      <w:sz w:val="28"/>
      <w:szCs w:val="24"/>
    </w:rPr>
  </w:style>
  <w:style w:type="paragraph" w:styleId="ab">
    <w:name w:val="Balloon Text"/>
    <w:basedOn w:val="a"/>
    <w:link w:val="Char7"/>
    <w:unhideWhenUsed/>
    <w:qFormat/>
    <w:rsid w:val="001C06EC"/>
    <w:rPr>
      <w:sz w:val="18"/>
      <w:szCs w:val="18"/>
    </w:rPr>
  </w:style>
  <w:style w:type="paragraph" w:styleId="ac">
    <w:name w:val="footer"/>
    <w:basedOn w:val="a"/>
    <w:link w:val="Char8"/>
    <w:unhideWhenUsed/>
    <w:qFormat/>
    <w:rsid w:val="001C06EC"/>
    <w:pPr>
      <w:tabs>
        <w:tab w:val="center" w:pos="4153"/>
        <w:tab w:val="right" w:pos="8306"/>
      </w:tabs>
      <w:snapToGrid w:val="0"/>
      <w:jc w:val="left"/>
    </w:pPr>
    <w:rPr>
      <w:sz w:val="18"/>
      <w:szCs w:val="18"/>
    </w:rPr>
  </w:style>
  <w:style w:type="paragraph" w:styleId="ad">
    <w:name w:val="header"/>
    <w:basedOn w:val="a"/>
    <w:link w:val="Char9"/>
    <w:uiPriority w:val="99"/>
    <w:unhideWhenUsed/>
    <w:qFormat/>
    <w:rsid w:val="001C06EC"/>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1C06EC"/>
    <w:pPr>
      <w:tabs>
        <w:tab w:val="right" w:leader="dot" w:pos="8296"/>
      </w:tabs>
      <w:spacing w:line="360" w:lineRule="auto"/>
    </w:pPr>
    <w:rPr>
      <w:b/>
      <w:sz w:val="24"/>
    </w:rPr>
  </w:style>
  <w:style w:type="paragraph" w:styleId="32">
    <w:name w:val="Body Text Indent 3"/>
    <w:basedOn w:val="a"/>
    <w:link w:val="3Char1"/>
    <w:qFormat/>
    <w:rsid w:val="001C06EC"/>
    <w:pPr>
      <w:spacing w:line="480" w:lineRule="exact"/>
      <w:ind w:firstLineChars="180" w:firstLine="504"/>
    </w:pPr>
    <w:rPr>
      <w:rFonts w:ascii="仿宋_GB2312" w:eastAsia="仿宋_GB2312" w:hAnsi="宋体"/>
      <w:sz w:val="28"/>
    </w:rPr>
  </w:style>
  <w:style w:type="paragraph" w:styleId="21">
    <w:name w:val="toc 2"/>
    <w:basedOn w:val="a"/>
    <w:next w:val="a"/>
    <w:uiPriority w:val="39"/>
    <w:unhideWhenUsed/>
    <w:qFormat/>
    <w:rsid w:val="001C06EC"/>
    <w:pPr>
      <w:tabs>
        <w:tab w:val="right" w:leader="dot" w:pos="8296"/>
      </w:tabs>
      <w:spacing w:line="360" w:lineRule="auto"/>
      <w:ind w:leftChars="200" w:left="420"/>
    </w:pPr>
    <w:rPr>
      <w:sz w:val="24"/>
    </w:rPr>
  </w:style>
  <w:style w:type="character" w:styleId="ae">
    <w:name w:val="page number"/>
    <w:basedOn w:val="a0"/>
    <w:qFormat/>
    <w:rsid w:val="001C06EC"/>
  </w:style>
  <w:style w:type="character" w:styleId="af">
    <w:name w:val="Hyperlink"/>
    <w:basedOn w:val="a0"/>
    <w:uiPriority w:val="99"/>
    <w:unhideWhenUsed/>
    <w:qFormat/>
    <w:rsid w:val="001C06EC"/>
    <w:rPr>
      <w:color w:val="0000FF" w:themeColor="hyperlink"/>
      <w:u w:val="single"/>
    </w:rPr>
  </w:style>
  <w:style w:type="character" w:styleId="af0">
    <w:name w:val="annotation reference"/>
    <w:basedOn w:val="a0"/>
    <w:unhideWhenUsed/>
    <w:qFormat/>
    <w:rsid w:val="001C06EC"/>
    <w:rPr>
      <w:sz w:val="21"/>
      <w:szCs w:val="21"/>
    </w:rPr>
  </w:style>
  <w:style w:type="character" w:customStyle="1" w:styleId="1Char">
    <w:name w:val="标题 1 Char"/>
    <w:basedOn w:val="a0"/>
    <w:link w:val="1"/>
    <w:qFormat/>
    <w:rsid w:val="001C06EC"/>
    <w:rPr>
      <w:rFonts w:ascii="Times New Roman" w:eastAsia="宋体" w:hAnsi="Times New Roman" w:cs="Times New Roman"/>
      <w:b/>
      <w:bCs/>
      <w:kern w:val="44"/>
      <w:sz w:val="44"/>
      <w:szCs w:val="44"/>
    </w:rPr>
  </w:style>
  <w:style w:type="character" w:customStyle="1" w:styleId="2Char">
    <w:name w:val="标题 2 Char"/>
    <w:basedOn w:val="a0"/>
    <w:link w:val="2"/>
    <w:qFormat/>
    <w:rsid w:val="001C06EC"/>
    <w:rPr>
      <w:rFonts w:ascii="Arial" w:eastAsia="宋体" w:hAnsi="Arial" w:cs="Times New Roman"/>
      <w:b/>
      <w:bCs/>
      <w:sz w:val="24"/>
      <w:szCs w:val="32"/>
    </w:rPr>
  </w:style>
  <w:style w:type="character" w:customStyle="1" w:styleId="3Char">
    <w:name w:val="标题 3 Char"/>
    <w:basedOn w:val="a0"/>
    <w:link w:val="3"/>
    <w:qFormat/>
    <w:rsid w:val="001C06EC"/>
    <w:rPr>
      <w:rFonts w:ascii="Times New Roman" w:eastAsia="仿宋_GB2312" w:hAnsi="Times New Roman" w:cs="Times New Roman"/>
      <w:b/>
      <w:bCs/>
      <w:sz w:val="32"/>
      <w:szCs w:val="32"/>
    </w:rPr>
  </w:style>
  <w:style w:type="character" w:customStyle="1" w:styleId="Char7">
    <w:name w:val="批注框文本 Char"/>
    <w:basedOn w:val="a0"/>
    <w:link w:val="ab"/>
    <w:semiHidden/>
    <w:qFormat/>
    <w:rsid w:val="001C06EC"/>
    <w:rPr>
      <w:sz w:val="18"/>
      <w:szCs w:val="18"/>
    </w:rPr>
  </w:style>
  <w:style w:type="character" w:customStyle="1" w:styleId="Char9">
    <w:name w:val="页眉 Char"/>
    <w:basedOn w:val="a0"/>
    <w:link w:val="ad"/>
    <w:uiPriority w:val="99"/>
    <w:qFormat/>
    <w:rsid w:val="001C06EC"/>
    <w:rPr>
      <w:sz w:val="18"/>
      <w:szCs w:val="18"/>
    </w:rPr>
  </w:style>
  <w:style w:type="character" w:customStyle="1" w:styleId="Char8">
    <w:name w:val="页脚 Char"/>
    <w:basedOn w:val="a0"/>
    <w:link w:val="ac"/>
    <w:qFormat/>
    <w:rsid w:val="001C06EC"/>
    <w:rPr>
      <w:sz w:val="18"/>
      <w:szCs w:val="18"/>
    </w:rPr>
  </w:style>
  <w:style w:type="paragraph" w:customStyle="1" w:styleId="TOC1">
    <w:name w:val="TOC 标题1"/>
    <w:basedOn w:val="1"/>
    <w:next w:val="a"/>
    <w:uiPriority w:val="39"/>
    <w:unhideWhenUsed/>
    <w:qFormat/>
    <w:rsid w:val="001C06EC"/>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5">
    <w:name w:val="纯文本 Char"/>
    <w:basedOn w:val="a0"/>
    <w:link w:val="a9"/>
    <w:qFormat/>
    <w:rsid w:val="001C06EC"/>
    <w:rPr>
      <w:rFonts w:ascii="宋体" w:eastAsia="宋体" w:hAnsi="Courier New" w:cs="Times New Roman"/>
      <w:szCs w:val="20"/>
    </w:rPr>
  </w:style>
  <w:style w:type="paragraph" w:customStyle="1" w:styleId="xl30">
    <w:name w:val="xl30"/>
    <w:basedOn w:val="a"/>
    <w:qFormat/>
    <w:rsid w:val="001C06E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kern w:val="0"/>
      <w:sz w:val="24"/>
      <w:szCs w:val="24"/>
    </w:rPr>
  </w:style>
  <w:style w:type="character" w:customStyle="1" w:styleId="2Char0">
    <w:name w:val="正文文本缩进 2 Char"/>
    <w:basedOn w:val="a0"/>
    <w:link w:val="20"/>
    <w:qFormat/>
    <w:rsid w:val="001C06EC"/>
    <w:rPr>
      <w:rFonts w:ascii="宋体" w:eastAsia="宋体" w:hAnsi="Times New Roman" w:cs="Times New Roman"/>
      <w:sz w:val="28"/>
      <w:szCs w:val="24"/>
    </w:rPr>
  </w:style>
  <w:style w:type="character" w:customStyle="1" w:styleId="Char4">
    <w:name w:val="正文文本缩进 Char"/>
    <w:basedOn w:val="a0"/>
    <w:link w:val="a8"/>
    <w:qFormat/>
    <w:rsid w:val="001C06EC"/>
    <w:rPr>
      <w:rFonts w:ascii="Times New Roman" w:eastAsia="宋体" w:hAnsi="Times New Roman" w:cs="Times New Roman"/>
      <w:sz w:val="30"/>
      <w:szCs w:val="20"/>
    </w:rPr>
  </w:style>
  <w:style w:type="character" w:customStyle="1" w:styleId="Char3">
    <w:name w:val="正文文本 Char"/>
    <w:basedOn w:val="a0"/>
    <w:link w:val="a7"/>
    <w:qFormat/>
    <w:rsid w:val="001C06EC"/>
    <w:rPr>
      <w:rFonts w:ascii="Times New Roman" w:eastAsia="宋体" w:hAnsi="Times New Roman" w:cs="Times New Roman"/>
      <w:sz w:val="30"/>
      <w:szCs w:val="20"/>
    </w:rPr>
  </w:style>
  <w:style w:type="character" w:customStyle="1" w:styleId="Char6">
    <w:name w:val="日期 Char"/>
    <w:basedOn w:val="a0"/>
    <w:link w:val="aa"/>
    <w:qFormat/>
    <w:rsid w:val="001C06EC"/>
    <w:rPr>
      <w:rFonts w:ascii="黑体" w:eastAsia="黑体" w:hAnsi="Times New Roman" w:cs="Times New Roman"/>
      <w:sz w:val="44"/>
      <w:szCs w:val="20"/>
    </w:rPr>
  </w:style>
  <w:style w:type="paragraph" w:customStyle="1" w:styleId="210">
    <w:name w:val="正文文本缩进 21"/>
    <w:basedOn w:val="a"/>
    <w:qFormat/>
    <w:rsid w:val="001C06EC"/>
    <w:pPr>
      <w:adjustRightInd w:val="0"/>
      <w:ind w:firstLine="570"/>
      <w:textAlignment w:val="baseline"/>
    </w:pPr>
    <w:rPr>
      <w:rFonts w:ascii="宋体"/>
      <w:sz w:val="28"/>
    </w:rPr>
  </w:style>
  <w:style w:type="character" w:customStyle="1" w:styleId="3Char0">
    <w:name w:val="正文文本 3 Char"/>
    <w:basedOn w:val="a0"/>
    <w:link w:val="30"/>
    <w:qFormat/>
    <w:rsid w:val="001C06EC"/>
    <w:rPr>
      <w:rFonts w:ascii="宋体" w:eastAsia="宋体" w:hAnsi="Courier New" w:cs="Times New Roman"/>
      <w:sz w:val="28"/>
      <w:szCs w:val="20"/>
    </w:rPr>
  </w:style>
  <w:style w:type="character" w:customStyle="1" w:styleId="3Char1">
    <w:name w:val="正文文本缩进 3 Char"/>
    <w:basedOn w:val="a0"/>
    <w:link w:val="32"/>
    <w:qFormat/>
    <w:rsid w:val="001C06EC"/>
    <w:rPr>
      <w:rFonts w:ascii="仿宋_GB2312" w:eastAsia="仿宋_GB2312" w:hAnsi="宋体" w:cs="Times New Roman"/>
      <w:sz w:val="28"/>
      <w:szCs w:val="20"/>
    </w:rPr>
  </w:style>
  <w:style w:type="paragraph" w:customStyle="1" w:styleId="Chara">
    <w:name w:val="Char"/>
    <w:basedOn w:val="a"/>
    <w:qFormat/>
    <w:rsid w:val="001C06EC"/>
    <w:rPr>
      <w:rFonts w:ascii="Tahoma" w:hAnsi="Tahoma"/>
      <w:sz w:val="24"/>
    </w:rPr>
  </w:style>
  <w:style w:type="character" w:customStyle="1" w:styleId="Char0">
    <w:name w:val="批注文字 Char"/>
    <w:basedOn w:val="a0"/>
    <w:link w:val="a4"/>
    <w:semiHidden/>
    <w:qFormat/>
    <w:rsid w:val="001C06EC"/>
    <w:rPr>
      <w:rFonts w:ascii="Times New Roman" w:eastAsia="宋体" w:hAnsi="Times New Roman" w:cs="Times New Roman"/>
      <w:szCs w:val="24"/>
    </w:rPr>
  </w:style>
  <w:style w:type="character" w:customStyle="1" w:styleId="Char">
    <w:name w:val="批注主题 Char"/>
    <w:basedOn w:val="Char0"/>
    <w:link w:val="a3"/>
    <w:semiHidden/>
    <w:qFormat/>
    <w:rsid w:val="001C06EC"/>
    <w:rPr>
      <w:rFonts w:ascii="Times New Roman" w:eastAsia="宋体" w:hAnsi="Times New Roman" w:cs="Times New Roman"/>
      <w:b/>
      <w:bCs/>
      <w:szCs w:val="24"/>
    </w:rPr>
  </w:style>
  <w:style w:type="paragraph" w:customStyle="1" w:styleId="CharCharChar1Char">
    <w:name w:val="Char Char Char1 Char"/>
    <w:basedOn w:val="a"/>
    <w:qFormat/>
    <w:rsid w:val="001C06EC"/>
    <w:rPr>
      <w:rFonts w:ascii="Tahoma" w:hAnsi="Tahoma"/>
      <w:sz w:val="24"/>
    </w:rPr>
  </w:style>
  <w:style w:type="paragraph" w:customStyle="1" w:styleId="H1">
    <w:name w:val="H1"/>
    <w:basedOn w:val="1"/>
    <w:qFormat/>
    <w:rsid w:val="001C06EC"/>
    <w:pPr>
      <w:keepNext w:val="0"/>
      <w:keepLines w:val="0"/>
      <w:widowControl/>
      <w:adjustRightInd w:val="0"/>
      <w:spacing w:before="240" w:after="240" w:line="360" w:lineRule="atLeast"/>
      <w:ind w:right="57"/>
      <w:jc w:val="center"/>
      <w:textAlignment w:val="baseline"/>
      <w:outlineLvl w:val="9"/>
    </w:pPr>
    <w:rPr>
      <w:rFonts w:ascii="黑体" w:eastAsia="黑体"/>
      <w:bCs w:val="0"/>
      <w:kern w:val="0"/>
      <w:sz w:val="30"/>
      <w:szCs w:val="20"/>
    </w:rPr>
  </w:style>
  <w:style w:type="character" w:customStyle="1" w:styleId="Charb">
    <w:name w:val="普通文字 Char"/>
    <w:basedOn w:val="a0"/>
    <w:qFormat/>
    <w:rsid w:val="001C06EC"/>
    <w:rPr>
      <w:rFonts w:ascii="宋体" w:eastAsia="宋体" w:hAnsi="Courier New"/>
      <w:kern w:val="2"/>
      <w:sz w:val="21"/>
      <w:lang w:val="en-US" w:eastAsia="zh-CN" w:bidi="ar-SA"/>
    </w:rPr>
  </w:style>
  <w:style w:type="paragraph" w:customStyle="1" w:styleId="CharCharCharCharCharCharCharCharCharCharCharCharChar">
    <w:name w:val="Char Char Char Char Char Char Char Char Char Char Char Char Char"/>
    <w:basedOn w:val="a"/>
    <w:qFormat/>
    <w:rsid w:val="001C06EC"/>
    <w:rPr>
      <w:rFonts w:ascii="Tahoma" w:hAnsi="Tahoma"/>
      <w:sz w:val="24"/>
    </w:rPr>
  </w:style>
  <w:style w:type="character" w:customStyle="1" w:styleId="Char2">
    <w:name w:val="文档结构图 Char"/>
    <w:basedOn w:val="a0"/>
    <w:link w:val="a6"/>
    <w:qFormat/>
    <w:rsid w:val="001C06EC"/>
    <w:rPr>
      <w:rFonts w:ascii="宋体" w:eastAsia="宋体" w:hAnsi="Times New Roman" w:cs="Times New Roman"/>
      <w:sz w:val="18"/>
      <w:szCs w:val="18"/>
    </w:rPr>
  </w:style>
  <w:style w:type="paragraph" w:customStyle="1" w:styleId="CharCharCharCharCharCharChar">
    <w:name w:val="Char Char Char Char Char Char Char"/>
    <w:basedOn w:val="a"/>
    <w:qFormat/>
    <w:rsid w:val="001C06EC"/>
    <w:rPr>
      <w:rFonts w:ascii="Tahoma" w:eastAsia="仿宋_GB2312"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1C06EC"/>
    <w:rPr>
      <w:rFonts w:ascii="Tahoma" w:eastAsia="仿宋_GB2312" w:hAnsi="Tahoma"/>
      <w:sz w:val="24"/>
    </w:rPr>
  </w:style>
  <w:style w:type="paragraph" w:styleId="af1">
    <w:name w:val="List Paragraph"/>
    <w:basedOn w:val="a"/>
    <w:qFormat/>
    <w:rsid w:val="001C06EC"/>
    <w:pPr>
      <w:ind w:firstLineChars="200" w:firstLine="420"/>
    </w:pPr>
  </w:style>
  <w:style w:type="character" w:customStyle="1" w:styleId="Char1">
    <w:name w:val="正文缩进 Char"/>
    <w:link w:val="a5"/>
    <w:qFormat/>
    <w:rsid w:val="001C06EC"/>
    <w:rPr>
      <w:rFonts w:ascii="仿宋_GB2312" w:eastAsia="仿宋_GB2312" w:hAnsi="Times New Roman" w:cs="Times New Roman"/>
      <w:kern w:val="2"/>
      <w:sz w:val="28"/>
    </w:rPr>
  </w:style>
  <w:style w:type="character" w:customStyle="1" w:styleId="font61">
    <w:name w:val="font61"/>
    <w:basedOn w:val="a0"/>
    <w:qFormat/>
    <w:rsid w:val="001C06EC"/>
    <w:rPr>
      <w:rFonts w:ascii="Times New Roman" w:hAnsi="Times New Roman" w:cs="Times New Roman" w:hint="default"/>
      <w:b/>
      <w:color w:val="000000"/>
      <w:sz w:val="18"/>
      <w:szCs w:val="18"/>
      <w:u w:val="none"/>
    </w:rPr>
  </w:style>
  <w:style w:type="character" w:customStyle="1" w:styleId="font31">
    <w:name w:val="font31"/>
    <w:basedOn w:val="a0"/>
    <w:qFormat/>
    <w:rsid w:val="001C06EC"/>
    <w:rPr>
      <w:rFonts w:ascii="仿宋_GB2312" w:eastAsia="仿宋_GB2312" w:cs="仿宋_GB2312" w:hint="default"/>
      <w:b/>
      <w:color w:val="000000"/>
      <w:sz w:val="18"/>
      <w:szCs w:val="18"/>
      <w:u w:val="none"/>
    </w:rPr>
  </w:style>
  <w:style w:type="character" w:customStyle="1" w:styleId="font51">
    <w:name w:val="font51"/>
    <w:basedOn w:val="a0"/>
    <w:qFormat/>
    <w:rsid w:val="001C06EC"/>
    <w:rPr>
      <w:rFonts w:ascii="Times New Roman" w:hAnsi="Times New Roman" w:cs="Times New Roman" w:hint="default"/>
      <w:b/>
      <w:color w:val="000000"/>
      <w:sz w:val="18"/>
      <w:szCs w:val="18"/>
      <w:u w:val="none"/>
    </w:rPr>
  </w:style>
  <w:style w:type="character" w:customStyle="1" w:styleId="font81">
    <w:name w:val="font81"/>
    <w:basedOn w:val="a0"/>
    <w:qFormat/>
    <w:rsid w:val="001C06EC"/>
    <w:rPr>
      <w:rFonts w:ascii="Times New Roman" w:hAnsi="Times New Roman" w:cs="Times New Roman" w:hint="default"/>
      <w:b/>
      <w:color w:val="000000"/>
      <w:sz w:val="18"/>
      <w:szCs w:val="18"/>
      <w:u w:val="none"/>
      <w:vertAlign w:val="superscript"/>
    </w:rPr>
  </w:style>
  <w:style w:type="character" w:customStyle="1" w:styleId="font11">
    <w:name w:val="font11"/>
    <w:basedOn w:val="a0"/>
    <w:rsid w:val="001C06EC"/>
    <w:rPr>
      <w:rFonts w:ascii="Times New Roman" w:hAnsi="Times New Roman" w:cs="Times New Roman" w:hint="default"/>
      <w:b/>
      <w:color w:val="000000"/>
      <w:sz w:val="18"/>
      <w:szCs w:val="1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CCA96B9A-F645-4393-ACFA-631CEE8B92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3566</Words>
  <Characters>4102</Characters>
  <Application>Microsoft Office Word</Application>
  <DocSecurity>0</DocSecurity>
  <Lines>227</Lines>
  <Paragraphs>178</Paragraphs>
  <ScaleCrop>false</ScaleCrop>
  <Company>微软中国</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张志华</dc:creator>
  <cp:lastModifiedBy>张培荣</cp:lastModifiedBy>
  <cp:revision>2</cp:revision>
  <cp:lastPrinted>2018-12-12T02:49:00Z</cp:lastPrinted>
  <dcterms:created xsi:type="dcterms:W3CDTF">2019-03-06T01:41:00Z</dcterms:created>
  <dcterms:modified xsi:type="dcterms:W3CDTF">2019-03-06T01:41:00Z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