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044" w:firstLineChars="200"/>
        <w:rPr>
          <w:rFonts w:ascii="楷体_GB2312" w:eastAsia="楷体_GB2312"/>
          <w:b/>
          <w:color w:val="000000" w:themeColor="text1"/>
          <w:sz w:val="52"/>
        </w:rPr>
      </w:pPr>
      <w:r>
        <w:rPr>
          <w:rFonts w:hint="eastAsia" w:ascii="楷体_GB2312" w:eastAsia="楷体_GB2312"/>
          <w:b/>
          <w:color w:val="000000" w:themeColor="text1"/>
          <w:sz w:val="52"/>
        </w:rPr>
        <w:t>　　　</w:t>
      </w:r>
    </w:p>
    <w:p>
      <w:pPr>
        <w:jc w:val="center"/>
        <w:rPr>
          <w:rFonts w:ascii="仿宋_GB2312" w:eastAsia="仿宋_GB2312"/>
          <w:b/>
          <w:color w:val="000000" w:themeColor="text1"/>
          <w:sz w:val="72"/>
          <w:szCs w:val="72"/>
        </w:rPr>
      </w:pPr>
    </w:p>
    <w:p>
      <w:pPr>
        <w:jc w:val="center"/>
        <w:rPr>
          <w:rFonts w:ascii="仿宋_GB2312" w:eastAsia="仿宋_GB2312"/>
          <w:b/>
          <w:color w:val="000000" w:themeColor="text1"/>
          <w:sz w:val="72"/>
          <w:szCs w:val="72"/>
        </w:rPr>
      </w:pPr>
      <w:r>
        <w:rPr>
          <w:rFonts w:hint="eastAsia" w:ascii="仿宋_GB2312" w:eastAsia="仿宋_GB2312"/>
          <w:b/>
          <w:color w:val="000000" w:themeColor="text1"/>
          <w:sz w:val="72"/>
          <w:szCs w:val="72"/>
        </w:rPr>
        <w:t>房 地 产 估 价 报 告</w:t>
      </w:r>
    </w:p>
    <w:p>
      <w:pPr>
        <w:spacing w:line="600" w:lineRule="exact"/>
        <w:rPr>
          <w:rFonts w:ascii="楷体_GB2312" w:eastAsia="楷体_GB2312"/>
          <w:color w:val="000000" w:themeColor="text1"/>
          <w:sz w:val="72"/>
          <w:szCs w:val="72"/>
        </w:rPr>
      </w:pPr>
      <w:r>
        <w:rPr>
          <w:rFonts w:ascii="楷体_GB2312" w:eastAsia="楷体_GB2312"/>
          <w:color w:val="000000" w:themeColor="text1"/>
          <w:sz w:val="72"/>
          <w:szCs w:val="72"/>
        </w:rPr>
        <w:t>　</w:t>
      </w:r>
    </w:p>
    <w:p>
      <w:pPr>
        <w:spacing w:line="600" w:lineRule="exact"/>
        <w:rPr>
          <w:rFonts w:ascii="楷体_GB2312" w:eastAsia="楷体_GB2312"/>
          <w:color w:val="000000" w:themeColor="text1"/>
          <w:sz w:val="32"/>
        </w:rPr>
      </w:pPr>
    </w:p>
    <w:p>
      <w:pPr>
        <w:snapToGrid w:val="0"/>
        <w:spacing w:line="700" w:lineRule="exact"/>
        <w:ind w:left="2325" w:leftChars="304" w:hanging="1687" w:hangingChars="525"/>
        <w:rPr>
          <w:rFonts w:ascii="仿宋_GB2312" w:eastAsia="仿宋_GB2312"/>
          <w:b/>
          <w:color w:val="000000" w:themeColor="text1"/>
          <w:sz w:val="32"/>
        </w:rPr>
      </w:pPr>
      <w:r>
        <w:rPr>
          <w:rFonts w:hint="eastAsia" w:ascii="仿宋_GB2312" w:eastAsia="仿宋_GB2312"/>
          <w:b/>
          <w:color w:val="000000" w:themeColor="text1"/>
          <w:sz w:val="32"/>
        </w:rPr>
        <w:t>估价报告编号：</w:t>
      </w:r>
      <w:r>
        <w:rPr>
          <w:rFonts w:hint="eastAsia" w:ascii="仿宋_GB2312" w:hAnsi="宋体" w:eastAsia="仿宋_GB2312" w:cs="宋体"/>
          <w:b/>
          <w:color w:val="000000" w:themeColor="text1"/>
          <w:sz w:val="32"/>
        </w:rPr>
        <w:t>聊信评</w:t>
      </w:r>
      <w:r>
        <w:rPr>
          <w:rFonts w:hint="eastAsia" w:ascii="仿宋_GB2312" w:hAnsi="仿宋_GB2312" w:eastAsia="仿宋_GB2312" w:cs="仿宋_GB2312"/>
          <w:b/>
          <w:color w:val="000000" w:themeColor="text1"/>
          <w:sz w:val="32"/>
        </w:rPr>
        <w:t>[2018]</w:t>
      </w:r>
      <w:r>
        <w:rPr>
          <w:rFonts w:hint="eastAsia" w:ascii="仿宋_GB2312" w:hAnsi="宋体" w:eastAsia="仿宋_GB2312" w:cs="宋体"/>
          <w:b/>
          <w:color w:val="000000" w:themeColor="text1"/>
          <w:sz w:val="32"/>
        </w:rPr>
        <w:t>（咨）字第</w:t>
      </w:r>
      <w:r>
        <w:rPr>
          <w:rFonts w:hint="eastAsia" w:ascii="仿宋_GB2312" w:hAnsi="仿宋_GB2312" w:eastAsia="仿宋_GB2312" w:cs="仿宋_GB2312"/>
          <w:b/>
          <w:color w:val="000000" w:themeColor="text1"/>
          <w:sz w:val="32"/>
        </w:rPr>
        <w:t>051</w:t>
      </w:r>
      <w:r>
        <w:rPr>
          <w:rFonts w:hint="eastAsia" w:ascii="仿宋_GB2312" w:hAnsi="宋体" w:eastAsia="仿宋_GB2312" w:cs="宋体"/>
          <w:b/>
          <w:color w:val="000000" w:themeColor="text1"/>
          <w:sz w:val="32"/>
        </w:rPr>
        <w:t>号</w:t>
      </w:r>
    </w:p>
    <w:p>
      <w:pPr>
        <w:spacing w:line="700" w:lineRule="auto"/>
        <w:ind w:left="2871" w:leftChars="304" w:hanging="2233" w:hangingChars="695"/>
        <w:rPr>
          <w:rFonts w:ascii="仿宋_GB2312" w:hAnsi="仿宋_GB2312" w:eastAsia="仿宋_GB2312" w:cs="仿宋_GB2312"/>
          <w:b/>
          <w:color w:val="000000" w:themeColor="text1"/>
          <w:sz w:val="32"/>
        </w:rPr>
      </w:pPr>
      <w:r>
        <w:rPr>
          <w:rFonts w:hint="eastAsia" w:ascii="仿宋_GB2312" w:eastAsia="仿宋_GB2312"/>
          <w:b/>
          <w:color w:val="000000" w:themeColor="text1"/>
          <w:sz w:val="32"/>
        </w:rPr>
        <w:t>估价项目名称：</w:t>
      </w:r>
      <w:bookmarkStart w:id="22" w:name="_GoBack"/>
      <w:bookmarkEnd w:id="22"/>
      <w:r>
        <w:rPr>
          <w:rFonts w:hint="eastAsia" w:ascii="仿宋_GB2312" w:eastAsia="仿宋_GB2312"/>
          <w:b/>
          <w:color w:val="000000" w:themeColor="text1"/>
          <w:sz w:val="32"/>
        </w:rPr>
        <w:t>位于</w:t>
      </w:r>
      <w:r>
        <w:rPr>
          <w:rFonts w:hint="eastAsia" w:ascii="仿宋_GB2312" w:hAnsi="宋体" w:eastAsia="仿宋_GB2312" w:cs="宋体"/>
          <w:b/>
          <w:color w:val="000000" w:themeColor="text1"/>
          <w:sz w:val="32"/>
        </w:rPr>
        <w:t>临清市运河半岛小区20#-7号商业房地产市场价值评估　　</w:t>
      </w:r>
    </w:p>
    <w:p>
      <w:pPr>
        <w:snapToGrid w:val="0"/>
        <w:spacing w:line="700" w:lineRule="exact"/>
        <w:ind w:left="2710" w:leftChars="304" w:hanging="2072" w:hangingChars="645"/>
        <w:rPr>
          <w:rFonts w:ascii="仿宋_GB2312" w:eastAsia="仿宋_GB2312"/>
          <w:b/>
          <w:color w:val="000000" w:themeColor="text1"/>
          <w:sz w:val="32"/>
        </w:rPr>
      </w:pPr>
      <w:r>
        <w:rPr>
          <w:rFonts w:hint="eastAsia" w:ascii="仿宋_GB2312" w:eastAsia="仿宋_GB2312"/>
          <w:b/>
          <w:color w:val="000000" w:themeColor="text1"/>
          <w:sz w:val="32"/>
        </w:rPr>
        <w:t>估 价 委 托 人：</w:t>
      </w:r>
      <w:r>
        <w:rPr>
          <w:rFonts w:hint="eastAsia" w:ascii="仿宋_GB2312" w:hAnsi="宋体" w:eastAsia="仿宋_GB2312" w:cs="宋体"/>
          <w:b/>
          <w:color w:val="000000" w:themeColor="text1"/>
          <w:sz w:val="32"/>
        </w:rPr>
        <w:t>山东产权交易中心有限公司</w:t>
      </w:r>
    </w:p>
    <w:p>
      <w:pPr>
        <w:tabs>
          <w:tab w:val="left" w:pos="7020"/>
        </w:tabs>
        <w:snapToGrid w:val="0"/>
        <w:spacing w:line="700" w:lineRule="exact"/>
        <w:ind w:firstLine="630" w:firstLineChars="196"/>
        <w:rPr>
          <w:rFonts w:ascii="仿宋_GB2312" w:hAnsi="Courier New" w:eastAsia="仿宋_GB2312" w:cs="Courier New"/>
          <w:i/>
          <w:color w:val="000000" w:themeColor="text1"/>
          <w:sz w:val="36"/>
        </w:rPr>
      </w:pPr>
      <w:r>
        <w:rPr>
          <w:rFonts w:hint="eastAsia" w:ascii="仿宋_GB2312" w:eastAsia="仿宋_GB2312"/>
          <w:b/>
          <w:color w:val="000000" w:themeColor="text1"/>
          <w:sz w:val="32"/>
        </w:rPr>
        <w:t>房地产估价机构：聊城市信远房地产评估有限公司</w:t>
      </w:r>
      <w:r>
        <w:rPr>
          <w:rFonts w:hint="eastAsia" w:ascii="仿宋_GB2312" w:hAnsi="Courier New" w:eastAsia="仿宋_GB2312" w:cs="Courier New"/>
          <w:i/>
          <w:color w:val="000000" w:themeColor="text1"/>
          <w:sz w:val="36"/>
        </w:rPr>
        <w:t>　</w:t>
      </w:r>
    </w:p>
    <w:p>
      <w:pPr>
        <w:tabs>
          <w:tab w:val="left" w:pos="7020"/>
        </w:tabs>
        <w:snapToGrid w:val="0"/>
        <w:spacing w:line="700" w:lineRule="exact"/>
        <w:ind w:left="2322" w:leftChars="284" w:hanging="1726" w:hangingChars="573"/>
        <w:rPr>
          <w:rFonts w:ascii="仿宋_GB2312" w:hAnsi="宋体" w:eastAsia="仿宋_GB2312"/>
          <w:b/>
          <w:color w:val="000000" w:themeColor="text1"/>
          <w:sz w:val="30"/>
          <w:szCs w:val="30"/>
        </w:rPr>
      </w:pPr>
      <w:r>
        <w:rPr>
          <w:rFonts w:hint="eastAsia" w:ascii="仿宋_GB2312" w:hAnsi="宋体" w:eastAsia="仿宋_GB2312"/>
          <w:b/>
          <w:color w:val="000000" w:themeColor="text1"/>
          <w:sz w:val="30"/>
          <w:szCs w:val="30"/>
        </w:rPr>
        <w:t xml:space="preserve">注册房地产估价师：李春玲（注册号： 3720170212） </w:t>
      </w:r>
    </w:p>
    <w:p>
      <w:pPr>
        <w:tabs>
          <w:tab w:val="left" w:pos="3240"/>
          <w:tab w:val="left" w:pos="5400"/>
        </w:tabs>
        <w:spacing w:line="700" w:lineRule="exact"/>
        <w:ind w:firstLine="3301" w:firstLineChars="1096"/>
        <w:jc w:val="left"/>
        <w:rPr>
          <w:rFonts w:ascii="仿宋_GB2312" w:hAnsi="宋体" w:eastAsia="仿宋_GB2312"/>
          <w:b/>
          <w:color w:val="000000" w:themeColor="text1"/>
          <w:sz w:val="30"/>
          <w:szCs w:val="30"/>
        </w:rPr>
      </w:pPr>
      <w:r>
        <w:rPr>
          <w:rFonts w:hint="eastAsia" w:ascii="仿宋_GB2312" w:hAnsi="宋体" w:eastAsia="仿宋_GB2312"/>
          <w:b/>
          <w:color w:val="000000" w:themeColor="text1"/>
          <w:sz w:val="30"/>
          <w:szCs w:val="30"/>
        </w:rPr>
        <w:t xml:space="preserve">胡  磊（注册号： 3720140195） </w:t>
      </w:r>
    </w:p>
    <w:p>
      <w:pPr>
        <w:tabs>
          <w:tab w:val="left" w:pos="3240"/>
          <w:tab w:val="left" w:pos="5400"/>
        </w:tabs>
        <w:spacing w:line="700" w:lineRule="exact"/>
        <w:ind w:firstLine="596" w:firstLineChars="198"/>
        <w:jc w:val="left"/>
        <w:rPr>
          <w:rFonts w:ascii="仿宋_GB2312" w:hAnsi="宋体" w:eastAsia="仿宋_GB2312"/>
          <w:b/>
          <w:color w:val="000000" w:themeColor="text1"/>
          <w:sz w:val="30"/>
          <w:szCs w:val="30"/>
        </w:rPr>
      </w:pPr>
      <w:r>
        <w:rPr>
          <w:rFonts w:hint="eastAsia" w:ascii="仿宋_GB2312" w:hAnsi="宋体" w:eastAsia="仿宋_GB2312"/>
          <w:b/>
          <w:color w:val="000000" w:themeColor="text1"/>
          <w:sz w:val="30"/>
          <w:szCs w:val="30"/>
        </w:rPr>
        <w:t>估价报告出具日期：2019年1月4日</w:t>
      </w:r>
    </w:p>
    <w:p>
      <w:pPr>
        <w:pStyle w:val="15"/>
        <w:tabs>
          <w:tab w:val="left" w:pos="360"/>
          <w:tab w:val="left" w:pos="1440"/>
        </w:tabs>
        <w:spacing w:beforeLines="50" w:line="600" w:lineRule="exact"/>
        <w:ind w:firstLine="0" w:firstLineChars="0"/>
        <w:jc w:val="right"/>
        <w:rPr>
          <w:rFonts w:ascii="仿宋_GB2312" w:eastAsia="仿宋_GB2312"/>
          <w:b/>
          <w:color w:val="000000" w:themeColor="text1"/>
          <w:sz w:val="36"/>
        </w:rPr>
      </w:pPr>
    </w:p>
    <w:p>
      <w:pPr>
        <w:pStyle w:val="15"/>
        <w:tabs>
          <w:tab w:val="left" w:pos="360"/>
          <w:tab w:val="left" w:pos="1440"/>
        </w:tabs>
        <w:spacing w:beforeLines="50" w:line="600" w:lineRule="exact"/>
        <w:ind w:firstLine="0" w:firstLineChars="0"/>
        <w:jc w:val="right"/>
        <w:rPr>
          <w:rFonts w:ascii="楷体_GB2312" w:eastAsia="楷体_GB2312"/>
          <w:b/>
          <w:color w:val="000000" w:themeColor="text1"/>
          <w:sz w:val="36"/>
        </w:rPr>
      </w:pPr>
    </w:p>
    <w:p>
      <w:pPr>
        <w:pStyle w:val="15"/>
        <w:tabs>
          <w:tab w:val="left" w:pos="360"/>
          <w:tab w:val="left" w:pos="1440"/>
        </w:tabs>
        <w:spacing w:beforeLines="50" w:line="200" w:lineRule="exact"/>
        <w:ind w:firstLine="0" w:firstLineChars="0"/>
        <w:jc w:val="right"/>
        <w:rPr>
          <w:rFonts w:ascii="楷体_GB2312" w:eastAsia="楷体_GB2312"/>
          <w:b/>
          <w:color w:val="000000" w:themeColor="text1"/>
          <w:sz w:val="36"/>
        </w:rPr>
      </w:pPr>
      <w:r>
        <w:rPr>
          <w:rFonts w:hint="eastAsia" w:ascii="楷体_GB2312" w:eastAsia="楷体_GB2312"/>
          <w:b/>
          <w:color w:val="000000" w:themeColor="text1"/>
          <w:sz w:val="36"/>
        </w:rPr>
        <w:t>　</w:t>
      </w:r>
    </w:p>
    <w:p>
      <w:pPr>
        <w:pStyle w:val="15"/>
        <w:tabs>
          <w:tab w:val="left" w:pos="360"/>
          <w:tab w:val="left" w:pos="1440"/>
        </w:tabs>
        <w:spacing w:beforeLines="50" w:line="200" w:lineRule="exact"/>
        <w:ind w:right="720" w:firstLine="0" w:firstLineChars="0"/>
        <w:rPr>
          <w:rFonts w:ascii="楷体_GB2312" w:eastAsia="楷体_GB2312"/>
          <w:b/>
          <w:color w:val="000000" w:themeColor="text1"/>
          <w:sz w:val="36"/>
        </w:rPr>
      </w:pPr>
    </w:p>
    <w:p>
      <w:pPr>
        <w:spacing w:beforeLines="50" w:line="520" w:lineRule="exact"/>
        <w:jc w:val="center"/>
        <w:rPr>
          <w:rFonts w:ascii="仿宋_GB2312" w:hAnsi="宋体" w:eastAsia="仿宋_GB2312" w:cs="Tahoma"/>
          <w:b/>
          <w:bCs/>
          <w:color w:val="000000" w:themeColor="text1"/>
          <w:sz w:val="48"/>
          <w:szCs w:val="48"/>
          <w:u w:val="single"/>
        </w:rPr>
      </w:pPr>
    </w:p>
    <w:p>
      <w:pPr>
        <w:spacing w:beforeLines="50" w:line="520" w:lineRule="exact"/>
        <w:jc w:val="center"/>
        <w:rPr>
          <w:rFonts w:ascii="仿宋_GB2312" w:hAnsi="宋体" w:eastAsia="仿宋_GB2312" w:cs="Tahoma"/>
          <w:b/>
          <w:bCs/>
          <w:color w:val="000000" w:themeColor="text1"/>
          <w:sz w:val="48"/>
          <w:szCs w:val="48"/>
          <w:u w:val="single"/>
        </w:rPr>
      </w:pPr>
    </w:p>
    <w:p>
      <w:pPr>
        <w:spacing w:beforeLines="50" w:line="520" w:lineRule="exact"/>
        <w:jc w:val="center"/>
        <w:rPr>
          <w:rFonts w:ascii="仿宋_GB2312" w:hAnsi="宋体" w:eastAsia="仿宋_GB2312" w:cs="Tahoma"/>
          <w:b/>
          <w:bCs/>
          <w:color w:val="000000" w:themeColor="text1"/>
          <w:sz w:val="48"/>
          <w:szCs w:val="48"/>
          <w:u w:val="single"/>
        </w:rPr>
      </w:pPr>
    </w:p>
    <w:p>
      <w:pPr>
        <w:spacing w:beforeLines="50" w:line="520" w:lineRule="exact"/>
        <w:jc w:val="center"/>
        <w:rPr>
          <w:rFonts w:ascii="仿宋_GB2312" w:eastAsia="仿宋_GB2312" w:cs="Tahoma"/>
          <w:b/>
          <w:bCs/>
          <w:color w:val="000000" w:themeColor="text1"/>
          <w:sz w:val="48"/>
          <w:szCs w:val="48"/>
          <w:u w:val="single"/>
        </w:rPr>
      </w:pPr>
      <w:r>
        <w:rPr>
          <w:rFonts w:hint="eastAsia" w:ascii="仿宋_GB2312" w:hAnsi="宋体" w:eastAsia="仿宋_GB2312" w:cs="Tahoma"/>
          <w:b/>
          <w:bCs/>
          <w:color w:val="000000" w:themeColor="text1"/>
          <w:sz w:val="48"/>
          <w:szCs w:val="48"/>
          <w:u w:val="single"/>
        </w:rPr>
        <w:t>致估价委托人函</w:t>
      </w:r>
    </w:p>
    <w:p>
      <w:pPr>
        <w:spacing w:line="500" w:lineRule="exact"/>
        <w:rPr>
          <w:rFonts w:ascii="仿宋_GB2312" w:eastAsia="仿宋_GB2312"/>
          <w:color w:val="000000" w:themeColor="text1"/>
          <w:sz w:val="28"/>
          <w:szCs w:val="28"/>
        </w:rPr>
      </w:pPr>
      <w:r>
        <w:rPr>
          <w:rFonts w:hint="eastAsia" w:ascii="仿宋_GB2312" w:hAnsi="宋体" w:eastAsia="仿宋_GB2312" w:cs="宋体"/>
          <w:b/>
          <w:color w:val="000000" w:themeColor="text1"/>
          <w:sz w:val="28"/>
          <w:szCs w:val="28"/>
        </w:rPr>
        <w:t>山东产权交易中心有限公司</w:t>
      </w:r>
      <w:r>
        <w:rPr>
          <w:rFonts w:hint="eastAsia" w:ascii="仿宋_GB2312" w:eastAsia="仿宋_GB2312"/>
          <w:color w:val="000000" w:themeColor="text1"/>
          <w:sz w:val="28"/>
          <w:szCs w:val="28"/>
        </w:rPr>
        <w:t>：</w:t>
      </w:r>
      <w:r>
        <w:rPr>
          <w:rFonts w:hint="eastAsia" w:ascii="仿宋_GB2312" w:hAnsi="Courier New" w:eastAsia="仿宋_GB2312" w:cs="Courier New"/>
          <w:i/>
          <w:color w:val="000000" w:themeColor="text1"/>
          <w:sz w:val="28"/>
          <w:szCs w:val="28"/>
        </w:rPr>
        <w:t>　　　</w:t>
      </w:r>
    </w:p>
    <w:p>
      <w:pPr>
        <w:spacing w:line="50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我公司受贵方委托，对贵单位指定的位于</w:t>
      </w:r>
      <w:r>
        <w:rPr>
          <w:rFonts w:hint="eastAsia" w:ascii="仿宋_GB2312" w:hAnsi="宋体" w:eastAsia="仿宋_GB2312" w:cs="宋体"/>
          <w:color w:val="000000" w:themeColor="text1"/>
          <w:sz w:val="28"/>
          <w:szCs w:val="28"/>
        </w:rPr>
        <w:t>临清市运河半岛小区</w:t>
      </w:r>
      <w:r>
        <w:rPr>
          <w:rFonts w:hint="eastAsia" w:ascii="仿宋_GB2312" w:hAnsi="宋体" w:eastAsia="仿宋_GB2312" w:cs="宋体"/>
          <w:color w:val="000000" w:themeColor="text1"/>
          <w:sz w:val="32"/>
        </w:rPr>
        <w:t>20#-7</w:t>
      </w:r>
      <w:r>
        <w:rPr>
          <w:rFonts w:hint="eastAsia" w:ascii="仿宋_GB2312" w:hAnsi="宋体" w:eastAsia="仿宋_GB2312" w:cs="宋体"/>
          <w:color w:val="000000" w:themeColor="text1"/>
          <w:sz w:val="28"/>
          <w:szCs w:val="28"/>
        </w:rPr>
        <w:t>商业房地产市场</w:t>
      </w:r>
      <w:r>
        <w:rPr>
          <w:rFonts w:hint="eastAsia" w:ascii="仿宋_GB2312" w:eastAsia="仿宋_GB2312"/>
          <w:color w:val="000000" w:themeColor="text1"/>
          <w:sz w:val="28"/>
          <w:szCs w:val="28"/>
        </w:rPr>
        <w:t>价值进行了评估。</w:t>
      </w:r>
    </w:p>
    <w:p>
      <w:pPr>
        <w:pStyle w:val="15"/>
        <w:tabs>
          <w:tab w:val="left" w:pos="1080"/>
          <w:tab w:val="left" w:pos="1440"/>
        </w:tabs>
        <w:spacing w:line="500" w:lineRule="exact"/>
        <w:ind w:firstLine="562" w:firstLineChars="200"/>
        <w:rPr>
          <w:rFonts w:ascii="仿宋_GB2312" w:hAnsi="宋体" w:eastAsia="仿宋_GB2312"/>
          <w:color w:val="000000" w:themeColor="text1"/>
          <w:szCs w:val="28"/>
        </w:rPr>
      </w:pPr>
      <w:r>
        <w:rPr>
          <w:rFonts w:hint="eastAsia" w:ascii="仿宋_GB2312" w:eastAsia="仿宋_GB2312"/>
          <w:b/>
          <w:szCs w:val="28"/>
        </w:rPr>
        <w:t>估价目的：</w:t>
      </w:r>
      <w:r>
        <w:rPr>
          <w:rFonts w:hint="eastAsia" w:ascii="仿宋_GB2312" w:hAnsi="宋体" w:eastAsia="仿宋_GB2312"/>
          <w:color w:val="000000" w:themeColor="text1"/>
          <w:szCs w:val="28"/>
        </w:rPr>
        <w:t>为司法机关确定涉案房地产的市场价值提供参考依据。　</w:t>
      </w:r>
    </w:p>
    <w:p>
      <w:pPr>
        <w:spacing w:line="500" w:lineRule="exact"/>
        <w:ind w:firstLine="562" w:firstLineChars="200"/>
        <w:rPr>
          <w:rFonts w:ascii="仿宋_GB2312" w:hAnsi="宋体" w:eastAsia="仿宋_GB2312" w:cs="宋体"/>
          <w:color w:val="000000" w:themeColor="text1"/>
          <w:sz w:val="28"/>
          <w:szCs w:val="28"/>
        </w:rPr>
      </w:pPr>
      <w:r>
        <w:rPr>
          <w:rFonts w:hint="eastAsia" w:ascii="仿宋_GB2312" w:hAnsi="宋体" w:eastAsia="仿宋_GB2312"/>
          <w:b/>
          <w:color w:val="000000" w:themeColor="text1"/>
          <w:sz w:val="28"/>
          <w:szCs w:val="28"/>
        </w:rPr>
        <w:t>估价对象：</w:t>
      </w:r>
      <w:r>
        <w:rPr>
          <w:rFonts w:hint="eastAsia" w:ascii="仿宋_GB2312" w:hAnsi="宋体" w:eastAsia="仿宋_GB2312"/>
          <w:color w:val="000000" w:themeColor="text1"/>
          <w:sz w:val="28"/>
          <w:szCs w:val="28"/>
        </w:rPr>
        <w:t>侯凤芹名下的</w:t>
      </w:r>
      <w:r>
        <w:rPr>
          <w:rFonts w:hint="eastAsia" w:ascii="仿宋_GB2312" w:eastAsia="仿宋_GB2312"/>
          <w:color w:val="000000" w:themeColor="text1"/>
          <w:sz w:val="28"/>
          <w:szCs w:val="28"/>
        </w:rPr>
        <w:t>位于</w:t>
      </w:r>
      <w:r>
        <w:rPr>
          <w:rFonts w:hint="eastAsia" w:ascii="仿宋_GB2312" w:hAnsi="宋体" w:eastAsia="仿宋_GB2312" w:cs="宋体"/>
          <w:color w:val="000000" w:themeColor="text1"/>
          <w:sz w:val="28"/>
          <w:szCs w:val="28"/>
        </w:rPr>
        <w:t>临清市运河半岛小区上下两层</w:t>
      </w:r>
      <w:r>
        <w:rPr>
          <w:rFonts w:hint="eastAsia" w:ascii="仿宋_GB2312" w:hAnsi="宋体" w:eastAsia="仿宋_GB2312" w:cs="宋体"/>
          <w:color w:val="000000" w:themeColor="text1"/>
          <w:sz w:val="32"/>
        </w:rPr>
        <w:t>20#-7</w:t>
      </w:r>
      <w:r>
        <w:rPr>
          <w:rFonts w:hint="eastAsia" w:ascii="仿宋_GB2312" w:hAnsi="宋体" w:eastAsia="仿宋_GB2312" w:cs="宋体"/>
          <w:color w:val="000000" w:themeColor="text1"/>
          <w:sz w:val="28"/>
          <w:szCs w:val="28"/>
        </w:rPr>
        <w:t>。总建筑面积：</w:t>
      </w:r>
      <w:r>
        <w:rPr>
          <w:rFonts w:hint="eastAsia" w:ascii="仿宋_GB2312" w:hAnsi="宋体" w:eastAsia="仿宋_GB2312" w:cs="宋体"/>
          <w:color w:val="000000" w:themeColor="text1"/>
          <w:sz w:val="30"/>
          <w:szCs w:val="28"/>
        </w:rPr>
        <w:t>140.36</w:t>
      </w:r>
      <w:r>
        <w:rPr>
          <w:rFonts w:hint="eastAsia" w:ascii="宋体" w:hAnsi="宋体" w:cs="宋体"/>
          <w:color w:val="000000" w:themeColor="text1"/>
          <w:sz w:val="28"/>
          <w:szCs w:val="28"/>
        </w:rPr>
        <w:t>㎡，</w:t>
      </w:r>
      <w:r>
        <w:rPr>
          <w:rFonts w:hint="eastAsia" w:ascii="仿宋_GB2312" w:hAnsi="宋体" w:eastAsia="仿宋_GB2312" w:cs="宋体"/>
          <w:color w:val="000000" w:themeColor="text1"/>
          <w:sz w:val="28"/>
          <w:szCs w:val="28"/>
        </w:rPr>
        <w:t>框架结构，房屋为2层成套商业门脸。房屋布局为1-2层商铺，东西朝向，估价对象为经一路以西、古运河以北。土地终止日期2046年7月15日。</w:t>
      </w:r>
    </w:p>
    <w:p>
      <w:pPr>
        <w:spacing w:line="500" w:lineRule="exact"/>
        <w:ind w:firstLine="560" w:firstLineChars="200"/>
        <w:rPr>
          <w:rFonts w:ascii="仿宋_GB2312" w:hAnsi="宋体" w:eastAsia="仿宋_GB2312" w:cs="宋体"/>
          <w:color w:val="000000" w:themeColor="text1"/>
          <w:sz w:val="28"/>
          <w:szCs w:val="28"/>
        </w:rPr>
      </w:pPr>
      <w:r>
        <w:rPr>
          <w:rFonts w:hint="eastAsia" w:ascii="仿宋_GB2312" w:hAnsi="宋体" w:eastAsia="仿宋_GB2312" w:cs="宋体"/>
          <w:color w:val="000000" w:themeColor="text1"/>
          <w:sz w:val="28"/>
          <w:szCs w:val="28"/>
        </w:rPr>
        <w:t>商铺详细信息：</w:t>
      </w:r>
    </w:p>
    <w:tbl>
      <w:tblPr>
        <w:tblStyle w:val="33"/>
        <w:tblW w:w="9262" w:type="dxa"/>
        <w:jc w:val="center"/>
        <w:tblInd w:w="8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34"/>
        <w:gridCol w:w="1417"/>
        <w:gridCol w:w="1129"/>
        <w:gridCol w:w="1418"/>
        <w:gridCol w:w="1131"/>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372"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合同编号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商铺编号</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商业总层数</w:t>
            </w:r>
          </w:p>
        </w:tc>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所在层次</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面积（</w:t>
            </w:r>
            <w:r>
              <w:rPr>
                <w:rFonts w:hint="eastAsia" w:ascii="宋体" w:hAnsi="宋体" w:cs="宋体"/>
                <w:color w:val="000000" w:themeColor="text1"/>
                <w:spacing w:val="14"/>
                <w:szCs w:val="21"/>
              </w:rPr>
              <w:t>㎡</w:t>
            </w:r>
            <w:r>
              <w:rPr>
                <w:rFonts w:hint="eastAsia" w:ascii="仿宋_GB2312" w:hAnsi="仿宋_GB2312" w:eastAsia="仿宋_GB2312" w:cs="仿宋_GB2312"/>
                <w:color w:val="000000" w:themeColor="text1"/>
                <w:spacing w:val="14"/>
                <w:szCs w:val="21"/>
              </w:rPr>
              <w:t>）</w:t>
            </w:r>
          </w:p>
        </w:tc>
        <w:tc>
          <w:tcPr>
            <w:tcW w:w="1131"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结构</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20098452</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szCs w:val="24"/>
              </w:rPr>
            </w:pPr>
            <w:r>
              <w:rPr>
                <w:rFonts w:hint="eastAsia" w:ascii="仿宋_GB2312" w:eastAsia="仿宋_GB2312"/>
                <w:sz w:val="24"/>
                <w:szCs w:val="24"/>
              </w:rPr>
              <w:t>20#-7</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 w:val="24"/>
                <w:szCs w:val="24"/>
              </w:rPr>
            </w:pPr>
            <w:r>
              <w:rPr>
                <w:rFonts w:hint="eastAsia" w:ascii="仿宋_GB2312" w:hAnsi="宋体" w:eastAsia="仿宋_GB2312"/>
                <w:color w:val="000000" w:themeColor="text1"/>
                <w:spacing w:val="14"/>
                <w:sz w:val="24"/>
                <w:szCs w:val="24"/>
              </w:rPr>
              <w:t>2</w:t>
            </w:r>
          </w:p>
        </w:tc>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 w:val="24"/>
                <w:szCs w:val="24"/>
              </w:rPr>
            </w:pPr>
            <w:r>
              <w:rPr>
                <w:rFonts w:hint="eastAsia" w:ascii="仿宋_GB2312" w:hAnsi="宋体" w:eastAsia="仿宋_GB2312"/>
                <w:color w:val="000000" w:themeColor="text1"/>
                <w:spacing w:val="14"/>
                <w:sz w:val="24"/>
                <w:szCs w:val="24"/>
              </w:rPr>
              <w:t>1-2</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szCs w:val="24"/>
              </w:rPr>
            </w:pPr>
            <w:r>
              <w:rPr>
                <w:rFonts w:hint="eastAsia" w:ascii="仿宋_GB2312" w:eastAsia="仿宋_GB2312"/>
                <w:sz w:val="24"/>
                <w:szCs w:val="24"/>
              </w:rPr>
              <w:t>140.36</w:t>
            </w:r>
          </w:p>
        </w:tc>
        <w:tc>
          <w:tcPr>
            <w:tcW w:w="1131"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 w:val="24"/>
                <w:szCs w:val="24"/>
              </w:rPr>
            </w:pPr>
            <w:r>
              <w:rPr>
                <w:rFonts w:hint="eastAsia" w:ascii="仿宋_GB2312" w:hAnsi="宋体" w:eastAsia="仿宋_GB2312"/>
                <w:color w:val="000000" w:themeColor="text1"/>
                <w:spacing w:val="14"/>
                <w:sz w:val="24"/>
                <w:szCs w:val="24"/>
              </w:rPr>
              <w:t>框架</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 w:val="24"/>
                <w:szCs w:val="24"/>
              </w:rPr>
            </w:pPr>
            <w:r>
              <w:rPr>
                <w:rFonts w:hint="eastAsia" w:ascii="仿宋_GB2312" w:hAnsi="宋体" w:eastAsia="仿宋_GB2312"/>
                <w:color w:val="000000" w:themeColor="text1"/>
                <w:spacing w:val="14"/>
                <w:sz w:val="24"/>
                <w:szCs w:val="24"/>
              </w:rPr>
              <w:t>商业</w:t>
            </w:r>
          </w:p>
        </w:tc>
      </w:tr>
    </w:tbl>
    <w:p>
      <w:pPr>
        <w:spacing w:line="48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财产范围包括建筑物（含室内基础装修）</w:t>
      </w:r>
      <w:r>
        <w:rPr>
          <w:rFonts w:hint="eastAsia" w:ascii="仿宋_GB2312" w:hAnsi="宋体" w:eastAsia="仿宋_GB2312" w:cs="宋体"/>
          <w:b/>
          <w:color w:val="FF0000"/>
          <w:sz w:val="32"/>
        </w:rPr>
        <w:t>、</w:t>
      </w:r>
      <w:r>
        <w:rPr>
          <w:rFonts w:hint="eastAsia" w:ascii="仿宋_GB2312" w:eastAsia="仿宋_GB2312"/>
          <w:color w:val="000000" w:themeColor="text1"/>
          <w:sz w:val="28"/>
          <w:szCs w:val="28"/>
        </w:rPr>
        <w:t>土地使用权及公共配套，不包括动产、债权债务、特殊经营权等其他财产或权益。</w:t>
      </w:r>
    </w:p>
    <w:p>
      <w:pPr>
        <w:spacing w:line="480" w:lineRule="exact"/>
        <w:ind w:firstLine="562" w:firstLineChars="200"/>
        <w:rPr>
          <w:rFonts w:ascii="仿宋_GB2312" w:eastAsia="仿宋_GB2312"/>
          <w:color w:val="000000" w:themeColor="text1"/>
          <w:sz w:val="28"/>
          <w:szCs w:val="28"/>
        </w:rPr>
      </w:pPr>
      <w:r>
        <w:rPr>
          <w:rFonts w:hint="eastAsia" w:ascii="仿宋_GB2312" w:eastAsia="仿宋_GB2312"/>
          <w:b/>
          <w:color w:val="000000" w:themeColor="text1"/>
          <w:sz w:val="28"/>
          <w:szCs w:val="28"/>
        </w:rPr>
        <w:t>价值时点：</w:t>
      </w:r>
      <w:r>
        <w:rPr>
          <w:rFonts w:hint="eastAsia" w:ascii="仿宋_GB2312" w:eastAsia="仿宋_GB2312"/>
          <w:color w:val="000000" w:themeColor="text1"/>
          <w:sz w:val="28"/>
          <w:szCs w:val="28"/>
        </w:rPr>
        <w:t>2018年12月24日（实地查勘日）</w:t>
      </w:r>
    </w:p>
    <w:p>
      <w:pPr>
        <w:adjustRightInd w:val="0"/>
        <w:snapToGrid w:val="0"/>
        <w:spacing w:line="480" w:lineRule="exact"/>
        <w:ind w:left="91" w:firstLine="450"/>
        <w:rPr>
          <w:rFonts w:ascii="仿宋_GB2312" w:eastAsia="仿宋_GB2312"/>
          <w:color w:val="000000" w:themeColor="text1"/>
          <w:sz w:val="28"/>
          <w:szCs w:val="28"/>
        </w:rPr>
      </w:pPr>
      <w:r>
        <w:rPr>
          <w:rFonts w:hint="eastAsia" w:ascii="仿宋_GB2312" w:hAnsi="宋体" w:eastAsia="仿宋_GB2312"/>
          <w:b/>
          <w:color w:val="000000" w:themeColor="text1"/>
          <w:sz w:val="28"/>
          <w:szCs w:val="28"/>
        </w:rPr>
        <w:t>价值类型：</w:t>
      </w:r>
      <w:r>
        <w:rPr>
          <w:rFonts w:hint="eastAsia" w:ascii="仿宋_GB2312" w:hAnsi="宋体" w:eastAsia="仿宋_GB2312"/>
          <w:color w:val="000000" w:themeColor="text1"/>
          <w:sz w:val="28"/>
          <w:szCs w:val="28"/>
        </w:rPr>
        <w:t>房地产</w:t>
      </w:r>
      <w:r>
        <w:rPr>
          <w:rFonts w:hint="eastAsia" w:ascii="仿宋_GB2312" w:eastAsia="仿宋_GB2312"/>
          <w:color w:val="000000" w:themeColor="text1"/>
          <w:sz w:val="28"/>
          <w:szCs w:val="28"/>
        </w:rPr>
        <w:t>市场价值。 估价的价值标准为公开市场价值，不考虑抵押、租赁、查封等因素的影响。</w:t>
      </w:r>
    </w:p>
    <w:p>
      <w:pPr>
        <w:pStyle w:val="15"/>
        <w:tabs>
          <w:tab w:val="left" w:pos="0"/>
          <w:tab w:val="left" w:pos="1080"/>
          <w:tab w:val="left" w:pos="1440"/>
        </w:tabs>
        <w:spacing w:line="480" w:lineRule="exact"/>
        <w:ind w:firstLine="562" w:firstLineChars="200"/>
        <w:rPr>
          <w:rFonts w:ascii="仿宋_GB2312" w:hAnsi="宋体" w:eastAsia="仿宋_GB2312" w:cs="Tahoma"/>
          <w:color w:val="000000" w:themeColor="text1"/>
          <w:szCs w:val="28"/>
        </w:rPr>
      </w:pPr>
      <w:r>
        <w:rPr>
          <w:rFonts w:hint="eastAsia" w:ascii="仿宋_GB2312" w:eastAsia="仿宋_GB2312"/>
          <w:b/>
          <w:color w:val="000000" w:themeColor="text1"/>
          <w:szCs w:val="28"/>
        </w:rPr>
        <w:t>估价方法：</w:t>
      </w:r>
      <w:r>
        <w:rPr>
          <w:rFonts w:hint="eastAsia" w:ascii="仿宋_GB2312" w:hAnsi="宋体" w:eastAsia="仿宋_GB2312" w:cs="Tahoma"/>
          <w:color w:val="000000" w:themeColor="text1"/>
          <w:szCs w:val="28"/>
        </w:rPr>
        <w:t>比较法、收益法</w:t>
      </w:r>
    </w:p>
    <w:p>
      <w:pPr>
        <w:spacing w:line="480" w:lineRule="exact"/>
        <w:ind w:firstLine="562" w:firstLineChars="200"/>
        <w:rPr>
          <w:rFonts w:ascii="仿宋_GB2312" w:eastAsia="仿宋_GB2312"/>
          <w:color w:val="000000" w:themeColor="text1"/>
          <w:sz w:val="28"/>
          <w:szCs w:val="28"/>
        </w:rPr>
      </w:pPr>
      <w:r>
        <w:rPr>
          <w:rFonts w:hint="eastAsia" w:ascii="仿宋_GB2312" w:eastAsia="仿宋_GB2312"/>
          <w:b/>
          <w:color w:val="000000" w:themeColor="text1"/>
          <w:sz w:val="28"/>
          <w:szCs w:val="28"/>
        </w:rPr>
        <w:t>估价结果：</w:t>
      </w:r>
      <w:r>
        <w:rPr>
          <w:rFonts w:hint="eastAsia" w:ascii="仿宋_GB2312" w:eastAsia="仿宋_GB2312"/>
          <w:color w:val="000000" w:themeColor="text1"/>
          <w:sz w:val="28"/>
          <w:szCs w:val="28"/>
        </w:rPr>
        <w:t>房地产总价：</w:t>
      </w:r>
      <w:bookmarkStart w:id="0" w:name="_Toc287451563"/>
      <w:r>
        <w:rPr>
          <w:rFonts w:hint="eastAsia" w:ascii="仿宋_GB2312" w:hAnsi="宋体" w:eastAsia="仿宋_GB2312"/>
          <w:color w:val="000000" w:themeColor="text1"/>
          <w:spacing w:val="14"/>
          <w:sz w:val="28"/>
          <w:szCs w:val="28"/>
        </w:rPr>
        <w:t>120.25万元</w:t>
      </w:r>
      <w:r>
        <w:rPr>
          <w:rFonts w:hint="eastAsia" w:ascii="仿宋_GB2312" w:eastAsia="仿宋_GB2312"/>
          <w:color w:val="000000" w:themeColor="text1"/>
          <w:sz w:val="28"/>
          <w:szCs w:val="28"/>
        </w:rPr>
        <w:t>，大写金额:</w:t>
      </w:r>
      <w:r>
        <w:rPr>
          <w:rFonts w:hint="eastAsia" w:ascii="仿宋_GB2312" w:eastAsia="仿宋_GB2312"/>
          <w:bCs/>
          <w:color w:val="000000" w:themeColor="text1"/>
          <w:sz w:val="28"/>
          <w:szCs w:val="28"/>
        </w:rPr>
        <w:t>人民币壹佰贰拾万贰仟伍佰元整</w:t>
      </w:r>
      <w:r>
        <w:rPr>
          <w:rFonts w:hint="eastAsia" w:ascii="仿宋_GB2312" w:eastAsia="仿宋_GB2312"/>
          <w:color w:val="000000" w:themeColor="text1"/>
          <w:sz w:val="28"/>
          <w:szCs w:val="28"/>
        </w:rPr>
        <w:t>。</w:t>
      </w:r>
    </w:p>
    <w:p>
      <w:pPr>
        <w:spacing w:line="480" w:lineRule="exact"/>
        <w:ind w:firstLine="560" w:firstLineChars="200"/>
        <w:rPr>
          <w:rFonts w:ascii="仿宋_GB2312" w:hAnsi="宋体" w:eastAsia="仿宋_GB2312"/>
          <w:color w:val="000000" w:themeColor="text1"/>
          <w:sz w:val="28"/>
          <w:szCs w:val="28"/>
          <w:u w:val="single"/>
        </w:rPr>
      </w:pPr>
      <w:r>
        <w:rPr>
          <w:rFonts w:hint="eastAsia" w:ascii="仿宋_GB2312" w:eastAsia="仿宋_GB2312"/>
          <w:color w:val="000000" w:themeColor="text1"/>
          <w:sz w:val="28"/>
          <w:szCs w:val="28"/>
        </w:rPr>
        <w:t>价值表:</w:t>
      </w:r>
    </w:p>
    <w:tbl>
      <w:tblPr>
        <w:tblStyle w:val="33"/>
        <w:tblW w:w="9262" w:type="dxa"/>
        <w:jc w:val="center"/>
        <w:tblInd w:w="8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34"/>
        <w:gridCol w:w="1417"/>
        <w:gridCol w:w="1129"/>
        <w:gridCol w:w="1418"/>
        <w:gridCol w:w="1131"/>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372"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FF0000"/>
                <w:spacing w:val="14"/>
                <w:szCs w:val="21"/>
              </w:rPr>
            </w:pPr>
            <w:r>
              <w:rPr>
                <w:rFonts w:hint="eastAsia" w:ascii="仿宋_GB2312" w:hAnsi="宋体" w:eastAsia="仿宋_GB2312"/>
                <w:color w:val="FF0000"/>
                <w:spacing w:val="14"/>
                <w:szCs w:val="21"/>
              </w:rPr>
              <w:t>合同编号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FF0000"/>
                <w:spacing w:val="14"/>
                <w:szCs w:val="21"/>
              </w:rPr>
            </w:pPr>
            <w:r>
              <w:rPr>
                <w:rFonts w:hint="eastAsia" w:ascii="仿宋_GB2312" w:hAnsi="宋体" w:eastAsia="仿宋_GB2312"/>
                <w:color w:val="FF0000"/>
                <w:spacing w:val="14"/>
                <w:szCs w:val="21"/>
              </w:rPr>
              <w:t>商铺编号</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FF0000"/>
                <w:spacing w:val="14"/>
                <w:szCs w:val="21"/>
              </w:rPr>
            </w:pPr>
            <w:r>
              <w:rPr>
                <w:rFonts w:hint="eastAsia" w:ascii="仿宋_GB2312" w:hAnsi="宋体" w:eastAsia="仿宋_GB2312"/>
                <w:color w:val="FF0000"/>
                <w:spacing w:val="14"/>
                <w:szCs w:val="21"/>
              </w:rPr>
              <w:t>商业总层数</w:t>
            </w:r>
          </w:p>
        </w:tc>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FF0000"/>
                <w:spacing w:val="14"/>
                <w:szCs w:val="21"/>
              </w:rPr>
            </w:pPr>
            <w:r>
              <w:rPr>
                <w:rFonts w:hint="eastAsia" w:ascii="仿宋_GB2312" w:hAnsi="宋体" w:eastAsia="仿宋_GB2312"/>
                <w:color w:val="FF0000"/>
                <w:spacing w:val="14"/>
                <w:szCs w:val="21"/>
              </w:rPr>
              <w:t>所在层次</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FF0000"/>
                <w:spacing w:val="14"/>
                <w:szCs w:val="21"/>
              </w:rPr>
            </w:pPr>
            <w:r>
              <w:rPr>
                <w:rFonts w:hint="eastAsia" w:ascii="仿宋_GB2312" w:hAnsi="宋体" w:eastAsia="仿宋_GB2312"/>
                <w:color w:val="FF0000"/>
                <w:spacing w:val="14"/>
                <w:szCs w:val="21"/>
              </w:rPr>
              <w:t>面积（</w:t>
            </w:r>
            <w:r>
              <w:rPr>
                <w:rFonts w:hint="eastAsia" w:ascii="宋体" w:hAnsi="宋体" w:cs="宋体"/>
                <w:color w:val="FF0000"/>
                <w:spacing w:val="14"/>
                <w:szCs w:val="21"/>
              </w:rPr>
              <w:t>㎡</w:t>
            </w:r>
            <w:r>
              <w:rPr>
                <w:rFonts w:hint="eastAsia" w:ascii="仿宋_GB2312" w:hAnsi="仿宋_GB2312" w:eastAsia="仿宋_GB2312" w:cs="仿宋_GB2312"/>
                <w:color w:val="FF0000"/>
                <w:spacing w:val="14"/>
                <w:szCs w:val="21"/>
              </w:rPr>
              <w:t>）</w:t>
            </w:r>
          </w:p>
        </w:tc>
        <w:tc>
          <w:tcPr>
            <w:tcW w:w="1131"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FF0000"/>
                <w:spacing w:val="14"/>
                <w:szCs w:val="21"/>
              </w:rPr>
            </w:pPr>
            <w:r>
              <w:rPr>
                <w:rFonts w:hint="eastAsia" w:ascii="仿宋_GB2312" w:hAnsi="宋体" w:eastAsia="仿宋_GB2312"/>
                <w:color w:val="FF0000"/>
                <w:spacing w:val="14"/>
                <w:szCs w:val="21"/>
              </w:rPr>
              <w:t>单价</w:t>
            </w:r>
          </w:p>
          <w:p>
            <w:pPr>
              <w:spacing w:line="360" w:lineRule="auto"/>
              <w:ind w:right="-87"/>
              <w:jc w:val="center"/>
              <w:rPr>
                <w:rFonts w:ascii="仿宋_GB2312" w:hAnsi="宋体" w:eastAsia="仿宋_GB2312"/>
                <w:color w:val="FF0000"/>
                <w:spacing w:val="14"/>
                <w:szCs w:val="21"/>
              </w:rPr>
            </w:pPr>
            <w:r>
              <w:rPr>
                <w:rFonts w:hint="eastAsia" w:ascii="仿宋_GB2312" w:hAnsi="宋体" w:eastAsia="仿宋_GB2312"/>
                <w:color w:val="FF0000"/>
                <w:spacing w:val="14"/>
                <w:szCs w:val="21"/>
              </w:rPr>
              <w:t>（元/</w:t>
            </w:r>
            <w:r>
              <w:rPr>
                <w:rFonts w:hint="eastAsia" w:ascii="宋体" w:hAnsi="宋体" w:cs="宋体"/>
                <w:color w:val="FF0000"/>
                <w:spacing w:val="14"/>
                <w:szCs w:val="21"/>
              </w:rPr>
              <w:t>㎡</w:t>
            </w:r>
            <w:r>
              <w:rPr>
                <w:rFonts w:hint="eastAsia" w:ascii="仿宋_GB2312" w:hAnsi="宋体" w:eastAsia="仿宋_GB2312"/>
                <w:color w:val="FF0000"/>
                <w:spacing w:val="14"/>
                <w:szCs w:val="21"/>
              </w:rPr>
              <w:t>）</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FF0000"/>
                <w:spacing w:val="14"/>
                <w:szCs w:val="21"/>
              </w:rPr>
            </w:pPr>
            <w:r>
              <w:rPr>
                <w:rFonts w:hint="eastAsia" w:ascii="仿宋_GB2312" w:hAnsi="宋体" w:eastAsia="仿宋_GB2312"/>
                <w:color w:val="FF0000"/>
                <w:spacing w:val="14"/>
                <w:szCs w:val="21"/>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FF0000"/>
                <w:sz w:val="24"/>
                <w:szCs w:val="24"/>
              </w:rPr>
            </w:pPr>
            <w:r>
              <w:rPr>
                <w:rFonts w:hint="eastAsia" w:ascii="仿宋_GB2312" w:eastAsia="仿宋_GB2312"/>
                <w:color w:val="FF0000"/>
                <w:sz w:val="24"/>
                <w:szCs w:val="24"/>
              </w:rPr>
              <w:t>20098452</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FF0000"/>
                <w:sz w:val="24"/>
                <w:szCs w:val="24"/>
              </w:rPr>
            </w:pPr>
            <w:r>
              <w:rPr>
                <w:rFonts w:hint="eastAsia" w:ascii="仿宋_GB2312" w:eastAsia="仿宋_GB2312"/>
                <w:color w:val="FF0000"/>
                <w:sz w:val="24"/>
                <w:szCs w:val="24"/>
              </w:rPr>
              <w:t>20#-7</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FF0000"/>
                <w:spacing w:val="14"/>
                <w:sz w:val="24"/>
                <w:szCs w:val="24"/>
              </w:rPr>
            </w:pPr>
            <w:r>
              <w:rPr>
                <w:rFonts w:hint="eastAsia" w:ascii="仿宋_GB2312" w:hAnsi="宋体" w:eastAsia="仿宋_GB2312"/>
                <w:color w:val="FF0000"/>
                <w:spacing w:val="14"/>
                <w:sz w:val="24"/>
                <w:szCs w:val="24"/>
              </w:rPr>
              <w:t>2</w:t>
            </w:r>
          </w:p>
        </w:tc>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FF0000"/>
                <w:spacing w:val="14"/>
                <w:sz w:val="24"/>
                <w:szCs w:val="24"/>
              </w:rPr>
            </w:pPr>
            <w:r>
              <w:rPr>
                <w:rFonts w:hint="eastAsia" w:ascii="仿宋_GB2312" w:hAnsi="宋体" w:eastAsia="仿宋_GB2312"/>
                <w:color w:val="FF0000"/>
                <w:spacing w:val="14"/>
                <w:sz w:val="24"/>
                <w:szCs w:val="24"/>
              </w:rPr>
              <w:t>1-2</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FF0000"/>
                <w:sz w:val="24"/>
                <w:szCs w:val="24"/>
              </w:rPr>
            </w:pPr>
            <w:r>
              <w:rPr>
                <w:rFonts w:hint="eastAsia" w:ascii="仿宋_GB2312" w:eastAsia="仿宋_GB2312"/>
                <w:color w:val="FF0000"/>
                <w:sz w:val="24"/>
                <w:szCs w:val="24"/>
              </w:rPr>
              <w:t>140.36</w:t>
            </w:r>
          </w:p>
        </w:tc>
        <w:tc>
          <w:tcPr>
            <w:tcW w:w="1131"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color w:val="FF0000"/>
                <w:sz w:val="24"/>
                <w:szCs w:val="24"/>
              </w:rPr>
            </w:pPr>
            <w:r>
              <w:rPr>
                <w:rFonts w:hint="eastAsia"/>
                <w:color w:val="FF0000"/>
              </w:rPr>
              <w:t>8567.26</w:t>
            </w:r>
          </w:p>
        </w:tc>
        <w:tc>
          <w:tcPr>
            <w:tcW w:w="166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color w:val="FF0000"/>
                <w:sz w:val="24"/>
                <w:szCs w:val="24"/>
              </w:rPr>
            </w:pPr>
            <w:r>
              <w:rPr>
                <w:rFonts w:hint="eastAsia"/>
                <w:color w:val="FF0000"/>
              </w:rPr>
              <w:t>120.25</w:t>
            </w:r>
          </w:p>
        </w:tc>
      </w:tr>
    </w:tbl>
    <w:p>
      <w:pPr>
        <w:spacing w:line="48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特别提示：</w:t>
      </w:r>
      <w:r>
        <w:rPr>
          <w:rFonts w:hint="eastAsia" w:ascii="仿宋_GB2312" w:eastAsia="仿宋_GB2312"/>
          <w:color w:val="000000" w:themeColor="text1"/>
          <w:sz w:val="28"/>
          <w:szCs w:val="28"/>
        </w:rPr>
        <w:t>（1）估价结果为房地产市场价值，是房地产经适当营销后，由熟悉情况谨慎行事且不受强迫的交易双方，以公平交易方式在价值时点自愿进行交易的金额</w:t>
      </w:r>
      <w:r>
        <w:rPr>
          <w:rFonts w:hint="eastAsia" w:ascii="仿宋_GB2312" w:hAnsi="宋体" w:eastAsia="仿宋_GB2312"/>
          <w:color w:val="000000" w:themeColor="text1"/>
          <w:sz w:val="28"/>
          <w:szCs w:val="28"/>
        </w:rPr>
        <w:t>。</w:t>
      </w:r>
    </w:p>
    <w:p>
      <w:pPr>
        <w:spacing w:line="48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（2）现实房地产交易中，一般难以达到理想的公开市场条件，致使实际交易价格往往与估价结果不够一致。</w:t>
      </w:r>
    </w:p>
    <w:p>
      <w:pPr>
        <w:spacing w:line="48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（3）估价结果没有扣除变现过程中发生的处置费用和税金。</w:t>
      </w:r>
    </w:p>
    <w:p>
      <w:pPr>
        <w:spacing w:line="480" w:lineRule="exact"/>
        <w:ind w:firstLine="560" w:firstLineChars="200"/>
        <w:rPr>
          <w:rFonts w:ascii="仿宋_GB2312" w:hAnsi="宋体" w:eastAsia="仿宋_GB2312"/>
          <w:color w:val="FF0000"/>
          <w:sz w:val="28"/>
          <w:szCs w:val="28"/>
        </w:rPr>
      </w:pPr>
      <w:r>
        <w:rPr>
          <w:rFonts w:hint="eastAsia" w:ascii="仿宋_GB2312" w:hAnsi="宋体" w:eastAsia="仿宋_GB2312"/>
          <w:color w:val="000000" w:themeColor="text1"/>
          <w:sz w:val="28"/>
          <w:szCs w:val="28"/>
        </w:rPr>
        <w:t>（4）处置小区成套商业楼时，应考虑是否拖欠物业管理费、水电费等。</w:t>
      </w:r>
    </w:p>
    <w:p>
      <w:pPr>
        <w:spacing w:line="48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（5）本估价报告使用期限自报告出具</w:t>
      </w:r>
      <w:r>
        <w:rPr>
          <w:rFonts w:hint="eastAsia" w:ascii="仿宋_GB2312" w:eastAsia="仿宋_GB2312"/>
          <w:color w:val="000000" w:themeColor="text1"/>
          <w:sz w:val="28"/>
          <w:szCs w:val="40"/>
        </w:rPr>
        <w:t>之日起为一年</w:t>
      </w:r>
      <w:r>
        <w:rPr>
          <w:rFonts w:hint="eastAsia" w:ascii="仿宋_GB2312" w:hAnsi="宋体" w:eastAsia="仿宋_GB2312"/>
          <w:color w:val="000000" w:themeColor="text1"/>
          <w:sz w:val="28"/>
          <w:szCs w:val="28"/>
        </w:rPr>
        <w:t>。</w:t>
      </w:r>
    </w:p>
    <w:p>
      <w:pPr>
        <w:spacing w:line="480" w:lineRule="exact"/>
        <w:ind w:firstLine="560" w:firstLineChars="200"/>
        <w:rPr>
          <w:rFonts w:ascii="仿宋_GB2312" w:hAnsi="宋体" w:eastAsia="仿宋_GB2312"/>
          <w:color w:val="000000" w:themeColor="text1"/>
          <w:szCs w:val="21"/>
        </w:rPr>
      </w:pPr>
      <w:r>
        <w:rPr>
          <w:rFonts w:hint="eastAsia" w:ascii="仿宋_GB2312" w:hAnsi="宋体" w:eastAsia="仿宋_GB2312"/>
          <w:color w:val="000000" w:themeColor="text1"/>
          <w:sz w:val="28"/>
          <w:szCs w:val="28"/>
        </w:rPr>
        <w:t>（6）以上内容摘自房地产估价报告，欲全面了解本估价项目情况，应认真阅读报告全文</w:t>
      </w:r>
      <w:r>
        <w:rPr>
          <w:rFonts w:hint="eastAsia" w:ascii="仿宋_GB2312" w:hAnsi="宋体" w:eastAsia="仿宋_GB2312"/>
          <w:color w:val="000000" w:themeColor="text1"/>
          <w:szCs w:val="21"/>
        </w:rPr>
        <w:t>。</w:t>
      </w: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420" w:firstLineChars="200"/>
        <w:rPr>
          <w:rFonts w:ascii="仿宋_GB2312" w:hAnsi="宋体" w:eastAsia="仿宋_GB2312"/>
          <w:color w:val="000000" w:themeColor="text1"/>
          <w:szCs w:val="21"/>
        </w:rPr>
      </w:pPr>
    </w:p>
    <w:p>
      <w:pPr>
        <w:spacing w:line="480" w:lineRule="exact"/>
        <w:ind w:firstLine="560" w:firstLineChars="200"/>
        <w:rPr>
          <w:rFonts w:ascii="仿宋_GB2312" w:eastAsia="仿宋_GB2312"/>
          <w:color w:val="000000" w:themeColor="text1"/>
          <w:sz w:val="28"/>
          <w:szCs w:val="28"/>
        </w:rPr>
      </w:pPr>
    </w:p>
    <w:p>
      <w:pPr>
        <w:spacing w:line="520" w:lineRule="exact"/>
        <w:ind w:firstLine="3220" w:firstLineChars="1150"/>
        <w:jc w:val="right"/>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聊城市信远房地产评估有限公司</w:t>
      </w:r>
    </w:p>
    <w:p>
      <w:pPr>
        <w:spacing w:line="520" w:lineRule="exact"/>
        <w:ind w:right="-85" w:firstLine="6440" w:firstLineChars="2300"/>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法定代表人：周玲</w:t>
      </w:r>
    </w:p>
    <w:p>
      <w:pPr>
        <w:spacing w:line="520" w:lineRule="exact"/>
        <w:ind w:firstLine="6440" w:firstLineChars="2300"/>
        <w:rPr>
          <w:rFonts w:ascii="仿宋_GB2312" w:hAnsi="宋体" w:eastAsia="仿宋_GB2312"/>
          <w:color w:val="000000" w:themeColor="text1"/>
          <w:spacing w:val="4"/>
          <w:sz w:val="28"/>
          <w:szCs w:val="28"/>
        </w:rPr>
      </w:pPr>
      <w:r>
        <w:rPr>
          <w:rFonts w:hint="eastAsia" w:ascii="仿宋_GB2312" w:hAnsi="宋体" w:eastAsia="仿宋_GB2312" w:cs="Tahoma"/>
          <w:color w:val="000000" w:themeColor="text1"/>
          <w:sz w:val="28"/>
          <w:szCs w:val="28"/>
        </w:rPr>
        <w:t>2019年1月4日</w:t>
      </w:r>
    </w:p>
    <w:p>
      <w:pPr>
        <w:spacing w:line="560" w:lineRule="exact"/>
        <w:jc w:val="center"/>
        <w:rPr>
          <w:b/>
          <w:color w:val="000000" w:themeColor="text1"/>
          <w:sz w:val="28"/>
          <w:szCs w:val="28"/>
          <w:u w:val="single"/>
        </w:rPr>
        <w:sectPr>
          <w:headerReference r:id="rId3" w:type="default"/>
          <w:footerReference r:id="rId4" w:type="default"/>
          <w:pgSz w:w="11906" w:h="16838"/>
          <w:pgMar w:top="1134" w:right="1134" w:bottom="1134" w:left="1418" w:header="567" w:footer="851" w:gutter="0"/>
          <w:pgBorders w:display="firstPage">
            <w:top w:val="thinThickMediumGap" w:color="auto" w:sz="24" w:space="1"/>
            <w:left w:val="thinThickMediumGap" w:color="auto" w:sz="24" w:space="2"/>
            <w:bottom w:val="thinThickMediumGap" w:color="auto" w:sz="24" w:space="1"/>
            <w:right w:val="thinThickMediumGap" w:color="auto" w:sz="24" w:space="6"/>
          </w:pgBorders>
          <w:pgNumType w:start="1"/>
          <w:cols w:space="720" w:num="1"/>
          <w:titlePg/>
          <w:docGrid w:type="lines" w:linePitch="312" w:charSpace="0"/>
        </w:sectPr>
      </w:pPr>
      <w:bookmarkStart w:id="1" w:name="_Toc298769614"/>
    </w:p>
    <w:p>
      <w:pPr>
        <w:spacing w:line="600" w:lineRule="auto"/>
        <w:jc w:val="center"/>
        <w:rPr>
          <w:b/>
          <w:color w:val="000000" w:themeColor="text1"/>
          <w:sz w:val="52"/>
          <w:szCs w:val="52"/>
          <w:u w:val="single"/>
        </w:rPr>
      </w:pPr>
      <w:bookmarkStart w:id="2" w:name="_Toc298769632"/>
      <w:r>
        <w:rPr>
          <w:rFonts w:hint="eastAsia"/>
          <w:b/>
          <w:color w:val="000000" w:themeColor="text1"/>
          <w:sz w:val="52"/>
          <w:szCs w:val="52"/>
          <w:u w:val="single"/>
        </w:rPr>
        <w:t>目      录</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估价师声明  ……………………………………………………… 1</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估价假设和限制条件</w:t>
      </w:r>
      <w:r>
        <w:rPr>
          <w:rFonts w:hint="eastAsia" w:ascii="仿宋_GB2312" w:hAnsi="宋体" w:eastAsia="仿宋_GB2312"/>
          <w:b/>
          <w:color w:val="000000" w:themeColor="text1"/>
          <w:spacing w:val="28"/>
          <w:kern w:val="0"/>
          <w:sz w:val="28"/>
          <w:szCs w:val="28"/>
        </w:rPr>
        <w:t xml:space="preserve">  ……………………………</w:t>
      </w:r>
      <w:r>
        <w:rPr>
          <w:rFonts w:hint="eastAsia" w:ascii="仿宋_GB2312" w:hAnsi="宋体" w:eastAsia="仿宋_GB2312"/>
          <w:b/>
          <w:color w:val="000000" w:themeColor="text1"/>
          <w:spacing w:val="4"/>
          <w:kern w:val="0"/>
          <w:sz w:val="28"/>
          <w:szCs w:val="28"/>
        </w:rPr>
        <w:t>…</w:t>
      </w:r>
      <w:r>
        <w:rPr>
          <w:rFonts w:hint="eastAsia" w:ascii="仿宋_GB2312" w:hAnsi="宋体" w:eastAsia="仿宋_GB2312"/>
          <w:b/>
          <w:color w:val="000000" w:themeColor="text1"/>
          <w:sz w:val="28"/>
          <w:szCs w:val="28"/>
        </w:rPr>
        <w:t>………2</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估价结果报告  …………………………………………………… 4</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一、估价委托人     ………………………………………………</w:t>
      </w:r>
      <w:r>
        <w:rPr>
          <w:rFonts w:hint="eastAsia" w:ascii="仿宋_GB2312" w:hAnsi="宋体" w:eastAsia="仿宋_GB2312"/>
          <w:b/>
          <w:color w:val="000000" w:themeColor="text1"/>
          <w:kern w:val="0"/>
          <w:sz w:val="28"/>
          <w:szCs w:val="28"/>
        </w:rPr>
        <w:t>4</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二、房地产估价机构     …………………………………………4</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三、估价目的   ……………………………………………………4</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四、估价对象    ………………………………………………… 4</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五、价值时点     …………………………………………………5</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六、价值类型    ………………………………………………… 5</w:t>
      </w:r>
    </w:p>
    <w:p>
      <w:pPr>
        <w:tabs>
          <w:tab w:val="left" w:pos="8364"/>
        </w:tabs>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七、估价原则    ………………………………………………… 5</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八、估价依据    ………………………………………………… 6</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九、估价方法   ……………………………………………………7</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十、估价结果   ……………………………………………………7</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十一、注册房地产估价师   ………………………………………7</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十二、实地查勘期  ……………………………………………… 7</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十三、估价作业期   ………………………………………………7</w:t>
      </w:r>
    </w:p>
    <w:p>
      <w:pPr>
        <w:spacing w:line="660" w:lineRule="exact"/>
        <w:ind w:firstLine="562" w:firstLineChars="200"/>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十四、</w:t>
      </w:r>
      <w:r>
        <w:rPr>
          <w:rFonts w:hint="eastAsia" w:ascii="华文仿宋" w:hAnsi="华文仿宋" w:eastAsia="华文仿宋"/>
          <w:b/>
          <w:color w:val="000000" w:themeColor="text1"/>
          <w:sz w:val="28"/>
          <w:szCs w:val="28"/>
        </w:rPr>
        <w:t>估价报告有效期</w:t>
      </w:r>
      <w:r>
        <w:rPr>
          <w:rFonts w:hint="eastAsia" w:ascii="仿宋_GB2312" w:hAnsi="宋体" w:eastAsia="仿宋_GB2312"/>
          <w:b/>
          <w:color w:val="000000" w:themeColor="text1"/>
          <w:sz w:val="28"/>
          <w:szCs w:val="28"/>
        </w:rPr>
        <w:t xml:space="preserve">   …………………………………………8</w:t>
      </w:r>
    </w:p>
    <w:p>
      <w:pPr>
        <w:spacing w:beforeLines="50" w:afterLines="50" w:line="600" w:lineRule="auto"/>
        <w:outlineLvl w:val="1"/>
        <w:rPr>
          <w:rFonts w:ascii="仿宋_GB2312" w:eastAsia="仿宋_GB2312"/>
          <w:color w:val="000000" w:themeColor="text1"/>
          <w:sz w:val="28"/>
          <w:szCs w:val="28"/>
        </w:rPr>
      </w:pPr>
    </w:p>
    <w:bookmarkEnd w:id="2"/>
    <w:p>
      <w:pPr>
        <w:spacing w:line="640" w:lineRule="exact"/>
        <w:ind w:firstLine="560" w:firstLineChars="200"/>
        <w:rPr>
          <w:rFonts w:ascii="仿宋_GB2312" w:hAnsi="宋体" w:eastAsia="仿宋_GB2312"/>
          <w:color w:val="000000" w:themeColor="text1"/>
          <w:sz w:val="28"/>
          <w:szCs w:val="28"/>
        </w:rPr>
      </w:pPr>
      <w:bookmarkStart w:id="3" w:name="_Toc298769664"/>
      <w:bookmarkStart w:id="4" w:name="_Toc287451594"/>
    </w:p>
    <w:p>
      <w:pPr>
        <w:spacing w:line="640" w:lineRule="exact"/>
        <w:ind w:firstLine="560" w:firstLineChars="200"/>
        <w:rPr>
          <w:rFonts w:ascii="仿宋_GB2312" w:hAnsi="宋体" w:eastAsia="仿宋_GB2312"/>
          <w:color w:val="000000" w:themeColor="text1"/>
          <w:sz w:val="28"/>
          <w:szCs w:val="28"/>
        </w:rPr>
      </w:pPr>
    </w:p>
    <w:p>
      <w:pPr>
        <w:spacing w:beforeLines="50" w:afterLines="50" w:line="600" w:lineRule="auto"/>
        <w:ind w:firstLine="560" w:firstLineChars="200"/>
        <w:outlineLvl w:val="1"/>
        <w:rPr>
          <w:rFonts w:ascii="仿宋_GB2312" w:eastAsia="仿宋_GB2312"/>
          <w:color w:val="000000" w:themeColor="text1"/>
          <w:sz w:val="28"/>
          <w:szCs w:val="28"/>
        </w:rPr>
      </w:pPr>
      <w:r>
        <w:rPr>
          <w:rFonts w:hint="eastAsia" w:ascii="仿宋_GB2312" w:eastAsia="仿宋_GB2312"/>
          <w:color w:val="000000" w:themeColor="text1"/>
          <w:sz w:val="28"/>
          <w:szCs w:val="28"/>
        </w:rPr>
        <w:t>附   件</w:t>
      </w:r>
      <w:bookmarkEnd w:id="3"/>
      <w:bookmarkEnd w:id="4"/>
      <w:r>
        <w:rPr>
          <w:rFonts w:hint="eastAsia" w:ascii="仿宋_GB2312" w:eastAsia="仿宋_GB2312"/>
          <w:color w:val="000000" w:themeColor="text1"/>
          <w:sz w:val="28"/>
          <w:szCs w:val="28"/>
        </w:rPr>
        <w:t>　　</w:t>
      </w:r>
    </w:p>
    <w:p>
      <w:pPr>
        <w:spacing w:line="600" w:lineRule="auto"/>
        <w:ind w:left="841" w:leftChars="267" w:hanging="280" w:hangingChars="100"/>
        <w:outlineLvl w:val="1"/>
        <w:rPr>
          <w:rFonts w:ascii="仿宋_GB2312" w:eastAsia="仿宋_GB2312"/>
          <w:color w:val="FF0000"/>
          <w:sz w:val="28"/>
          <w:szCs w:val="28"/>
        </w:rPr>
      </w:pPr>
      <w:bookmarkStart w:id="5" w:name="_Toc287451595"/>
      <w:bookmarkStart w:id="6" w:name="_Toc298769665"/>
      <w:r>
        <w:rPr>
          <w:rFonts w:hint="eastAsia" w:ascii="仿宋_GB2312" w:eastAsia="仿宋_GB2312"/>
          <w:color w:val="000000" w:themeColor="text1"/>
          <w:sz w:val="28"/>
          <w:szCs w:val="28"/>
        </w:rPr>
        <w:t>（一）</w:t>
      </w:r>
      <w:bookmarkEnd w:id="5"/>
      <w:r>
        <w:rPr>
          <w:rFonts w:hint="eastAsia" w:ascii="仿宋_GB2312" w:eastAsia="仿宋_GB2312"/>
          <w:color w:val="FF0000"/>
          <w:sz w:val="28"/>
          <w:szCs w:val="28"/>
        </w:rPr>
        <w:t>山东省临清市人民法院司法询价委托函【（2018）鲁1581执恢160号之一】复印件</w:t>
      </w:r>
      <w:bookmarkEnd w:id="6"/>
      <w:r>
        <w:rPr>
          <w:rFonts w:hint="eastAsia" w:ascii="仿宋_GB2312" w:eastAsia="仿宋_GB2312"/>
          <w:color w:val="FF0000"/>
          <w:sz w:val="28"/>
          <w:szCs w:val="28"/>
        </w:rPr>
        <w:t>　</w:t>
      </w:r>
    </w:p>
    <w:p>
      <w:pPr>
        <w:spacing w:line="600" w:lineRule="auto"/>
        <w:ind w:left="727" w:leftChars="213" w:hanging="280" w:hangingChars="100"/>
        <w:outlineLvl w:val="1"/>
        <w:rPr>
          <w:rFonts w:ascii="仿宋_GB2312" w:eastAsia="仿宋_GB2312"/>
          <w:color w:val="000000" w:themeColor="text1"/>
          <w:sz w:val="28"/>
          <w:szCs w:val="28"/>
        </w:rPr>
      </w:pPr>
      <w:bookmarkStart w:id="7" w:name="_Toc298769669"/>
      <w:bookmarkStart w:id="8" w:name="_Toc287451603"/>
      <w:r>
        <w:rPr>
          <w:rFonts w:hint="eastAsia" w:ascii="仿宋_GB2312" w:eastAsia="仿宋_GB2312"/>
          <w:color w:val="000000" w:themeColor="text1"/>
          <w:sz w:val="28"/>
          <w:szCs w:val="28"/>
        </w:rPr>
        <w:t>（二）《商品房买卖合同》复印件</w:t>
      </w:r>
      <w:bookmarkEnd w:id="7"/>
      <w:r>
        <w:rPr>
          <w:rFonts w:hint="eastAsia" w:ascii="仿宋_GB2312" w:hAnsi="Courier New" w:eastAsia="仿宋_GB2312" w:cs="Courier New"/>
          <w:i/>
          <w:color w:val="000000" w:themeColor="text1"/>
          <w:sz w:val="28"/>
          <w:szCs w:val="28"/>
        </w:rPr>
        <w:t>　　　</w:t>
      </w:r>
    </w:p>
    <w:p>
      <w:pPr>
        <w:spacing w:line="600" w:lineRule="auto"/>
        <w:ind w:firstLine="420" w:firstLineChars="150"/>
        <w:outlineLvl w:val="1"/>
        <w:rPr>
          <w:rFonts w:ascii="仿宋_GB2312" w:eastAsia="仿宋_GB2312"/>
          <w:color w:val="000000" w:themeColor="text1"/>
          <w:sz w:val="28"/>
          <w:szCs w:val="28"/>
        </w:rPr>
      </w:pPr>
      <w:bookmarkStart w:id="9" w:name="_Toc298769670"/>
      <w:r>
        <w:rPr>
          <w:rFonts w:hint="eastAsia" w:ascii="仿宋_GB2312" w:eastAsia="仿宋_GB2312"/>
          <w:color w:val="000000" w:themeColor="text1"/>
          <w:sz w:val="28"/>
          <w:szCs w:val="28"/>
        </w:rPr>
        <w:t>（三）估价对象区位示意图</w:t>
      </w:r>
      <w:bookmarkEnd w:id="9"/>
      <w:r>
        <w:rPr>
          <w:rFonts w:hint="eastAsia" w:ascii="仿宋_GB2312" w:eastAsia="仿宋_GB2312"/>
          <w:color w:val="000000" w:themeColor="text1"/>
          <w:sz w:val="28"/>
          <w:szCs w:val="28"/>
        </w:rPr>
        <w:t>　</w:t>
      </w:r>
    </w:p>
    <w:p>
      <w:pPr>
        <w:spacing w:line="600" w:lineRule="auto"/>
        <w:ind w:firstLine="420" w:firstLineChars="150"/>
        <w:outlineLvl w:val="1"/>
        <w:rPr>
          <w:rFonts w:ascii="仿宋_GB2312" w:eastAsia="仿宋_GB2312"/>
          <w:color w:val="000000" w:themeColor="text1"/>
          <w:sz w:val="28"/>
          <w:szCs w:val="28"/>
        </w:rPr>
      </w:pPr>
      <w:bookmarkStart w:id="10" w:name="_Toc298769671"/>
      <w:r>
        <w:rPr>
          <w:rFonts w:hint="eastAsia" w:ascii="仿宋_GB2312" w:eastAsia="仿宋_GB2312"/>
          <w:color w:val="000000" w:themeColor="text1"/>
          <w:sz w:val="28"/>
          <w:szCs w:val="28"/>
        </w:rPr>
        <w:t>（四）估价对象实地查勘照片</w:t>
      </w:r>
      <w:bookmarkEnd w:id="10"/>
      <w:r>
        <w:rPr>
          <w:rFonts w:hint="eastAsia" w:ascii="仿宋_GB2312" w:eastAsia="仿宋_GB2312"/>
          <w:color w:val="000000" w:themeColor="text1"/>
          <w:sz w:val="28"/>
          <w:szCs w:val="28"/>
        </w:rPr>
        <w:t>　</w:t>
      </w:r>
    </w:p>
    <w:p>
      <w:pPr>
        <w:spacing w:line="600" w:lineRule="auto"/>
        <w:ind w:firstLine="420" w:firstLineChars="150"/>
        <w:outlineLvl w:val="1"/>
        <w:rPr>
          <w:rFonts w:ascii="仿宋_GB2312" w:eastAsia="仿宋_GB2312"/>
          <w:color w:val="000000" w:themeColor="text1"/>
          <w:sz w:val="28"/>
          <w:szCs w:val="28"/>
        </w:rPr>
      </w:pPr>
      <w:bookmarkStart w:id="11" w:name="_Toc298769672"/>
      <w:r>
        <w:rPr>
          <w:rFonts w:hint="eastAsia" w:ascii="仿宋_GB2312" w:eastAsia="仿宋_GB2312"/>
          <w:color w:val="000000" w:themeColor="text1"/>
          <w:sz w:val="28"/>
          <w:szCs w:val="28"/>
        </w:rPr>
        <w:t>（五）估价机构营业执照及资质证书复印件</w:t>
      </w:r>
      <w:bookmarkEnd w:id="11"/>
      <w:r>
        <w:rPr>
          <w:rFonts w:hint="eastAsia" w:ascii="仿宋_GB2312" w:eastAsia="仿宋_GB2312"/>
          <w:color w:val="000000" w:themeColor="text1"/>
          <w:sz w:val="28"/>
          <w:szCs w:val="28"/>
        </w:rPr>
        <w:t>　　</w:t>
      </w:r>
    </w:p>
    <w:p>
      <w:pPr>
        <w:spacing w:line="600" w:lineRule="auto"/>
        <w:ind w:firstLine="420" w:firstLineChars="150"/>
        <w:outlineLvl w:val="1"/>
        <w:rPr>
          <w:rFonts w:ascii="仿宋_GB2312" w:eastAsia="仿宋_GB2312"/>
          <w:color w:val="000000" w:themeColor="text1"/>
          <w:sz w:val="28"/>
          <w:szCs w:val="28"/>
        </w:rPr>
      </w:pPr>
      <w:bookmarkStart w:id="12" w:name="_Toc298769673"/>
      <w:r>
        <w:rPr>
          <w:rFonts w:hint="eastAsia" w:ascii="仿宋_GB2312" w:eastAsia="仿宋_GB2312"/>
          <w:color w:val="000000" w:themeColor="text1"/>
          <w:sz w:val="28"/>
          <w:szCs w:val="28"/>
        </w:rPr>
        <w:t>（六）</w:t>
      </w:r>
      <w:bookmarkEnd w:id="8"/>
      <w:r>
        <w:rPr>
          <w:rFonts w:hint="eastAsia" w:ascii="仿宋_GB2312" w:eastAsia="仿宋_GB2312"/>
          <w:color w:val="000000" w:themeColor="text1"/>
          <w:sz w:val="28"/>
          <w:szCs w:val="28"/>
        </w:rPr>
        <w:t>估价师注册证书复印件</w:t>
      </w:r>
      <w:bookmarkEnd w:id="12"/>
    </w:p>
    <w:p>
      <w:pPr>
        <w:spacing w:line="600" w:lineRule="exact"/>
        <w:ind w:firstLine="450" w:firstLineChars="150"/>
        <w:outlineLvl w:val="1"/>
        <w:rPr>
          <w:rFonts w:ascii="仿宋_GB2312" w:eastAsia="仿宋_GB2312"/>
          <w:color w:val="000000" w:themeColor="text1"/>
          <w:sz w:val="30"/>
          <w:szCs w:val="30"/>
        </w:rPr>
      </w:pPr>
      <w:r>
        <w:rPr>
          <w:rFonts w:hint="eastAsia" w:ascii="仿宋_GB2312" w:eastAsia="仿宋_GB2312"/>
          <w:color w:val="000000" w:themeColor="text1"/>
          <w:sz w:val="30"/>
          <w:szCs w:val="30"/>
        </w:rPr>
        <w:t>　</w:t>
      </w:r>
    </w:p>
    <w:p>
      <w:pPr>
        <w:tabs>
          <w:tab w:val="left" w:pos="1457"/>
          <w:tab w:val="left" w:pos="1530"/>
          <w:tab w:val="left" w:pos="1576"/>
          <w:tab w:val="left" w:pos="7800"/>
        </w:tabs>
        <w:spacing w:line="600" w:lineRule="exact"/>
        <w:jc w:val="left"/>
        <w:rPr>
          <w:rFonts w:ascii="仿宋_GB2312" w:hAnsi="宋体" w:eastAsia="仿宋_GB2312"/>
          <w:color w:val="000000" w:themeColor="text1"/>
          <w:spacing w:val="14"/>
          <w:sz w:val="30"/>
          <w:szCs w:val="30"/>
        </w:rPr>
        <w:sectPr>
          <w:headerReference r:id="rId5" w:type="first"/>
          <w:pgSz w:w="11906" w:h="16838"/>
          <w:pgMar w:top="1134" w:right="1134" w:bottom="1134" w:left="1418" w:header="851" w:footer="851" w:gutter="0"/>
          <w:pgNumType w:start="1"/>
          <w:cols w:space="720" w:num="1"/>
          <w:titlePg/>
          <w:docGrid w:type="lines" w:linePitch="312" w:charSpace="0"/>
        </w:sectPr>
      </w:pPr>
    </w:p>
    <w:bookmarkEnd w:id="0"/>
    <w:bookmarkEnd w:id="1"/>
    <w:p>
      <w:pPr>
        <w:spacing w:line="600" w:lineRule="exact"/>
        <w:jc w:val="center"/>
        <w:rPr>
          <w:rFonts w:ascii="仿宋_GB2312" w:hAnsi="宋体" w:eastAsia="仿宋_GB2312" w:cs="Tahoma"/>
          <w:b/>
          <w:bCs/>
          <w:color w:val="000000" w:themeColor="text1"/>
          <w:sz w:val="48"/>
          <w:szCs w:val="48"/>
          <w:u w:val="single"/>
        </w:rPr>
      </w:pPr>
      <w:bookmarkStart w:id="13" w:name="_Toc298769617"/>
      <w:r>
        <w:rPr>
          <w:rFonts w:hint="eastAsia" w:ascii="仿宋_GB2312" w:hAnsi="宋体" w:eastAsia="仿宋_GB2312" w:cs="Tahoma"/>
          <w:b/>
          <w:bCs/>
          <w:color w:val="000000" w:themeColor="text1"/>
          <w:sz w:val="48"/>
          <w:szCs w:val="48"/>
          <w:u w:val="single"/>
        </w:rPr>
        <w:t>估价师声明</w:t>
      </w:r>
    </w:p>
    <w:p>
      <w:pPr>
        <w:spacing w:line="600" w:lineRule="exact"/>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我们保证，在我们的知识和能力的最佳范围内:</w:t>
      </w:r>
    </w:p>
    <w:p>
      <w:pPr>
        <w:spacing w:line="600" w:lineRule="exact"/>
        <w:ind w:firstLine="596" w:firstLineChars="213"/>
        <w:rPr>
          <w:rFonts w:ascii="仿宋_GB2312" w:eastAsia="仿宋_GB2312" w:cs="Tahoma"/>
          <w:color w:val="000000" w:themeColor="text1"/>
          <w:sz w:val="28"/>
          <w:szCs w:val="28"/>
        </w:rPr>
      </w:pPr>
      <w:r>
        <w:rPr>
          <w:rFonts w:hint="eastAsia" w:ascii="仿宋_GB2312" w:hAnsi="宋体" w:eastAsia="仿宋_GB2312" w:cs="Tahoma"/>
          <w:color w:val="000000" w:themeColor="text1"/>
          <w:sz w:val="28"/>
          <w:szCs w:val="28"/>
        </w:rPr>
        <w:t>1、本估价报告中对事实的陈述是真实和准确的，没有虚假记载、误导性陈述和重大遗漏。</w:t>
      </w:r>
    </w:p>
    <w:p>
      <w:pPr>
        <w:spacing w:line="600" w:lineRule="exact"/>
        <w:ind w:firstLine="560" w:firstLineChars="200"/>
        <w:rPr>
          <w:rFonts w:ascii="仿宋_GB2312" w:eastAsia="仿宋_GB2312" w:cs="Tahoma"/>
          <w:color w:val="000000" w:themeColor="text1"/>
          <w:sz w:val="28"/>
          <w:szCs w:val="28"/>
        </w:rPr>
      </w:pPr>
      <w:r>
        <w:rPr>
          <w:rFonts w:hint="eastAsia" w:ascii="仿宋_GB2312" w:hAnsi="宋体" w:eastAsia="仿宋_GB2312" w:cs="Tahoma"/>
          <w:color w:val="000000" w:themeColor="text1"/>
          <w:sz w:val="28"/>
          <w:szCs w:val="28"/>
        </w:rPr>
        <w:t>2、估价报告中的分析、意见和结论是参加本次估价的注册房地产估价师独立、客观、公正的专业分析、意见和结论，但受到估价报告中已说明的估价假设和限制条件的限制。</w:t>
      </w:r>
    </w:p>
    <w:p>
      <w:pPr>
        <w:spacing w:line="600" w:lineRule="exact"/>
        <w:ind w:firstLine="560" w:firstLineChars="200"/>
        <w:rPr>
          <w:rFonts w:ascii="仿宋_GB2312" w:eastAsia="仿宋_GB2312" w:cs="Tahoma"/>
          <w:color w:val="000000" w:themeColor="text1"/>
          <w:sz w:val="28"/>
          <w:szCs w:val="28"/>
        </w:rPr>
      </w:pPr>
      <w:r>
        <w:rPr>
          <w:rFonts w:hint="eastAsia" w:ascii="仿宋_GB2312" w:hAnsi="宋体" w:eastAsia="仿宋_GB2312" w:cs="Tahoma"/>
          <w:color w:val="000000" w:themeColor="text1"/>
          <w:sz w:val="28"/>
          <w:szCs w:val="28"/>
        </w:rPr>
        <w:t>3、我们与本估价报告中的估价对象没有现实或潜在的利益，我们与估价委托人及估价利害关系人没有利害关系，也对估价对象、估价委托人及估价对象利害关系人没有任何偏见。</w:t>
      </w:r>
    </w:p>
    <w:p>
      <w:pPr>
        <w:spacing w:line="600" w:lineRule="exact"/>
        <w:ind w:firstLine="560" w:firstLineChars="200"/>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4、我们依照国家标准《房地产估价规范》（GB/T50291—2015）、</w:t>
      </w:r>
      <w:r>
        <w:rPr>
          <w:rFonts w:hint="eastAsia" w:ascii="仿宋_GB2312" w:hAnsi="Tahoma" w:eastAsia="仿宋_GB2312" w:cs="Tahoma"/>
          <w:color w:val="000000" w:themeColor="text1"/>
          <w:sz w:val="28"/>
          <w:szCs w:val="28"/>
        </w:rPr>
        <w:t>《房地产估价基本术语标准》（GB／T50899－2013）</w:t>
      </w:r>
      <w:r>
        <w:rPr>
          <w:rFonts w:hint="eastAsia" w:ascii="仿宋_GB2312" w:hAnsi="宋体" w:eastAsia="仿宋_GB2312" w:cs="Tahoma"/>
          <w:color w:val="000000" w:themeColor="text1"/>
          <w:sz w:val="28"/>
          <w:szCs w:val="28"/>
        </w:rPr>
        <w:t>进行分析，形成意见和结论，撰写本估价报告。</w:t>
      </w:r>
    </w:p>
    <w:p>
      <w:pPr>
        <w:spacing w:line="600" w:lineRule="exact"/>
        <w:ind w:firstLine="560" w:firstLineChars="200"/>
        <w:rPr>
          <w:rFonts w:ascii="仿宋_GB2312" w:eastAsia="仿宋_GB2312" w:cs="Tahoma"/>
          <w:color w:val="000000" w:themeColor="text1"/>
          <w:sz w:val="28"/>
          <w:szCs w:val="28"/>
        </w:rPr>
      </w:pPr>
      <w:r>
        <w:rPr>
          <w:rFonts w:hint="eastAsia" w:ascii="仿宋_GB2312" w:eastAsia="仿宋_GB2312" w:cs="Tahoma"/>
          <w:color w:val="000000" w:themeColor="text1"/>
          <w:sz w:val="28"/>
          <w:szCs w:val="28"/>
        </w:rPr>
        <w:t>5、本估价报告需经注册房地产估价师签名盖章并加盖估价机构公章，作为一个整体使用有效，复印件无效。</w:t>
      </w:r>
    </w:p>
    <w:p>
      <w:pPr>
        <w:spacing w:line="600" w:lineRule="exact"/>
        <w:ind w:firstLine="560" w:firstLineChars="200"/>
        <w:rPr>
          <w:rFonts w:ascii="仿宋_GB2312" w:eastAsia="仿宋_GB2312" w:cs="Tahoma"/>
          <w:color w:val="000000" w:themeColor="text1"/>
          <w:sz w:val="28"/>
          <w:szCs w:val="28"/>
        </w:rPr>
      </w:pPr>
      <w:r>
        <w:rPr>
          <w:rFonts w:hint="eastAsia" w:ascii="仿宋_GB2312" w:eastAsia="仿宋_GB2312" w:cs="Tahoma"/>
          <w:color w:val="000000" w:themeColor="text1"/>
          <w:sz w:val="28"/>
          <w:szCs w:val="28"/>
        </w:rPr>
        <w:t>6、本估价报告所依据的有关资料由估价委托人提供，估价委托人对其资料的真实性负责。因资料失实造成评估结果有误差的，估价机构和注册房地产估价师不承担相应的责任。</w:t>
      </w:r>
    </w:p>
    <w:p>
      <w:pPr>
        <w:spacing w:line="600" w:lineRule="exact"/>
        <w:ind w:firstLine="560" w:firstLineChars="200"/>
        <w:rPr>
          <w:rFonts w:ascii="仿宋_GB2312" w:eastAsia="仿宋_GB2312" w:cs="Tahoma"/>
          <w:color w:val="000000" w:themeColor="text1"/>
          <w:sz w:val="28"/>
          <w:szCs w:val="28"/>
        </w:rPr>
      </w:pPr>
      <w:r>
        <w:rPr>
          <w:rFonts w:hint="eastAsia" w:ascii="仿宋_GB2312" w:eastAsia="仿宋_GB2312" w:cs="Tahoma"/>
          <w:color w:val="000000" w:themeColor="text1"/>
          <w:sz w:val="28"/>
          <w:szCs w:val="28"/>
        </w:rPr>
        <w:t>7、没有人对本估价报告提供重要的专业帮助。本估价报告由聊城市信远房地产评估有限公司负责解释。</w:t>
      </w:r>
    </w:p>
    <w:p>
      <w:pPr>
        <w:spacing w:line="600" w:lineRule="exact"/>
        <w:ind w:firstLine="560" w:firstLineChars="200"/>
        <w:rPr>
          <w:rFonts w:ascii="仿宋_GB2312" w:eastAsia="仿宋_GB2312" w:cs="Tahoma"/>
          <w:color w:val="000000" w:themeColor="text1"/>
          <w:sz w:val="28"/>
          <w:szCs w:val="28"/>
        </w:rPr>
      </w:pPr>
    </w:p>
    <w:p>
      <w:pPr>
        <w:spacing w:line="600" w:lineRule="exact"/>
        <w:ind w:firstLine="3220" w:firstLineChars="1150"/>
        <w:jc w:val="right"/>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聊城市信远房地产评估有限公司</w:t>
      </w:r>
    </w:p>
    <w:p>
      <w:pPr>
        <w:spacing w:line="600" w:lineRule="exact"/>
        <w:ind w:firstLine="4760" w:firstLineChars="1700"/>
        <w:jc w:val="center"/>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 xml:space="preserve">   2019年1月4日</w:t>
      </w:r>
    </w:p>
    <w:p>
      <w:pPr>
        <w:spacing w:line="600" w:lineRule="exact"/>
        <w:jc w:val="center"/>
        <w:rPr>
          <w:rFonts w:ascii="仿宋_GB2312" w:hAnsi="宋体" w:eastAsia="仿宋_GB2312" w:cs="Tahoma"/>
          <w:b/>
          <w:bCs/>
          <w:color w:val="000000" w:themeColor="text1"/>
          <w:sz w:val="48"/>
          <w:szCs w:val="48"/>
          <w:u w:val="single"/>
        </w:rPr>
      </w:pPr>
      <w:r>
        <w:rPr>
          <w:rFonts w:hint="eastAsia" w:ascii="仿宋_GB2312" w:hAnsi="宋体" w:eastAsia="仿宋_GB2312" w:cs="Tahoma"/>
          <w:b/>
          <w:bCs/>
          <w:color w:val="000000" w:themeColor="text1"/>
          <w:sz w:val="48"/>
          <w:szCs w:val="48"/>
          <w:u w:val="single"/>
        </w:rPr>
        <w:t>估价假设和限制条件</w:t>
      </w:r>
    </w:p>
    <w:p>
      <w:pPr>
        <w:pStyle w:val="11"/>
        <w:spacing w:after="0" w:line="500" w:lineRule="exact"/>
        <w:ind w:left="60" w:right="40" w:firstLine="576"/>
        <w:rPr>
          <w:rStyle w:val="51"/>
          <w:rFonts w:ascii="仿宋_GB2312" w:hAnsi="宋体" w:eastAsia="仿宋_GB2312"/>
          <w:color w:val="000000" w:themeColor="text1"/>
          <w:sz w:val="28"/>
          <w:szCs w:val="28"/>
          <w:lang w:eastAsia="zh-CN"/>
        </w:rPr>
      </w:pPr>
      <w:r>
        <w:rPr>
          <w:rStyle w:val="51"/>
          <w:rFonts w:hint="eastAsia" w:ascii="仿宋_GB2312" w:hAnsi="宋体" w:eastAsia="仿宋_GB2312"/>
          <w:color w:val="000000" w:themeColor="text1"/>
          <w:sz w:val="28"/>
          <w:szCs w:val="28"/>
          <w:lang w:eastAsia="zh-CN"/>
        </w:rPr>
        <w:t>一、估价假设条件</w:t>
      </w:r>
    </w:p>
    <w:p>
      <w:pPr>
        <w:pStyle w:val="11"/>
        <w:spacing w:after="0" w:line="500" w:lineRule="exact"/>
        <w:ind w:left="60" w:right="40" w:firstLine="400"/>
        <w:rPr>
          <w:rStyle w:val="50"/>
          <w:rFonts w:ascii="仿宋_GB2312" w:hAnsi="宋体" w:eastAsia="仿宋_GB2312"/>
          <w:color w:val="000000" w:themeColor="text1"/>
          <w:sz w:val="28"/>
          <w:szCs w:val="28"/>
          <w:lang w:val="zh-CN"/>
        </w:rPr>
      </w:pPr>
      <w:r>
        <w:rPr>
          <w:rStyle w:val="51"/>
          <w:rFonts w:hint="eastAsia" w:ascii="仿宋_GB2312" w:hAnsi="宋体" w:eastAsia="仿宋_GB2312"/>
          <w:color w:val="000000" w:themeColor="text1"/>
          <w:sz w:val="28"/>
          <w:szCs w:val="28"/>
          <w:lang w:eastAsia="zh-CN"/>
        </w:rPr>
        <w:t>（一）</w:t>
      </w:r>
      <w:r>
        <w:rPr>
          <w:rStyle w:val="50"/>
          <w:rFonts w:hint="eastAsia" w:ascii="仿宋_GB2312" w:hAnsi="宋体" w:eastAsia="仿宋_GB2312"/>
          <w:color w:val="000000" w:themeColor="text1"/>
          <w:sz w:val="28"/>
          <w:szCs w:val="28"/>
          <w:lang w:val="zh-CN"/>
        </w:rPr>
        <w:t>一般假设</w:t>
      </w:r>
    </w:p>
    <w:p>
      <w:pPr>
        <w:pStyle w:val="11"/>
        <w:spacing w:after="0" w:line="500" w:lineRule="exact"/>
        <w:ind w:left="61" w:leftChars="29" w:right="40" w:firstLine="652" w:firstLineChars="233"/>
        <w:rPr>
          <w:rStyle w:val="50"/>
          <w:rFonts w:ascii="仿宋_GB2312" w:hAnsi="宋体" w:eastAsia="仿宋_GB2312"/>
          <w:color w:val="000000" w:themeColor="text1"/>
          <w:sz w:val="28"/>
          <w:szCs w:val="28"/>
          <w:lang w:val="zh-CN"/>
        </w:rPr>
      </w:pPr>
      <w:r>
        <w:rPr>
          <w:rStyle w:val="50"/>
          <w:rFonts w:hint="eastAsia" w:ascii="仿宋_GB2312" w:hAnsi="宋体" w:eastAsia="仿宋_GB2312"/>
          <w:color w:val="000000" w:themeColor="text1"/>
          <w:sz w:val="28"/>
          <w:szCs w:val="28"/>
          <w:lang w:val="zh-CN"/>
        </w:rPr>
        <w:t>1、对权属证书审慎检查但未核实。估价委托人提供的估价对象的</w:t>
      </w:r>
      <w:r>
        <w:rPr>
          <w:rFonts w:hint="eastAsia" w:ascii="仿宋_GB2312" w:eastAsia="仿宋_GB2312"/>
          <w:color w:val="000000" w:themeColor="text1"/>
          <w:sz w:val="28"/>
          <w:szCs w:val="28"/>
        </w:rPr>
        <w:t>《</w:t>
      </w:r>
      <w:r>
        <w:rPr>
          <w:rFonts w:hint="eastAsia" w:ascii="仿宋_GB2312" w:hAnsi="宋体" w:eastAsia="仿宋_GB2312" w:cs="宋体"/>
          <w:color w:val="000000" w:themeColor="text1"/>
          <w:sz w:val="28"/>
          <w:szCs w:val="28"/>
        </w:rPr>
        <w:t>商品房买卖合同</w:t>
      </w:r>
      <w:r>
        <w:rPr>
          <w:rFonts w:hint="eastAsia" w:ascii="仿宋_GB2312" w:eastAsia="仿宋_GB2312"/>
          <w:color w:val="000000" w:themeColor="text1"/>
          <w:sz w:val="28"/>
          <w:szCs w:val="28"/>
        </w:rPr>
        <w:t>》</w:t>
      </w:r>
      <w:r>
        <w:rPr>
          <w:rStyle w:val="50"/>
          <w:rFonts w:hint="eastAsia" w:ascii="仿宋_GB2312" w:hAnsi="宋体" w:eastAsia="仿宋_GB2312"/>
          <w:color w:val="000000" w:themeColor="text1"/>
          <w:sz w:val="28"/>
          <w:szCs w:val="28"/>
          <w:lang w:val="zh-CN"/>
        </w:rPr>
        <w:t>复印件，我们未向有关部门进行核实，在无理由怀疑其合法性、真实性、准确性、完整性的情况下，假定估价委托人提供的资料合法、真实、准确、完整。</w:t>
      </w:r>
    </w:p>
    <w:p>
      <w:pPr>
        <w:pStyle w:val="11"/>
        <w:spacing w:after="0" w:line="500" w:lineRule="exact"/>
        <w:ind w:left="61" w:leftChars="29" w:right="-13" w:firstLine="652" w:firstLineChars="233"/>
        <w:rPr>
          <w:rStyle w:val="50"/>
          <w:rFonts w:ascii="仿宋_GB2312" w:hAnsi="宋体" w:eastAsia="仿宋_GB2312"/>
          <w:color w:val="000000" w:themeColor="text1"/>
          <w:sz w:val="28"/>
          <w:szCs w:val="28"/>
          <w:lang w:val="zh-CN"/>
        </w:rPr>
      </w:pPr>
      <w:r>
        <w:rPr>
          <w:rStyle w:val="50"/>
          <w:rFonts w:hint="eastAsia" w:ascii="仿宋_GB2312" w:hAnsi="宋体" w:eastAsia="仿宋_GB2312"/>
          <w:color w:val="000000" w:themeColor="text1"/>
          <w:sz w:val="28"/>
          <w:szCs w:val="28"/>
          <w:lang w:val="zh-CN"/>
        </w:rPr>
        <w:t>2、估价人员实地查勘的估价对象与估价委托人提供的《</w:t>
      </w:r>
      <w:r>
        <w:rPr>
          <w:rFonts w:hint="eastAsia" w:ascii="仿宋_GB2312" w:hAnsi="宋体" w:eastAsia="仿宋_GB2312" w:cs="宋体"/>
          <w:color w:val="000000" w:themeColor="text1"/>
          <w:sz w:val="28"/>
          <w:szCs w:val="28"/>
        </w:rPr>
        <w:t>司法询价委托函</w:t>
      </w:r>
      <w:r>
        <w:rPr>
          <w:rStyle w:val="50"/>
          <w:rFonts w:hint="eastAsia" w:ascii="仿宋_GB2312" w:hAnsi="宋体" w:eastAsia="仿宋_GB2312"/>
          <w:color w:val="000000" w:themeColor="text1"/>
          <w:sz w:val="28"/>
          <w:szCs w:val="28"/>
          <w:lang w:val="zh-CN"/>
        </w:rPr>
        <w:t>》所记载房屋具有唯一性、一致性。</w:t>
      </w:r>
    </w:p>
    <w:p>
      <w:pPr>
        <w:pStyle w:val="11"/>
        <w:spacing w:after="0" w:line="500" w:lineRule="exact"/>
        <w:ind w:left="61" w:leftChars="29" w:right="40" w:firstLine="652" w:firstLineChars="233"/>
        <w:rPr>
          <w:rStyle w:val="50"/>
          <w:rFonts w:ascii="仿宋_GB2312" w:hAnsi="宋体" w:eastAsia="仿宋_GB2312"/>
          <w:color w:val="000000" w:themeColor="text1"/>
          <w:sz w:val="28"/>
          <w:szCs w:val="28"/>
          <w:lang w:val="zh-CN"/>
        </w:rPr>
      </w:pPr>
      <w:r>
        <w:rPr>
          <w:rStyle w:val="50"/>
          <w:rFonts w:hint="eastAsia" w:ascii="仿宋_GB2312" w:hAnsi="宋体" w:eastAsia="仿宋_GB2312"/>
          <w:color w:val="000000" w:themeColor="text1"/>
          <w:sz w:val="28"/>
          <w:szCs w:val="28"/>
          <w:lang w:val="zh-CN"/>
        </w:rPr>
        <w:t>3、对房屋安全、环境污染关注但无鉴定、检测。注册房地产估价师已对房屋安全、环境污染等影响估价对象价值的重大因素给予了关注，在无理由怀疑估价对象存在安全隐患且无相应专业机构进行鉴定、检测的情况下，假定估价对象能正常使用。</w:t>
      </w:r>
    </w:p>
    <w:p>
      <w:pPr>
        <w:pStyle w:val="11"/>
        <w:spacing w:after="0" w:line="500" w:lineRule="exact"/>
        <w:ind w:left="61" w:leftChars="29" w:right="40" w:firstLine="652" w:firstLineChars="233"/>
        <w:rPr>
          <w:rStyle w:val="50"/>
          <w:rFonts w:ascii="仿宋_GB2312" w:hAnsi="宋体" w:eastAsia="仿宋_GB2312"/>
          <w:color w:val="000000" w:themeColor="text1"/>
          <w:sz w:val="28"/>
          <w:szCs w:val="28"/>
          <w:lang w:val="zh-CN"/>
        </w:rPr>
      </w:pPr>
      <w:r>
        <w:rPr>
          <w:rStyle w:val="50"/>
          <w:rFonts w:hint="eastAsia" w:ascii="仿宋_GB2312" w:hAnsi="宋体" w:eastAsia="仿宋_GB2312"/>
          <w:color w:val="000000" w:themeColor="text1"/>
          <w:sz w:val="28"/>
          <w:szCs w:val="28"/>
          <w:lang w:val="zh-CN"/>
        </w:rPr>
        <w:t>4、对房屋实地查勘，但对房屋建筑面积无专业测量。注册房地产估价师未对房屋建筑面积进行专业测量，经实地查勘，估价对象房屋建筑面积与</w:t>
      </w:r>
      <w:r>
        <w:rPr>
          <w:rFonts w:hint="eastAsia" w:ascii="仿宋_GB2312" w:eastAsia="仿宋_GB2312"/>
          <w:color w:val="000000" w:themeColor="text1"/>
          <w:sz w:val="28"/>
          <w:szCs w:val="28"/>
        </w:rPr>
        <w:t>《临清市嘉和置业有限公司“运河半岛”小区部分商铺面积》表</w:t>
      </w:r>
      <w:r>
        <w:rPr>
          <w:rStyle w:val="50"/>
          <w:rFonts w:hint="eastAsia" w:ascii="仿宋_GB2312" w:hAnsi="宋体" w:eastAsia="仿宋_GB2312"/>
          <w:color w:val="000000" w:themeColor="text1"/>
          <w:sz w:val="28"/>
          <w:szCs w:val="28"/>
          <w:lang w:val="zh-CN"/>
        </w:rPr>
        <w:t>记载的建筑面积大体相当。</w:t>
      </w:r>
    </w:p>
    <w:p>
      <w:pPr>
        <w:pStyle w:val="11"/>
        <w:spacing w:after="0" w:line="500" w:lineRule="exact"/>
        <w:ind w:left="61" w:leftChars="29" w:right="40" w:firstLine="652" w:firstLineChars="233"/>
        <w:rPr>
          <w:rStyle w:val="50"/>
          <w:rFonts w:ascii="仿宋_GB2312" w:hAnsi="宋体" w:eastAsia="仿宋_GB2312"/>
          <w:color w:val="000000" w:themeColor="text1"/>
          <w:sz w:val="28"/>
          <w:szCs w:val="28"/>
          <w:lang w:val="zh-CN"/>
        </w:rPr>
      </w:pPr>
      <w:r>
        <w:rPr>
          <w:rStyle w:val="50"/>
          <w:rFonts w:hint="eastAsia" w:ascii="仿宋_GB2312" w:hAnsi="宋体" w:eastAsia="仿宋_GB2312"/>
          <w:color w:val="000000" w:themeColor="text1"/>
          <w:sz w:val="28"/>
          <w:szCs w:val="28"/>
          <w:lang w:val="zh-CN"/>
        </w:rPr>
        <w:t>5、对房地产市场的假设。估价对象在价值时点的房地产市场为公开、平等、自愿的交易市场，即能同时满足下列条件：（1）交易双方自愿进行交易；（2）交易双方处于利己动机进行交易；（3）交易双方精明谨慎行事了解交易对象熟悉市场行情；（4）交易双方有较充裕时间进行交易；（5）不存在买家因特殊兴趣而附加出价。</w:t>
      </w:r>
    </w:p>
    <w:p>
      <w:pPr>
        <w:pStyle w:val="11"/>
        <w:spacing w:after="0" w:line="500" w:lineRule="exact"/>
        <w:ind w:left="61" w:leftChars="29" w:right="40" w:firstLine="652" w:firstLineChars="233"/>
        <w:rPr>
          <w:rStyle w:val="50"/>
          <w:rFonts w:ascii="仿宋_GB2312" w:hAnsi="宋体" w:eastAsia="仿宋_GB2312"/>
          <w:color w:val="000000" w:themeColor="text1"/>
          <w:sz w:val="28"/>
          <w:szCs w:val="28"/>
          <w:lang w:val="zh-CN"/>
        </w:rPr>
      </w:pPr>
      <w:r>
        <w:rPr>
          <w:rStyle w:val="50"/>
          <w:rFonts w:hint="eastAsia" w:ascii="仿宋_GB2312" w:hAnsi="宋体" w:eastAsia="仿宋_GB2312"/>
          <w:color w:val="000000" w:themeColor="text1"/>
          <w:sz w:val="28"/>
          <w:szCs w:val="28"/>
          <w:lang w:val="zh-CN"/>
        </w:rPr>
        <w:t>6、估价对象应享有公共部位的通行权及水电等共用设施的使用权。</w:t>
      </w:r>
    </w:p>
    <w:p>
      <w:pPr>
        <w:pStyle w:val="11"/>
        <w:spacing w:after="0" w:line="500" w:lineRule="exact"/>
        <w:ind w:left="60" w:right="40" w:firstLine="400"/>
        <w:rPr>
          <w:rStyle w:val="51"/>
          <w:rFonts w:ascii="仿宋_GB2312" w:hAnsi="宋体" w:eastAsia="仿宋_GB2312"/>
          <w:color w:val="000000" w:themeColor="text1"/>
          <w:sz w:val="28"/>
          <w:szCs w:val="28"/>
          <w:lang w:eastAsia="zh-CN"/>
        </w:rPr>
      </w:pPr>
      <w:r>
        <w:rPr>
          <w:rStyle w:val="51"/>
          <w:rFonts w:hint="eastAsia" w:ascii="仿宋_GB2312" w:hAnsi="宋体" w:eastAsia="仿宋_GB2312"/>
          <w:color w:val="000000" w:themeColor="text1"/>
          <w:sz w:val="28"/>
          <w:szCs w:val="28"/>
          <w:lang w:eastAsia="zh-CN"/>
        </w:rPr>
        <w:t>（二）特殊类假设</w:t>
      </w:r>
    </w:p>
    <w:p>
      <w:pPr>
        <w:pStyle w:val="11"/>
        <w:spacing w:after="0" w:line="500" w:lineRule="exact"/>
        <w:ind w:right="40" w:firstLine="560" w:firstLineChars="200"/>
        <w:rPr>
          <w:rStyle w:val="50"/>
          <w:rFonts w:ascii="仿宋_GB2312" w:hAnsi="宋体" w:eastAsia="仿宋_GB2312"/>
          <w:color w:val="FF0000"/>
          <w:sz w:val="28"/>
          <w:szCs w:val="28"/>
          <w:lang w:val="zh-CN"/>
        </w:rPr>
      </w:pPr>
      <w:r>
        <w:rPr>
          <w:rStyle w:val="50"/>
          <w:rFonts w:hint="eastAsia" w:ascii="仿宋_GB2312" w:hAnsi="宋体" w:eastAsia="仿宋_GB2312"/>
          <w:color w:val="000000" w:themeColor="text1"/>
          <w:sz w:val="28"/>
          <w:szCs w:val="28"/>
          <w:lang w:val="zh-CN"/>
        </w:rPr>
        <w:t>1、未定事项假设</w:t>
      </w:r>
      <w:r>
        <w:rPr>
          <w:rStyle w:val="50"/>
          <w:rFonts w:hint="eastAsia" w:ascii="仿宋_GB2312" w:hAnsi="宋体" w:eastAsia="仿宋_GB2312"/>
          <w:color w:val="FF0000"/>
          <w:sz w:val="28"/>
          <w:szCs w:val="28"/>
          <w:lang w:val="zh-CN"/>
        </w:rPr>
        <w:t>。估价对象为商铺，估价委托人未提供估价对象的《国有土地使用权证》。本次假定估价对象土地权属完备，合法用途为商业，国有出让建设用地。</w:t>
      </w:r>
    </w:p>
    <w:p>
      <w:pPr>
        <w:pStyle w:val="11"/>
        <w:spacing w:after="0" w:line="500" w:lineRule="exact"/>
        <w:ind w:right="40" w:firstLine="560" w:firstLineChars="200"/>
        <w:rPr>
          <w:rStyle w:val="50"/>
          <w:rFonts w:ascii="仿宋_GB2312" w:hAnsi="宋体" w:eastAsia="仿宋_GB2312"/>
          <w:color w:val="000000" w:themeColor="text1"/>
          <w:sz w:val="28"/>
          <w:szCs w:val="28"/>
          <w:lang w:val="zh-CN"/>
        </w:rPr>
      </w:pPr>
      <w:r>
        <w:rPr>
          <w:rStyle w:val="50"/>
          <w:rFonts w:hint="eastAsia" w:ascii="仿宋_GB2312" w:hAnsi="宋体" w:eastAsia="仿宋_GB2312"/>
          <w:color w:val="000000" w:themeColor="text1"/>
          <w:sz w:val="28"/>
          <w:szCs w:val="28"/>
          <w:lang w:val="zh-CN"/>
        </w:rPr>
        <w:t>2、背离事实假设。</w:t>
      </w:r>
    </w:p>
    <w:p>
      <w:pPr>
        <w:pStyle w:val="11"/>
        <w:spacing w:after="0" w:line="500" w:lineRule="exact"/>
        <w:ind w:right="-13" w:firstLine="420" w:firstLineChars="150"/>
        <w:rPr>
          <w:rStyle w:val="50"/>
          <w:rFonts w:ascii="仿宋_GB2312" w:hAnsi="宋体" w:eastAsia="仿宋_GB2312"/>
          <w:color w:val="000000" w:themeColor="text1"/>
          <w:sz w:val="28"/>
          <w:szCs w:val="28"/>
          <w:lang w:val="zh-CN"/>
        </w:rPr>
      </w:pPr>
      <w:r>
        <w:rPr>
          <w:rStyle w:val="50"/>
          <w:rFonts w:hint="eastAsia" w:ascii="仿宋_GB2312" w:hAnsi="宋体" w:eastAsia="仿宋_GB2312"/>
          <w:color w:val="000000" w:themeColor="text1"/>
          <w:sz w:val="28"/>
          <w:szCs w:val="28"/>
          <w:lang w:val="zh-CN"/>
        </w:rPr>
        <w:t>本次估价不考虑估价对象已设定抵押权因素的影响，估价结果也未扣除抵押权利价值。也未考虑估价对象被查封、原有的担保物权及其他优先受偿权对估价结果的影响。</w:t>
      </w:r>
    </w:p>
    <w:p>
      <w:pPr>
        <w:pStyle w:val="11"/>
        <w:numPr>
          <w:ilvl w:val="0"/>
          <w:numId w:val="6"/>
        </w:numPr>
        <w:spacing w:after="0" w:line="500" w:lineRule="exact"/>
        <w:ind w:right="40" w:firstLine="560" w:firstLineChars="200"/>
        <w:rPr>
          <w:rStyle w:val="50"/>
          <w:rFonts w:ascii="仿宋_GB2312" w:hAnsi="宋体" w:eastAsia="仿宋_GB2312"/>
          <w:color w:val="000000" w:themeColor="text1"/>
          <w:sz w:val="28"/>
          <w:szCs w:val="28"/>
          <w:lang w:val="zh-CN"/>
        </w:rPr>
      </w:pPr>
      <w:r>
        <w:rPr>
          <w:rStyle w:val="50"/>
          <w:rFonts w:hint="eastAsia" w:ascii="仿宋_GB2312" w:hAnsi="宋体" w:eastAsia="仿宋_GB2312"/>
          <w:color w:val="000000" w:themeColor="text1"/>
          <w:sz w:val="28"/>
          <w:szCs w:val="28"/>
          <w:lang w:val="zh-CN"/>
        </w:rPr>
        <w:t>不相一致假设。本次评估无不相一致假设</w:t>
      </w:r>
    </w:p>
    <w:p>
      <w:pPr>
        <w:pStyle w:val="11"/>
        <w:spacing w:after="0" w:line="500" w:lineRule="exact"/>
        <w:ind w:right="40" w:firstLine="560" w:firstLineChars="200"/>
        <w:rPr>
          <w:rStyle w:val="50"/>
          <w:rFonts w:ascii="仿宋_GB2312" w:hAnsi="宋体" w:eastAsia="仿宋_GB2312"/>
          <w:color w:val="000000" w:themeColor="text1"/>
          <w:sz w:val="28"/>
          <w:szCs w:val="28"/>
          <w:lang w:val="zh-CN"/>
        </w:rPr>
      </w:pPr>
      <w:r>
        <w:rPr>
          <w:rStyle w:val="50"/>
          <w:rFonts w:hint="eastAsia" w:ascii="仿宋_GB2312" w:hAnsi="宋体" w:eastAsia="仿宋_GB2312"/>
          <w:color w:val="000000" w:themeColor="text1"/>
          <w:sz w:val="28"/>
          <w:szCs w:val="28"/>
          <w:lang w:val="zh-CN"/>
        </w:rPr>
        <w:t>4、依据不足假设。</w:t>
      </w:r>
    </w:p>
    <w:p>
      <w:pPr>
        <w:spacing w:line="500" w:lineRule="exact"/>
        <w:ind w:right="-87" w:firstLine="560" w:firstLineChars="200"/>
        <w:rPr>
          <w:rFonts w:ascii="仿宋_GB2312" w:hAnsi="宋体" w:eastAsia="仿宋_GB2312"/>
          <w:sz w:val="28"/>
          <w:szCs w:val="28"/>
        </w:rPr>
      </w:pPr>
      <w:r>
        <w:rPr>
          <w:rStyle w:val="50"/>
          <w:rFonts w:hint="eastAsia" w:ascii="仿宋_GB2312" w:hAnsi="宋体" w:eastAsia="仿宋_GB2312"/>
          <w:sz w:val="28"/>
          <w:szCs w:val="28"/>
          <w:lang w:val="zh-CN"/>
        </w:rPr>
        <w:t>估价委托人与估价对象权利人不是同一人，假设估价对象权利人已同意估价委托人使用该宗房产用于市场价值</w:t>
      </w:r>
      <w:r>
        <w:rPr>
          <w:rFonts w:hint="eastAsia" w:ascii="仿宋_GB2312" w:hAnsi="宋体" w:eastAsia="仿宋_GB2312"/>
          <w:sz w:val="28"/>
          <w:szCs w:val="28"/>
        </w:rPr>
        <w:t>评估。</w:t>
      </w:r>
    </w:p>
    <w:p>
      <w:pPr>
        <w:pStyle w:val="11"/>
        <w:spacing w:after="0" w:line="500" w:lineRule="exact"/>
        <w:ind w:left="60" w:right="40" w:firstLine="400"/>
        <w:rPr>
          <w:rStyle w:val="50"/>
          <w:rFonts w:ascii="仿宋_GB2312" w:hAnsi="宋体" w:eastAsia="仿宋_GB2312"/>
          <w:color w:val="000000" w:themeColor="text1"/>
          <w:sz w:val="28"/>
          <w:szCs w:val="28"/>
          <w:lang w:val="zh-CN"/>
        </w:rPr>
      </w:pPr>
      <w:r>
        <w:rPr>
          <w:rStyle w:val="50"/>
          <w:rFonts w:hint="eastAsia" w:ascii="仿宋_GB2312" w:hAnsi="宋体" w:eastAsia="仿宋_GB2312"/>
          <w:color w:val="000000" w:themeColor="text1"/>
          <w:sz w:val="28"/>
          <w:szCs w:val="28"/>
          <w:lang w:val="zh-CN"/>
        </w:rPr>
        <w:t>二、估价限制条件</w:t>
      </w:r>
    </w:p>
    <w:p>
      <w:pPr>
        <w:pStyle w:val="15"/>
        <w:spacing w:line="500" w:lineRule="exact"/>
        <w:ind w:firstLine="560" w:firstLineChars="200"/>
        <w:rPr>
          <w:rFonts w:ascii="仿宋" w:hAnsi="仿宋" w:eastAsia="仿宋"/>
        </w:rPr>
      </w:pPr>
      <w:r>
        <w:rPr>
          <w:rFonts w:hint="eastAsia" w:ascii="仿宋_GB2312" w:eastAsia="仿宋_GB2312"/>
          <w:color w:val="000000" w:themeColor="text1"/>
          <w:szCs w:val="28"/>
        </w:rPr>
        <w:t>1、本估价报告使用期限自估价报告出具之日起为一年。</w:t>
      </w:r>
      <w:r>
        <w:rPr>
          <w:rFonts w:hint="eastAsia" w:ascii="仿宋" w:hAnsi="仿宋" w:eastAsia="仿宋"/>
        </w:rPr>
        <w:t>但在价值时点后报告有效期内，估价对象的质量及价格标准发生变化，并对估价对象价值产生明显影响时，不能直接使用本估价结果；自出具之日起超过一年，需重新进行估价。</w:t>
      </w:r>
    </w:p>
    <w:p>
      <w:pPr>
        <w:spacing w:line="480" w:lineRule="exact"/>
        <w:ind w:firstLine="560" w:firstLineChars="200"/>
        <w:rPr>
          <w:rFonts w:ascii="仿宋_GB2312" w:hAnsi="宋体" w:eastAsia="仿宋_GB2312"/>
          <w:color w:val="000000" w:themeColor="text1"/>
          <w:sz w:val="28"/>
          <w:szCs w:val="28"/>
        </w:rPr>
      </w:pPr>
      <w:r>
        <w:rPr>
          <w:rFonts w:hint="eastAsia" w:ascii="仿宋_GB2312" w:eastAsia="仿宋_GB2312"/>
          <w:color w:val="000000" w:themeColor="text1"/>
          <w:sz w:val="28"/>
          <w:szCs w:val="28"/>
        </w:rPr>
        <w:t>2、本报告结果为房地产市场价值，是房地产经适当营销后，由熟悉情况谨慎行事且不受强迫的交易双方，以公平交易方式在价值时点自愿进行交易的金额</w:t>
      </w:r>
      <w:r>
        <w:rPr>
          <w:rFonts w:hint="eastAsia" w:ascii="仿宋_GB2312" w:hAnsi="宋体" w:eastAsia="仿宋_GB2312"/>
          <w:color w:val="000000" w:themeColor="text1"/>
          <w:sz w:val="28"/>
          <w:szCs w:val="28"/>
        </w:rPr>
        <w:t>。</w:t>
      </w:r>
      <w:r>
        <w:rPr>
          <w:rFonts w:hint="eastAsia" w:ascii="仿宋_GB2312" w:eastAsia="仿宋_GB2312"/>
          <w:color w:val="000000" w:themeColor="text1"/>
          <w:sz w:val="28"/>
          <w:szCs w:val="28"/>
        </w:rPr>
        <w:t>未考虑快速变现等处分方式带来的影响。</w:t>
      </w:r>
    </w:p>
    <w:p>
      <w:pPr>
        <w:spacing w:line="500" w:lineRule="exact"/>
        <w:outlineLvl w:val="1"/>
        <w:rPr>
          <w:rFonts w:ascii="仿宋_GB2312" w:eastAsia="仿宋_GB2312"/>
          <w:color w:val="000000" w:themeColor="text1"/>
          <w:sz w:val="28"/>
          <w:szCs w:val="28"/>
        </w:rPr>
      </w:pPr>
      <w:r>
        <w:rPr>
          <w:rFonts w:hint="eastAsia" w:ascii="仿宋_GB2312" w:eastAsia="仿宋_GB2312"/>
          <w:color w:val="000000" w:themeColor="text1"/>
          <w:sz w:val="28"/>
          <w:szCs w:val="28"/>
        </w:rPr>
        <w:t>　  3、本报告估价目的仅为</w:t>
      </w:r>
      <w:r>
        <w:rPr>
          <w:rFonts w:hint="eastAsia" w:ascii="仿宋_GB2312" w:hAnsi="宋体" w:eastAsia="仿宋_GB2312"/>
          <w:color w:val="000000" w:themeColor="text1"/>
          <w:sz w:val="28"/>
          <w:szCs w:val="28"/>
        </w:rPr>
        <w:t>司法机关确定涉案房地产的市场价值提供参考依据</w:t>
      </w:r>
      <w:r>
        <w:rPr>
          <w:rFonts w:hint="eastAsia" w:ascii="仿宋_GB2312" w:eastAsia="仿宋_GB2312"/>
          <w:color w:val="000000" w:themeColor="text1"/>
          <w:sz w:val="28"/>
          <w:szCs w:val="28"/>
        </w:rPr>
        <w:t>，不适于任何其他估价目的，若改变估价目的，则需另行评估。</w:t>
      </w:r>
      <w:r>
        <w:rPr>
          <w:rFonts w:hint="eastAsia" w:ascii="仿宋_GB2312" w:hAnsi="Courier New" w:eastAsia="仿宋_GB2312" w:cs="Courier New"/>
          <w:i/>
          <w:color w:val="000000" w:themeColor="text1"/>
          <w:sz w:val="28"/>
          <w:szCs w:val="28"/>
        </w:rPr>
        <w:t>　　　</w:t>
      </w:r>
    </w:p>
    <w:p>
      <w:pPr>
        <w:pStyle w:val="11"/>
        <w:spacing w:after="0" w:line="500" w:lineRule="exact"/>
        <w:ind w:left="61" w:leftChars="29" w:right="40" w:firstLine="560" w:firstLineChars="200"/>
        <w:rPr>
          <w:rStyle w:val="50"/>
          <w:rFonts w:ascii="仿宋_GB2312" w:hAnsi="宋体" w:eastAsia="仿宋_GB2312"/>
          <w:color w:val="000000" w:themeColor="text1"/>
          <w:sz w:val="28"/>
          <w:szCs w:val="28"/>
          <w:lang w:val="zh-CN"/>
        </w:rPr>
      </w:pPr>
      <w:r>
        <w:rPr>
          <w:rFonts w:hint="eastAsia" w:ascii="仿宋_GB2312" w:eastAsia="仿宋_GB2312"/>
          <w:color w:val="000000" w:themeColor="text1"/>
          <w:sz w:val="28"/>
          <w:szCs w:val="28"/>
        </w:rPr>
        <w:t>4、</w:t>
      </w:r>
      <w:r>
        <w:rPr>
          <w:rStyle w:val="50"/>
          <w:rFonts w:hint="eastAsia" w:ascii="仿宋_GB2312" w:hAnsi="宋体" w:eastAsia="仿宋_GB2312"/>
          <w:color w:val="000000" w:themeColor="text1"/>
          <w:sz w:val="28"/>
          <w:szCs w:val="28"/>
          <w:lang w:val="zh-CN"/>
        </w:rPr>
        <w:t>本估价报告分为“估价结果报告”和“估价技术报告”两部分。“估价结果报告”提供给估价委托人，“估价技术报告”根据有关规定由估价机构存档和有关管理部门查阅时使用。</w:t>
      </w:r>
    </w:p>
    <w:p>
      <w:pPr>
        <w:adjustRightInd w:val="0"/>
        <w:snapToGrid w:val="0"/>
        <w:spacing w:line="500" w:lineRule="exact"/>
        <w:ind w:firstLine="420" w:firstLineChars="150"/>
        <w:rPr>
          <w:rFonts w:ascii="仿宋_GB2312" w:eastAsia="仿宋_GB2312"/>
          <w:color w:val="000000" w:themeColor="text1"/>
          <w:sz w:val="28"/>
          <w:szCs w:val="28"/>
        </w:rPr>
      </w:pPr>
      <w:r>
        <w:rPr>
          <w:rFonts w:hint="eastAsia" w:ascii="仿宋_GB2312" w:eastAsia="仿宋_GB2312"/>
          <w:color w:val="000000" w:themeColor="text1"/>
          <w:sz w:val="28"/>
          <w:szCs w:val="28"/>
        </w:rPr>
        <w:t>　5、</w:t>
      </w:r>
      <w:r>
        <w:rPr>
          <w:rFonts w:hint="eastAsia" w:ascii="仿宋_GB2312" w:hAnsi="宋体" w:eastAsia="仿宋_GB2312"/>
          <w:color w:val="000000" w:themeColor="text1"/>
          <w:sz w:val="28"/>
          <w:szCs w:val="28"/>
        </w:rPr>
        <w:t>本次估价报告书未经估价机构同意，不得向估价委托人及本次估价目的下的报告使用者以外的单位和个人提供，报告的部分或全部内容不得发表于任何公开媒体上。</w:t>
      </w:r>
      <w:r>
        <w:rPr>
          <w:rFonts w:hint="eastAsia" w:ascii="仿宋_GB2312" w:eastAsia="仿宋_GB2312"/>
          <w:color w:val="000000" w:themeColor="text1"/>
          <w:sz w:val="28"/>
          <w:szCs w:val="28"/>
        </w:rPr>
        <w:t>　　</w:t>
      </w:r>
    </w:p>
    <w:p>
      <w:pPr>
        <w:pStyle w:val="15"/>
        <w:snapToGrid w:val="0"/>
        <w:spacing w:line="500" w:lineRule="exact"/>
        <w:ind w:firstLine="560" w:firstLineChars="200"/>
        <w:rPr>
          <w:rFonts w:ascii="仿宋_GB2312" w:eastAsia="仿宋_GB2312"/>
          <w:color w:val="000000" w:themeColor="text1"/>
          <w:szCs w:val="28"/>
        </w:rPr>
      </w:pPr>
      <w:r>
        <w:rPr>
          <w:rFonts w:hint="eastAsia" w:ascii="仿宋_GB2312" w:hAnsi="宋体" w:eastAsia="仿宋_GB2312"/>
          <w:color w:val="000000" w:themeColor="text1"/>
          <w:szCs w:val="28"/>
        </w:rPr>
        <w:t>6、</w:t>
      </w:r>
      <w:r>
        <w:rPr>
          <w:rFonts w:hint="eastAsia" w:ascii="仿宋_GB2312" w:eastAsia="仿宋_GB2312"/>
          <w:color w:val="000000" w:themeColor="text1"/>
          <w:szCs w:val="28"/>
        </w:rPr>
        <w:t>估价委托人必须完整使用本报告，对仅使用报告中的部分内容或片面使用导致的有关损失，估价机构不承担责任。</w:t>
      </w:r>
    </w:p>
    <w:p>
      <w:pPr>
        <w:pStyle w:val="15"/>
        <w:snapToGrid w:val="0"/>
        <w:spacing w:line="500" w:lineRule="exact"/>
        <w:ind w:firstLine="560" w:firstLineChars="200"/>
        <w:rPr>
          <w:rFonts w:ascii="仿宋_GB2312" w:eastAsia="仿宋_GB2312"/>
          <w:color w:val="000000" w:themeColor="text1"/>
          <w:szCs w:val="28"/>
        </w:rPr>
      </w:pPr>
      <w:r>
        <w:rPr>
          <w:rFonts w:hint="eastAsia" w:ascii="仿宋_GB2312" w:eastAsia="仿宋_GB2312"/>
          <w:color w:val="000000" w:themeColor="text1"/>
          <w:szCs w:val="28"/>
        </w:rPr>
        <w:t>7、如发现本估价报告文字或数字因校对或其他类似原因出现差错时，请通知本公司进行更正。</w:t>
      </w:r>
    </w:p>
    <w:p>
      <w:pPr>
        <w:pStyle w:val="15"/>
        <w:snapToGrid w:val="0"/>
        <w:spacing w:line="500" w:lineRule="exact"/>
        <w:ind w:firstLine="560" w:firstLineChars="200"/>
        <w:rPr>
          <w:rFonts w:ascii="仿宋_GB2312" w:eastAsia="仿宋_GB2312"/>
          <w:color w:val="000000" w:themeColor="text1"/>
          <w:szCs w:val="28"/>
        </w:rPr>
      </w:pPr>
      <w:r>
        <w:rPr>
          <w:rFonts w:hint="eastAsia" w:ascii="仿宋_GB2312" w:eastAsia="仿宋_GB2312"/>
          <w:color w:val="000000" w:themeColor="text1"/>
          <w:szCs w:val="28"/>
        </w:rPr>
        <w:t>三、特别说明</w:t>
      </w:r>
    </w:p>
    <w:p>
      <w:pPr>
        <w:spacing w:line="480" w:lineRule="exact"/>
        <w:ind w:firstLine="560" w:firstLineChars="200"/>
        <w:rPr>
          <w:rFonts w:ascii="仿宋_GB2312" w:hAnsi="宋体" w:eastAsia="仿宋_GB2312"/>
          <w:color w:val="000000" w:themeColor="text1"/>
          <w:sz w:val="28"/>
          <w:szCs w:val="28"/>
        </w:rPr>
      </w:pPr>
      <w:r>
        <w:rPr>
          <w:rFonts w:hint="eastAsia" w:ascii="仿宋_GB2312" w:eastAsia="仿宋_GB2312"/>
          <w:color w:val="000000" w:themeColor="text1"/>
          <w:sz w:val="28"/>
          <w:szCs w:val="28"/>
        </w:rPr>
        <w:t>1、估价结果为房地产市场价值，是房地产经适当营销后，由熟悉情况谨慎行事且不受强迫的交易双方，以公平交易方式在价值时点自愿进行交易的金额</w:t>
      </w:r>
      <w:r>
        <w:rPr>
          <w:rFonts w:hint="eastAsia" w:ascii="仿宋_GB2312" w:hAnsi="宋体" w:eastAsia="仿宋_GB2312"/>
          <w:color w:val="000000" w:themeColor="text1"/>
          <w:sz w:val="28"/>
          <w:szCs w:val="28"/>
        </w:rPr>
        <w:t>。</w:t>
      </w:r>
    </w:p>
    <w:p>
      <w:pPr>
        <w:spacing w:line="48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2、现实房地产交易中，一般难以达到理想的公开市场条件，致使实际交易价格往往与估价结果不够一致。</w:t>
      </w:r>
    </w:p>
    <w:p>
      <w:pPr>
        <w:spacing w:line="480" w:lineRule="exact"/>
        <w:ind w:firstLine="420" w:firstLineChars="15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3、估价结果没有扣除变现过程中发生的处置费用和税金。</w:t>
      </w:r>
    </w:p>
    <w:p>
      <w:pPr>
        <w:spacing w:line="480" w:lineRule="exact"/>
        <w:ind w:firstLine="420" w:firstLineChars="150"/>
        <w:rPr>
          <w:rFonts w:ascii="仿宋_GB2312" w:hAnsi="Courier New" w:eastAsia="仿宋_GB2312" w:cs="Courier New"/>
          <w:i/>
          <w:color w:val="000000" w:themeColor="text1"/>
          <w:szCs w:val="28"/>
        </w:rPr>
      </w:pPr>
      <w:r>
        <w:rPr>
          <w:rFonts w:hint="eastAsia" w:ascii="仿宋_GB2312" w:hAnsi="宋体" w:eastAsia="仿宋_GB2312"/>
          <w:color w:val="000000" w:themeColor="text1"/>
          <w:sz w:val="28"/>
          <w:szCs w:val="28"/>
        </w:rPr>
        <w:t>4、处置商铺时，应考虑是否拖欠物业管理费、水电费等。</w:t>
      </w: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Courier New" w:eastAsia="仿宋_GB2312" w:cs="Courier New"/>
          <w:i/>
          <w:color w:val="000000" w:themeColor="text1"/>
          <w:szCs w:val="28"/>
        </w:rPr>
      </w:pPr>
    </w:p>
    <w:p>
      <w:pPr>
        <w:pStyle w:val="15"/>
        <w:snapToGrid w:val="0"/>
        <w:spacing w:line="500" w:lineRule="exact"/>
        <w:ind w:firstLine="560" w:firstLineChars="200"/>
        <w:jc w:val="right"/>
        <w:rPr>
          <w:rFonts w:ascii="仿宋_GB2312" w:hAnsi="宋体" w:eastAsia="仿宋_GB2312" w:cs="Tahoma"/>
          <w:color w:val="000000" w:themeColor="text1"/>
          <w:szCs w:val="28"/>
        </w:rPr>
      </w:pPr>
      <w:r>
        <w:rPr>
          <w:rFonts w:hint="eastAsia" w:ascii="仿宋_GB2312" w:hAnsi="Courier New" w:eastAsia="仿宋_GB2312" w:cs="Courier New"/>
          <w:i/>
          <w:color w:val="000000" w:themeColor="text1"/>
          <w:szCs w:val="28"/>
        </w:rPr>
        <w:t>　</w:t>
      </w:r>
      <w:r>
        <w:rPr>
          <w:rFonts w:hint="eastAsia" w:ascii="仿宋_GB2312" w:hAnsi="宋体" w:eastAsia="仿宋_GB2312" w:cs="Tahoma"/>
          <w:color w:val="000000" w:themeColor="text1"/>
          <w:szCs w:val="28"/>
        </w:rPr>
        <w:t>聊城市信远房地产评估有限公司</w:t>
      </w:r>
    </w:p>
    <w:p>
      <w:pPr>
        <w:spacing w:line="500" w:lineRule="exact"/>
        <w:rPr>
          <w:rFonts w:ascii="仿宋_GB2312" w:hAnsi="宋体" w:eastAsia="仿宋_GB2312"/>
          <w:color w:val="000000" w:themeColor="text1"/>
          <w:spacing w:val="4"/>
          <w:sz w:val="28"/>
          <w:szCs w:val="28"/>
        </w:rPr>
      </w:pPr>
      <w:r>
        <w:rPr>
          <w:rFonts w:hint="eastAsia" w:ascii="仿宋_GB2312" w:hAnsi="宋体" w:eastAsia="仿宋_GB2312" w:cs="Tahoma"/>
          <w:color w:val="000000" w:themeColor="text1"/>
          <w:sz w:val="28"/>
          <w:szCs w:val="28"/>
        </w:rPr>
        <w:t xml:space="preserve">                                            2019年1月4日</w:t>
      </w:r>
    </w:p>
    <w:bookmarkEnd w:id="13"/>
    <w:p>
      <w:pPr>
        <w:spacing w:line="600" w:lineRule="exact"/>
        <w:jc w:val="center"/>
        <w:rPr>
          <w:rFonts w:ascii="仿宋_GB2312" w:hAnsi="宋体" w:eastAsia="仿宋_GB2312" w:cs="Tahoma"/>
          <w:b/>
          <w:bCs/>
          <w:color w:val="000000" w:themeColor="text1"/>
          <w:spacing w:val="97"/>
          <w:kern w:val="0"/>
          <w:sz w:val="48"/>
          <w:szCs w:val="48"/>
          <w:u w:val="single"/>
        </w:rPr>
      </w:pPr>
      <w:bookmarkStart w:id="14" w:name="_Toc298769620"/>
    </w:p>
    <w:p>
      <w:pPr>
        <w:spacing w:line="600" w:lineRule="exact"/>
        <w:jc w:val="center"/>
        <w:rPr>
          <w:rFonts w:ascii="仿宋_GB2312" w:hAnsi="宋体" w:eastAsia="仿宋_GB2312" w:cs="Tahoma"/>
          <w:b/>
          <w:bCs/>
          <w:color w:val="000000" w:themeColor="text1"/>
          <w:spacing w:val="97"/>
          <w:kern w:val="0"/>
          <w:sz w:val="48"/>
          <w:szCs w:val="48"/>
          <w:u w:val="single"/>
        </w:rPr>
      </w:pPr>
    </w:p>
    <w:p>
      <w:pPr>
        <w:spacing w:line="600" w:lineRule="exact"/>
        <w:jc w:val="center"/>
        <w:rPr>
          <w:rFonts w:ascii="仿宋_GB2312" w:hAnsi="宋体" w:eastAsia="仿宋_GB2312" w:cs="Tahoma"/>
          <w:b/>
          <w:bCs/>
          <w:color w:val="000000" w:themeColor="text1"/>
          <w:spacing w:val="97"/>
          <w:kern w:val="0"/>
          <w:sz w:val="48"/>
          <w:szCs w:val="48"/>
          <w:u w:val="single"/>
        </w:rPr>
      </w:pPr>
    </w:p>
    <w:p>
      <w:pPr>
        <w:spacing w:line="600" w:lineRule="exact"/>
        <w:jc w:val="center"/>
        <w:rPr>
          <w:rFonts w:ascii="仿宋_GB2312" w:hAnsi="宋体" w:eastAsia="仿宋_GB2312" w:cs="Tahoma"/>
          <w:b/>
          <w:bCs/>
          <w:color w:val="000000" w:themeColor="text1"/>
          <w:sz w:val="48"/>
          <w:szCs w:val="48"/>
          <w:u w:val="single"/>
        </w:rPr>
      </w:pPr>
      <w:r>
        <w:rPr>
          <w:rFonts w:hint="eastAsia" w:ascii="仿宋_GB2312" w:hAnsi="宋体" w:eastAsia="仿宋_GB2312" w:cs="Tahoma"/>
          <w:b/>
          <w:bCs/>
          <w:color w:val="000000" w:themeColor="text1"/>
          <w:spacing w:val="97"/>
          <w:kern w:val="0"/>
          <w:sz w:val="48"/>
          <w:szCs w:val="48"/>
          <w:u w:val="single"/>
        </w:rPr>
        <w:t>估价结果报</w:t>
      </w:r>
      <w:r>
        <w:rPr>
          <w:rFonts w:hint="eastAsia" w:ascii="仿宋_GB2312" w:hAnsi="宋体" w:eastAsia="仿宋_GB2312" w:cs="Tahoma"/>
          <w:b/>
          <w:bCs/>
          <w:color w:val="000000" w:themeColor="text1"/>
          <w:spacing w:val="-2"/>
          <w:kern w:val="0"/>
          <w:sz w:val="48"/>
          <w:szCs w:val="48"/>
          <w:u w:val="single"/>
        </w:rPr>
        <w:t>告</w:t>
      </w:r>
    </w:p>
    <w:p>
      <w:pPr>
        <w:tabs>
          <w:tab w:val="left" w:pos="1950"/>
          <w:tab w:val="center" w:pos="4498"/>
        </w:tabs>
        <w:spacing w:line="540" w:lineRule="exact"/>
        <w:ind w:firstLine="560" w:firstLineChars="200"/>
        <w:jc w:val="left"/>
        <w:rPr>
          <w:rFonts w:ascii="仿宋_GB2312" w:hAnsi="仿宋_GB2312" w:eastAsia="仿宋_GB2312" w:cs="仿宋_GB2312"/>
          <w:color w:val="000000" w:themeColor="text1"/>
          <w:sz w:val="28"/>
          <w:szCs w:val="28"/>
        </w:rPr>
      </w:pPr>
      <w:r>
        <w:rPr>
          <w:rFonts w:hint="eastAsia" w:ascii="仿宋_GB2312" w:eastAsia="仿宋_GB2312"/>
          <w:color w:val="000000" w:themeColor="text1"/>
          <w:sz w:val="28"/>
          <w:szCs w:val="28"/>
        </w:rPr>
        <w:t>一</w:t>
      </w:r>
      <w:bookmarkEnd w:id="14"/>
      <w:r>
        <w:rPr>
          <w:rFonts w:hint="eastAsia" w:ascii="仿宋_GB2312" w:eastAsia="仿宋_GB2312"/>
          <w:color w:val="000000" w:themeColor="text1"/>
          <w:sz w:val="28"/>
          <w:szCs w:val="28"/>
        </w:rPr>
        <w:t>、</w:t>
      </w:r>
      <w:r>
        <w:rPr>
          <w:rFonts w:hint="eastAsia" w:ascii="仿宋_GB2312" w:hAnsi="宋体" w:eastAsia="仿宋_GB2312" w:cs="Tahoma"/>
          <w:b/>
          <w:color w:val="000000" w:themeColor="text1"/>
          <w:sz w:val="28"/>
          <w:szCs w:val="28"/>
        </w:rPr>
        <w:t>估价委托人：</w:t>
      </w:r>
      <w:r>
        <w:rPr>
          <w:rFonts w:hint="eastAsia" w:ascii="仿宋_GB2312" w:hAnsi="宋体" w:eastAsia="仿宋_GB2312" w:cs="宋体"/>
          <w:color w:val="000000" w:themeColor="text1"/>
          <w:sz w:val="28"/>
          <w:szCs w:val="28"/>
        </w:rPr>
        <w:t>山东产权交易中心有限公司</w:t>
      </w:r>
    </w:p>
    <w:p>
      <w:pPr>
        <w:spacing w:line="540" w:lineRule="exact"/>
        <w:ind w:firstLine="551" w:firstLineChars="196"/>
        <w:rPr>
          <w:rFonts w:ascii="仿宋_GB2312" w:hAnsi="宋体" w:eastAsia="仿宋_GB2312" w:cs="Tahoma"/>
          <w:b/>
          <w:color w:val="000000" w:themeColor="text1"/>
          <w:sz w:val="28"/>
          <w:szCs w:val="28"/>
        </w:rPr>
      </w:pPr>
      <w:bookmarkStart w:id="15" w:name="_Toc298769622"/>
      <w:r>
        <w:rPr>
          <w:rFonts w:hint="eastAsia" w:ascii="仿宋_GB2312" w:hAnsi="宋体" w:eastAsia="仿宋_GB2312" w:cs="Tahoma"/>
          <w:b/>
          <w:color w:val="000000" w:themeColor="text1"/>
          <w:sz w:val="28"/>
          <w:szCs w:val="28"/>
        </w:rPr>
        <w:t>二、房地产估价机构：聊城市信远房地产评估有限公司</w:t>
      </w:r>
    </w:p>
    <w:p>
      <w:pPr>
        <w:spacing w:line="540" w:lineRule="exact"/>
        <w:ind w:firstLine="560" w:firstLineChars="200"/>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法定代表人：周  玲</w:t>
      </w:r>
    </w:p>
    <w:p>
      <w:pPr>
        <w:spacing w:line="540" w:lineRule="exact"/>
        <w:ind w:firstLine="560" w:firstLineChars="200"/>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地      址：山东省聊城市东昌东路65号</w:t>
      </w:r>
    </w:p>
    <w:p>
      <w:pPr>
        <w:spacing w:line="540" w:lineRule="exact"/>
        <w:ind w:firstLine="560" w:firstLineChars="200"/>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统一社会信用代码：91371500569019216F</w:t>
      </w:r>
    </w:p>
    <w:p>
      <w:pPr>
        <w:spacing w:line="540" w:lineRule="exact"/>
        <w:ind w:firstLine="560" w:firstLineChars="200"/>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资 质 等 级：贰 级</w:t>
      </w:r>
    </w:p>
    <w:p>
      <w:pPr>
        <w:spacing w:line="540" w:lineRule="exact"/>
        <w:ind w:firstLine="560" w:firstLineChars="200"/>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证 书 编 号：鲁评152001</w:t>
      </w:r>
    </w:p>
    <w:p>
      <w:pPr>
        <w:widowControl/>
        <w:tabs>
          <w:tab w:val="left" w:pos="7783"/>
          <w:tab w:val="left" w:pos="8820"/>
        </w:tabs>
        <w:adjustRightInd w:val="0"/>
        <w:snapToGrid w:val="0"/>
        <w:spacing w:line="540" w:lineRule="exact"/>
        <w:ind w:firstLine="548" w:firstLineChars="195"/>
        <w:jc w:val="left"/>
        <w:rPr>
          <w:rFonts w:ascii="仿宋_GB2312" w:eastAsia="仿宋_GB2312"/>
          <w:color w:val="000000" w:themeColor="text1"/>
          <w:sz w:val="28"/>
          <w:szCs w:val="28"/>
        </w:rPr>
      </w:pPr>
      <w:r>
        <w:rPr>
          <w:rFonts w:hint="eastAsia" w:ascii="仿宋_GB2312" w:eastAsia="仿宋_GB2312"/>
          <w:b/>
          <w:color w:val="000000" w:themeColor="text1"/>
          <w:sz w:val="28"/>
          <w:szCs w:val="28"/>
        </w:rPr>
        <w:t>三</w:t>
      </w:r>
      <w:r>
        <w:rPr>
          <w:rFonts w:hint="eastAsia" w:ascii="仿宋_GB2312" w:eastAsia="仿宋_GB2312"/>
          <w:color w:val="000000" w:themeColor="text1"/>
          <w:sz w:val="28"/>
          <w:szCs w:val="28"/>
        </w:rPr>
        <w:t>、</w:t>
      </w:r>
      <w:r>
        <w:rPr>
          <w:rFonts w:hint="eastAsia" w:ascii="仿宋_GB2312" w:eastAsia="仿宋_GB2312"/>
          <w:b/>
          <w:color w:val="000000" w:themeColor="text1"/>
          <w:sz w:val="28"/>
          <w:szCs w:val="28"/>
        </w:rPr>
        <w:t>估价目的</w:t>
      </w:r>
      <w:r>
        <w:rPr>
          <w:rFonts w:hint="eastAsia" w:ascii="仿宋_GB2312" w:hAnsi="Courier New" w:eastAsia="仿宋_GB2312" w:cs="Courier New"/>
          <w:b/>
          <w:i/>
          <w:color w:val="000000" w:themeColor="text1"/>
          <w:sz w:val="28"/>
          <w:szCs w:val="28"/>
        </w:rPr>
        <w:t>　</w:t>
      </w:r>
      <w:r>
        <w:rPr>
          <w:rFonts w:hint="eastAsia" w:ascii="仿宋_GB2312" w:hAnsi="Courier New" w:eastAsia="仿宋_GB2312" w:cs="Courier New"/>
          <w:i/>
          <w:color w:val="000000" w:themeColor="text1"/>
          <w:sz w:val="28"/>
          <w:szCs w:val="28"/>
        </w:rPr>
        <w:t>　　</w:t>
      </w:r>
    </w:p>
    <w:p>
      <w:pPr>
        <w:pStyle w:val="15"/>
        <w:tabs>
          <w:tab w:val="left" w:pos="1080"/>
          <w:tab w:val="left" w:pos="1440"/>
        </w:tabs>
        <w:spacing w:line="540" w:lineRule="exact"/>
        <w:ind w:firstLine="560" w:firstLineChars="200"/>
        <w:rPr>
          <w:rFonts w:ascii="仿宋_GB2312" w:hAnsi="宋体" w:eastAsia="仿宋_GB2312"/>
          <w:color w:val="000000" w:themeColor="text1"/>
          <w:szCs w:val="28"/>
        </w:rPr>
      </w:pPr>
      <w:r>
        <w:rPr>
          <w:rFonts w:hint="eastAsia" w:ascii="仿宋_GB2312" w:hAnsi="宋体" w:eastAsia="仿宋_GB2312"/>
          <w:color w:val="000000" w:themeColor="text1"/>
          <w:szCs w:val="28"/>
        </w:rPr>
        <w:t>为司法机关确定涉案房地产的市场价值提供参考依据　</w:t>
      </w:r>
    </w:p>
    <w:p>
      <w:pPr>
        <w:widowControl/>
        <w:spacing w:line="540" w:lineRule="exact"/>
        <w:ind w:firstLine="565" w:firstLineChars="201"/>
        <w:outlineLvl w:val="1"/>
        <w:rPr>
          <w:rFonts w:ascii="仿宋_GB2312" w:eastAsia="仿宋_GB2312"/>
          <w:b/>
          <w:color w:val="000000" w:themeColor="text1"/>
          <w:sz w:val="28"/>
          <w:szCs w:val="28"/>
        </w:rPr>
      </w:pPr>
      <w:r>
        <w:rPr>
          <w:rFonts w:hint="eastAsia" w:ascii="仿宋_GB2312" w:eastAsia="仿宋_GB2312"/>
          <w:b/>
          <w:color w:val="000000" w:themeColor="text1"/>
          <w:sz w:val="28"/>
          <w:szCs w:val="28"/>
        </w:rPr>
        <w:t>四、估价对象</w:t>
      </w:r>
      <w:bookmarkEnd w:id="15"/>
      <w:r>
        <w:rPr>
          <w:rFonts w:hint="eastAsia" w:ascii="仿宋_GB2312" w:eastAsia="仿宋_GB2312"/>
          <w:b/>
          <w:color w:val="000000" w:themeColor="text1"/>
          <w:sz w:val="28"/>
          <w:szCs w:val="28"/>
        </w:rPr>
        <w:t>　</w:t>
      </w:r>
    </w:p>
    <w:p>
      <w:pPr>
        <w:widowControl/>
        <w:spacing w:line="540" w:lineRule="exact"/>
        <w:ind w:firstLine="554" w:firstLineChars="198"/>
        <w:outlineLvl w:val="1"/>
        <w:rPr>
          <w:rFonts w:ascii="仿宋_GB2312" w:eastAsia="仿宋_GB2312"/>
          <w:color w:val="000000" w:themeColor="text1"/>
          <w:sz w:val="28"/>
          <w:szCs w:val="28"/>
        </w:rPr>
      </w:pPr>
      <w:r>
        <w:rPr>
          <w:rFonts w:hint="eastAsia" w:ascii="仿宋_GB2312" w:eastAsia="仿宋_GB2312"/>
          <w:color w:val="000000" w:themeColor="text1"/>
          <w:sz w:val="28"/>
          <w:szCs w:val="28"/>
        </w:rPr>
        <w:t>（一）估价对象财产范围</w:t>
      </w:r>
    </w:p>
    <w:p>
      <w:pPr>
        <w:spacing w:line="5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估价对象财产范围包括建筑物（含室内基础装修）、土地使用权及公共配套，不包括动产、债权债务、特殊经营权等其他财产或权益。</w:t>
      </w:r>
    </w:p>
    <w:p>
      <w:pPr>
        <w:widowControl/>
        <w:spacing w:line="540" w:lineRule="exact"/>
        <w:ind w:firstLine="554" w:firstLineChars="198"/>
        <w:outlineLvl w:val="1"/>
        <w:rPr>
          <w:rFonts w:ascii="仿宋_GB2312" w:eastAsia="仿宋_GB2312"/>
          <w:color w:val="000000" w:themeColor="text1"/>
          <w:sz w:val="28"/>
          <w:szCs w:val="28"/>
        </w:rPr>
      </w:pPr>
      <w:r>
        <w:rPr>
          <w:rFonts w:hint="eastAsia" w:ascii="仿宋_GB2312" w:eastAsia="仿宋_GB2312"/>
          <w:color w:val="000000" w:themeColor="text1"/>
          <w:sz w:val="28"/>
          <w:szCs w:val="28"/>
        </w:rPr>
        <w:t>（二）、估价对象基本情况　</w:t>
      </w:r>
    </w:p>
    <w:p>
      <w:pPr>
        <w:spacing w:line="500" w:lineRule="exact"/>
        <w:ind w:firstLine="560" w:firstLineChars="200"/>
        <w:rPr>
          <w:rFonts w:ascii="仿宋_GB2312" w:hAnsi="宋体" w:eastAsia="仿宋_GB2312" w:cs="宋体"/>
          <w:color w:val="000000" w:themeColor="text1"/>
          <w:sz w:val="28"/>
          <w:szCs w:val="28"/>
        </w:rPr>
      </w:pPr>
      <w:r>
        <w:rPr>
          <w:rFonts w:hint="eastAsia" w:ascii="仿宋_GB2312" w:hAnsi="宋体" w:eastAsia="仿宋_GB2312"/>
          <w:color w:val="000000" w:themeColor="text1"/>
          <w:sz w:val="28"/>
          <w:szCs w:val="28"/>
        </w:rPr>
        <w:t>侯凤芹名下的</w:t>
      </w:r>
      <w:r>
        <w:rPr>
          <w:rFonts w:hint="eastAsia" w:ascii="仿宋_GB2312" w:eastAsia="仿宋_GB2312"/>
          <w:color w:val="000000" w:themeColor="text1"/>
          <w:sz w:val="28"/>
          <w:szCs w:val="28"/>
        </w:rPr>
        <w:t>位于</w:t>
      </w:r>
      <w:r>
        <w:rPr>
          <w:rFonts w:hint="eastAsia" w:ascii="仿宋_GB2312" w:hAnsi="宋体" w:eastAsia="仿宋_GB2312" w:cs="宋体"/>
          <w:color w:val="000000" w:themeColor="text1"/>
          <w:sz w:val="28"/>
        </w:rPr>
        <w:t>临清市运河半岛小区两层</w:t>
      </w:r>
      <w:r>
        <w:rPr>
          <w:rFonts w:hint="eastAsia" w:ascii="仿宋_GB2312" w:hAnsi="宋体" w:eastAsia="仿宋_GB2312" w:cs="宋体"/>
          <w:color w:val="000000" w:themeColor="text1"/>
          <w:sz w:val="32"/>
        </w:rPr>
        <w:t>20#-7号商铺</w:t>
      </w:r>
      <w:r>
        <w:rPr>
          <w:rFonts w:hint="eastAsia" w:ascii="仿宋_GB2312" w:hAnsi="宋体" w:eastAsia="仿宋_GB2312" w:cs="宋体"/>
          <w:color w:val="000000" w:themeColor="text1"/>
          <w:sz w:val="28"/>
          <w:szCs w:val="28"/>
        </w:rPr>
        <w:t>。总建筑面积：140.36</w:t>
      </w:r>
      <w:r>
        <w:rPr>
          <w:rFonts w:hint="eastAsia" w:ascii="宋体" w:hAnsi="宋体" w:cs="宋体"/>
          <w:color w:val="000000" w:themeColor="text1"/>
          <w:sz w:val="28"/>
          <w:szCs w:val="28"/>
        </w:rPr>
        <w:t>㎡</w:t>
      </w:r>
      <w:r>
        <w:rPr>
          <w:rFonts w:hint="eastAsia" w:ascii="仿宋_GB2312" w:hAnsi="宋体" w:eastAsia="仿宋_GB2312" w:cs="宋体"/>
          <w:color w:val="000000" w:themeColor="text1"/>
          <w:sz w:val="28"/>
          <w:szCs w:val="28"/>
        </w:rPr>
        <w:t>。框架结构，房屋为2层无电梯成套商铺。房屋布局为1-</w:t>
      </w:r>
      <w:r>
        <w:rPr>
          <w:rFonts w:hint="eastAsia" w:ascii="仿宋_GB2312" w:hAnsi="宋体" w:eastAsia="仿宋_GB2312" w:cs="宋体"/>
          <w:color w:val="FF0000"/>
          <w:sz w:val="28"/>
          <w:szCs w:val="28"/>
        </w:rPr>
        <w:t>2层商铺</w:t>
      </w:r>
      <w:r>
        <w:rPr>
          <w:rFonts w:hint="eastAsia" w:ascii="仿宋_GB2312" w:hAnsi="宋体" w:eastAsia="仿宋_GB2312" w:cs="宋体"/>
          <w:color w:val="000000" w:themeColor="text1"/>
          <w:sz w:val="28"/>
          <w:szCs w:val="28"/>
        </w:rPr>
        <w:t xml:space="preserve">，东西朝向，估价对象为经一路以西、古运河以北。土地终止日期2046年7月15日。                                                                 </w:t>
      </w:r>
    </w:p>
    <w:p>
      <w:pPr>
        <w:spacing w:line="5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（三）、土地基本状况</w:t>
      </w:r>
      <w:r>
        <w:rPr>
          <w:rFonts w:hint="eastAsia" w:ascii="仿宋_GB2312" w:hAnsi="Courier New" w:eastAsia="仿宋_GB2312" w:cs="Courier New"/>
          <w:i/>
          <w:color w:val="000000" w:themeColor="text1"/>
          <w:sz w:val="28"/>
          <w:szCs w:val="28"/>
        </w:rPr>
        <w:t>　</w:t>
      </w:r>
    </w:p>
    <w:p>
      <w:pPr>
        <w:tabs>
          <w:tab w:val="left" w:pos="540"/>
        </w:tabs>
        <w:spacing w:line="540" w:lineRule="exact"/>
        <w:ind w:firstLine="600"/>
        <w:rPr>
          <w:rFonts w:ascii="仿宋_GB2312" w:hAnsi="仿宋_GB2312" w:eastAsia="仿宋_GB2312" w:cs="仿宋_GB2312"/>
          <w:color w:val="000000" w:themeColor="text1"/>
          <w:sz w:val="28"/>
          <w:szCs w:val="28"/>
        </w:rPr>
      </w:pPr>
      <w:r>
        <w:rPr>
          <w:rFonts w:hint="eastAsia" w:ascii="仿宋_GB2312" w:hAnsi="宋体" w:eastAsia="仿宋_GB2312"/>
          <w:color w:val="000000" w:themeColor="text1"/>
          <w:sz w:val="28"/>
          <w:szCs w:val="28"/>
        </w:rPr>
        <w:t>1、四至：</w:t>
      </w:r>
      <w:r>
        <w:rPr>
          <w:rFonts w:hint="eastAsia" w:ascii="仿宋_GB2312" w:hAnsi="宋体" w:eastAsia="仿宋_GB2312" w:cs="宋体"/>
          <w:color w:val="000000" w:themeColor="text1"/>
          <w:sz w:val="28"/>
          <w:szCs w:val="28"/>
        </w:rPr>
        <w:t>东至经一路、南至运河、西至住宅区、北至住宅区。</w:t>
      </w:r>
    </w:p>
    <w:p>
      <w:pPr>
        <w:tabs>
          <w:tab w:val="left" w:pos="540"/>
        </w:tabs>
        <w:spacing w:line="540" w:lineRule="exact"/>
        <w:ind w:firstLine="560" w:firstLineChars="200"/>
        <w:rPr>
          <w:rFonts w:ascii="仿宋_GB2312" w:eastAsia="仿宋_GB2312"/>
          <w:color w:val="000000" w:themeColor="text1"/>
          <w:sz w:val="28"/>
          <w:szCs w:val="28"/>
        </w:rPr>
      </w:pPr>
      <w:r>
        <w:rPr>
          <w:rFonts w:hint="eastAsia" w:ascii="仿宋_GB2312" w:hAnsi="宋体" w:eastAsia="仿宋_GB2312"/>
          <w:color w:val="000000" w:themeColor="text1"/>
          <w:sz w:val="28"/>
          <w:szCs w:val="28"/>
        </w:rPr>
        <w:t>2、宗地总地块形状较规则，宗地内地势平坦，</w:t>
      </w:r>
      <w:r>
        <w:rPr>
          <w:rFonts w:hint="eastAsia" w:ascii="仿宋_GB2312" w:eastAsia="仿宋_GB2312"/>
          <w:color w:val="000000" w:themeColor="text1"/>
          <w:sz w:val="28"/>
          <w:szCs w:val="28"/>
        </w:rPr>
        <w:t>与周围邻地无高差。宗地实际开发程度为红线内外“七通”（通路、通电、通上水、通下水、通讯、通气、通暖）。</w:t>
      </w:r>
    </w:p>
    <w:p>
      <w:pPr>
        <w:tabs>
          <w:tab w:val="left" w:pos="540"/>
        </w:tabs>
        <w:spacing w:line="540" w:lineRule="exact"/>
        <w:ind w:firstLine="700" w:firstLineChars="250"/>
        <w:rPr>
          <w:rFonts w:ascii="仿宋_GB2312" w:hAnsi="宋体" w:eastAsia="仿宋_GB2312"/>
          <w:color w:val="000000" w:themeColor="text1"/>
          <w:sz w:val="28"/>
          <w:szCs w:val="28"/>
        </w:rPr>
      </w:pPr>
      <w:r>
        <w:rPr>
          <w:rFonts w:hint="eastAsia" w:ascii="仿宋_GB2312" w:eastAsia="仿宋_GB2312"/>
          <w:color w:val="000000" w:themeColor="text1"/>
          <w:sz w:val="28"/>
          <w:szCs w:val="28"/>
        </w:rPr>
        <w:t>4、土地使用期限：估价对象为商业房，土地为出让土地。</w:t>
      </w:r>
    </w:p>
    <w:p>
      <w:pPr>
        <w:tabs>
          <w:tab w:val="left" w:pos="540"/>
        </w:tabs>
        <w:spacing w:line="540" w:lineRule="exact"/>
        <w:ind w:firstLine="700" w:firstLineChars="250"/>
        <w:rPr>
          <w:rFonts w:ascii="仿宋_GB2312" w:eastAsia="仿宋_GB2312"/>
          <w:color w:val="000000" w:themeColor="text1"/>
          <w:sz w:val="28"/>
          <w:szCs w:val="28"/>
        </w:rPr>
      </w:pPr>
      <w:r>
        <w:rPr>
          <w:rFonts w:hint="eastAsia" w:ascii="仿宋_GB2312" w:eastAsia="仿宋_GB2312"/>
          <w:color w:val="000000" w:themeColor="text1"/>
          <w:sz w:val="28"/>
          <w:szCs w:val="28"/>
        </w:rPr>
        <w:t>3、开发程度：价值时点已开发完成。</w:t>
      </w:r>
    </w:p>
    <w:p>
      <w:pPr>
        <w:spacing w:line="540" w:lineRule="exact"/>
        <w:ind w:firstLine="560" w:firstLineChars="200"/>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（三）、建筑物基本状况　</w:t>
      </w:r>
    </w:p>
    <w:p>
      <w:pPr>
        <w:spacing w:line="540" w:lineRule="exact"/>
        <w:ind w:firstLine="560" w:firstLineChars="200"/>
        <w:jc w:val="center"/>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建筑物基本状况说明表</w:t>
      </w:r>
    </w:p>
    <w:tbl>
      <w:tblPr>
        <w:tblStyle w:val="33"/>
        <w:tblW w:w="992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4"/>
        <w:gridCol w:w="8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ind w:firstLine="355"/>
              <w:jc w:val="center"/>
              <w:rPr>
                <w:rFonts w:ascii="仿宋_GB2312" w:eastAsia="仿宋_GB2312"/>
                <w:color w:val="000000" w:themeColor="text1"/>
                <w:szCs w:val="21"/>
              </w:rPr>
            </w:pPr>
            <w:r>
              <w:rPr>
                <w:rFonts w:hint="eastAsia" w:ascii="仿宋_GB2312" w:eastAsia="仿宋_GB2312"/>
                <w:color w:val="000000" w:themeColor="text1"/>
                <w:szCs w:val="21"/>
              </w:rPr>
              <w:t>座落</w:t>
            </w:r>
          </w:p>
        </w:tc>
        <w:tc>
          <w:tcPr>
            <w:tcW w:w="8079" w:type="dxa"/>
            <w:vAlign w:val="center"/>
          </w:tcPr>
          <w:p>
            <w:pPr>
              <w:ind w:firstLine="2070" w:firstLineChars="900"/>
              <w:rPr>
                <w:rFonts w:ascii="仿宋_GB2312" w:eastAsia="仿宋_GB2312"/>
                <w:color w:val="000000" w:themeColor="text1"/>
                <w:szCs w:val="21"/>
              </w:rPr>
            </w:pPr>
            <w:r>
              <w:rPr>
                <w:rFonts w:hint="eastAsia" w:ascii="仿宋_GB2312" w:hAnsi="宋体" w:eastAsia="仿宋_GB2312" w:cs="宋体"/>
                <w:color w:val="000000" w:themeColor="text1"/>
                <w:sz w:val="23"/>
                <w:szCs w:val="21"/>
              </w:rPr>
              <w:t>临清市运河半岛小区经一路西侧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ind w:firstLine="355"/>
              <w:jc w:val="center"/>
              <w:rPr>
                <w:rFonts w:ascii="仿宋_GB2312" w:eastAsia="仿宋_GB2312"/>
                <w:color w:val="000000" w:themeColor="text1"/>
                <w:szCs w:val="21"/>
              </w:rPr>
            </w:pPr>
            <w:r>
              <w:rPr>
                <w:rFonts w:hint="eastAsia" w:ascii="仿宋_GB2312" w:eastAsia="仿宋_GB2312"/>
                <w:color w:val="000000" w:themeColor="text1"/>
                <w:szCs w:val="21"/>
              </w:rPr>
              <w:t>楼盘名</w:t>
            </w:r>
          </w:p>
        </w:tc>
        <w:tc>
          <w:tcPr>
            <w:tcW w:w="8079" w:type="dxa"/>
            <w:vAlign w:val="center"/>
          </w:tcPr>
          <w:p>
            <w:pPr>
              <w:ind w:firstLine="355"/>
              <w:jc w:val="center"/>
              <w:rPr>
                <w:rFonts w:ascii="仿宋_GB2312" w:eastAsia="仿宋_GB2312"/>
                <w:color w:val="000000" w:themeColor="text1"/>
                <w:szCs w:val="21"/>
              </w:rPr>
            </w:pPr>
            <w:r>
              <w:rPr>
                <w:rFonts w:hint="eastAsia" w:ascii="仿宋_GB2312" w:hAnsi="宋体" w:eastAsia="仿宋_GB2312" w:cs="宋体"/>
                <w:color w:val="000000" w:themeColor="text1"/>
                <w:szCs w:val="21"/>
              </w:rPr>
              <w:t>运河半岛20#楼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ind w:firstLine="355"/>
              <w:jc w:val="center"/>
              <w:rPr>
                <w:rFonts w:ascii="仿宋_GB2312" w:hAnsi="宋体" w:eastAsia="仿宋_GB2312"/>
                <w:color w:val="000000" w:themeColor="text1"/>
                <w:szCs w:val="21"/>
              </w:rPr>
            </w:pPr>
            <w:r>
              <w:rPr>
                <w:rFonts w:hint="eastAsia" w:ascii="仿宋_GB2312" w:eastAsia="仿宋_GB2312"/>
                <w:color w:val="000000" w:themeColor="text1"/>
                <w:szCs w:val="21"/>
              </w:rPr>
              <w:t>建筑结构</w:t>
            </w:r>
          </w:p>
        </w:tc>
        <w:tc>
          <w:tcPr>
            <w:tcW w:w="8079" w:type="dxa"/>
            <w:vAlign w:val="center"/>
          </w:tcPr>
          <w:p>
            <w:pPr>
              <w:ind w:firstLine="355"/>
              <w:jc w:val="center"/>
              <w:rPr>
                <w:rFonts w:ascii="仿宋_GB2312" w:hAnsi="宋体" w:eastAsia="仿宋_GB2312"/>
                <w:color w:val="000000" w:themeColor="text1"/>
                <w:szCs w:val="21"/>
              </w:rPr>
            </w:pPr>
            <w:r>
              <w:rPr>
                <w:rFonts w:hint="eastAsia" w:ascii="仿宋_GB2312" w:eastAsia="仿宋_GB2312"/>
                <w:color w:val="000000" w:themeColor="text1"/>
                <w:szCs w:val="21"/>
              </w:rPr>
              <w:t>框架结构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ind w:firstLine="355"/>
              <w:jc w:val="center"/>
              <w:rPr>
                <w:rFonts w:ascii="仿宋_GB2312" w:hAnsi="宋体" w:eastAsia="仿宋_GB2312"/>
                <w:color w:val="000000" w:themeColor="text1"/>
                <w:szCs w:val="21"/>
              </w:rPr>
            </w:pPr>
            <w:r>
              <w:rPr>
                <w:rFonts w:hint="eastAsia" w:ascii="仿宋_GB2312" w:eastAsia="仿宋_GB2312"/>
                <w:color w:val="000000" w:themeColor="text1"/>
                <w:szCs w:val="21"/>
              </w:rPr>
              <w:t>设施设备</w:t>
            </w:r>
          </w:p>
        </w:tc>
        <w:tc>
          <w:tcPr>
            <w:tcW w:w="8079" w:type="dxa"/>
            <w:vAlign w:val="center"/>
          </w:tcPr>
          <w:p>
            <w:pPr>
              <w:adjustRightInd w:val="0"/>
              <w:snapToGrid w:val="0"/>
              <w:jc w:val="left"/>
              <w:rPr>
                <w:rFonts w:ascii="仿宋_GB2312" w:hAnsi="宋体" w:eastAsia="仿宋_GB2312"/>
                <w:color w:val="000000" w:themeColor="text1"/>
                <w:szCs w:val="21"/>
              </w:rPr>
            </w:pPr>
            <w:r>
              <w:rPr>
                <w:rFonts w:hint="eastAsia" w:ascii="仿宋_GB2312" w:hAnsi="仿宋_GB2312" w:eastAsia="仿宋_GB2312" w:cs="仿宋_GB2312"/>
                <w:color w:val="000000" w:themeColor="text1"/>
                <w:szCs w:val="21"/>
              </w:rPr>
              <w:t>1</w:t>
            </w:r>
            <w:r>
              <w:rPr>
                <w:rFonts w:hint="eastAsia" w:ascii="仿宋_GB2312" w:hAnsi="宋体" w:eastAsia="仿宋_GB2312" w:cs="宋体"/>
                <w:color w:val="000000" w:themeColor="text1"/>
                <w:szCs w:val="21"/>
              </w:rPr>
              <w:t>部步梯、综合布线、水、电、暖等设施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ind w:firstLine="355"/>
              <w:jc w:val="center"/>
              <w:rPr>
                <w:rFonts w:ascii="仿宋_GB2312" w:hAnsi="宋体" w:eastAsia="仿宋_GB2312"/>
                <w:color w:val="000000" w:themeColor="text1"/>
                <w:szCs w:val="21"/>
              </w:rPr>
            </w:pPr>
            <w:r>
              <w:rPr>
                <w:rFonts w:hint="eastAsia" w:ascii="仿宋_GB2312" w:eastAsia="仿宋_GB2312"/>
                <w:color w:val="000000" w:themeColor="text1"/>
                <w:szCs w:val="21"/>
              </w:rPr>
              <w:t>装饰装修</w:t>
            </w:r>
          </w:p>
        </w:tc>
        <w:tc>
          <w:tcPr>
            <w:tcW w:w="8079" w:type="dxa"/>
            <w:vAlign w:val="center"/>
          </w:tcPr>
          <w:p>
            <w:pPr>
              <w:adjustRightInd w:val="0"/>
              <w:snapToGrid w:val="0"/>
              <w:ind w:firstLine="210" w:firstLineChars="100"/>
              <w:rPr>
                <w:rFonts w:ascii="仿宋_GB2312" w:hAnsi="宋体" w:eastAsia="仿宋_GB2312"/>
                <w:color w:val="000000" w:themeColor="text1"/>
                <w:szCs w:val="21"/>
              </w:rPr>
            </w:pPr>
            <w:r>
              <w:rPr>
                <w:rFonts w:hint="eastAsia" w:ascii="仿宋_GB2312" w:hAnsi="宋体" w:eastAsia="仿宋_GB2312" w:cs="宋体"/>
                <w:color w:val="000000" w:themeColor="text1"/>
                <w:szCs w:val="21"/>
              </w:rPr>
              <w:t>外墙：塑钢墙</w:t>
            </w:r>
            <w:r>
              <w:rPr>
                <w:rFonts w:hint="eastAsia" w:ascii="仿宋_GB2312" w:hAnsi="宋体" w:eastAsia="仿宋_GB2312"/>
                <w:color w:val="000000" w:themeColor="text1"/>
                <w:szCs w:val="21"/>
              </w:rPr>
              <w:t>；入户门：卷帘门。 房间内：地板砖地面，涂料墙面及顶棚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jc w:val="center"/>
              <w:rPr>
                <w:rFonts w:ascii="仿宋_GB2312" w:hAnsi="宋体" w:eastAsia="仿宋_GB2312"/>
                <w:color w:val="000000" w:themeColor="text1"/>
                <w:szCs w:val="21"/>
              </w:rPr>
            </w:pPr>
            <w:r>
              <w:rPr>
                <w:rFonts w:hint="eastAsia" w:ascii="仿宋_GB2312" w:eastAsia="仿宋_GB2312"/>
                <w:color w:val="000000" w:themeColor="text1"/>
                <w:szCs w:val="21"/>
              </w:rPr>
              <w:t>成新</w:t>
            </w:r>
          </w:p>
        </w:tc>
        <w:tc>
          <w:tcPr>
            <w:tcW w:w="8079" w:type="dxa"/>
            <w:vAlign w:val="center"/>
          </w:tcPr>
          <w:p>
            <w:pPr>
              <w:adjustRightInd w:val="0"/>
              <w:snapToGrid w:val="0"/>
              <w:ind w:firstLine="3045" w:firstLineChars="1450"/>
              <w:jc w:val="left"/>
              <w:rPr>
                <w:rFonts w:ascii="仿宋_GB2312" w:hAnsi="宋体" w:eastAsia="仿宋_GB2312"/>
                <w:color w:val="000000" w:themeColor="text1"/>
                <w:szCs w:val="21"/>
              </w:rPr>
            </w:pPr>
            <w:r>
              <w:rPr>
                <w:rFonts w:hint="eastAsia" w:ascii="仿宋_GB2312" w:eastAsia="仿宋_GB2312"/>
                <w:color w:val="000000" w:themeColor="text1"/>
                <w:szCs w:val="21"/>
              </w:rPr>
              <w:t>外观成新率95%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rPr>
                <w:rFonts w:ascii="仿宋_GB2312" w:eastAsia="仿宋_GB2312"/>
                <w:color w:val="000000" w:themeColor="text1"/>
                <w:szCs w:val="21"/>
              </w:rPr>
            </w:pPr>
            <w:r>
              <w:rPr>
                <w:rFonts w:hint="eastAsia" w:ascii="仿宋_GB2312" w:eastAsia="仿宋_GB2312"/>
                <w:color w:val="000000" w:themeColor="text1"/>
                <w:szCs w:val="21"/>
              </w:rPr>
              <w:t>使用及维护状况</w:t>
            </w:r>
          </w:p>
        </w:tc>
        <w:tc>
          <w:tcPr>
            <w:tcW w:w="8079" w:type="dxa"/>
            <w:vAlign w:val="center"/>
          </w:tcPr>
          <w:p>
            <w:pPr>
              <w:ind w:firstLine="355"/>
              <w:jc w:val="center"/>
              <w:rPr>
                <w:rFonts w:ascii="仿宋_GB2312" w:eastAsia="仿宋_GB2312"/>
                <w:color w:val="000000" w:themeColor="text1"/>
                <w:szCs w:val="21"/>
              </w:rPr>
            </w:pPr>
            <w:r>
              <w:rPr>
                <w:rFonts w:hint="eastAsia" w:ascii="仿宋_GB2312" w:eastAsia="仿宋_GB2312"/>
                <w:color w:val="000000" w:themeColor="text1"/>
                <w:szCs w:val="21"/>
              </w:rPr>
              <w:t>维护一般，为完好房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ind w:firstLine="355"/>
              <w:jc w:val="center"/>
              <w:rPr>
                <w:rFonts w:ascii="仿宋_GB2312" w:hAnsi="宋体" w:eastAsia="仿宋_GB2312"/>
                <w:color w:val="000000" w:themeColor="text1"/>
                <w:szCs w:val="21"/>
              </w:rPr>
            </w:pPr>
            <w:r>
              <w:rPr>
                <w:rFonts w:hint="eastAsia" w:ascii="仿宋_GB2312" w:eastAsia="仿宋_GB2312"/>
                <w:color w:val="000000" w:themeColor="text1"/>
                <w:szCs w:val="21"/>
              </w:rPr>
              <w:t>外观</w:t>
            </w:r>
          </w:p>
        </w:tc>
        <w:tc>
          <w:tcPr>
            <w:tcW w:w="8079" w:type="dxa"/>
            <w:vAlign w:val="center"/>
          </w:tcPr>
          <w:p>
            <w:pPr>
              <w:rPr>
                <w:rFonts w:ascii="仿宋_GB2312" w:hAnsi="宋体" w:eastAsia="仿宋_GB2312"/>
                <w:color w:val="000000" w:themeColor="text1"/>
                <w:szCs w:val="21"/>
              </w:rPr>
            </w:pPr>
            <w:r>
              <w:rPr>
                <w:rFonts w:hint="eastAsia" w:ascii="仿宋_GB2312" w:hAnsi="仿宋" w:eastAsia="仿宋_GB2312"/>
                <w:szCs w:val="21"/>
              </w:rPr>
              <w:t>估价对象所处楼幢为2层临街门面房，建筑风格普通，</w:t>
            </w:r>
            <w:r>
              <w:rPr>
                <w:rFonts w:hint="eastAsia" w:ascii="仿宋_GB2312" w:hAnsi="宋体" w:eastAsia="仿宋_GB2312"/>
                <w:color w:val="000000" w:themeColor="text1"/>
                <w:szCs w:val="21"/>
              </w:rPr>
              <w:t>建筑物外观一般。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ind w:firstLine="355"/>
              <w:jc w:val="center"/>
              <w:rPr>
                <w:rFonts w:ascii="仿宋_GB2312" w:hAnsi="宋体" w:eastAsia="仿宋_GB2312"/>
                <w:color w:val="000000" w:themeColor="text1"/>
                <w:szCs w:val="21"/>
              </w:rPr>
            </w:pPr>
            <w:r>
              <w:rPr>
                <w:rFonts w:hint="eastAsia" w:ascii="仿宋_GB2312" w:eastAsia="仿宋_GB2312"/>
                <w:color w:val="000000" w:themeColor="text1"/>
                <w:szCs w:val="21"/>
              </w:rPr>
              <w:t>建筑面积</w:t>
            </w:r>
          </w:p>
        </w:tc>
        <w:tc>
          <w:tcPr>
            <w:tcW w:w="8079" w:type="dxa"/>
            <w:vAlign w:val="center"/>
          </w:tcPr>
          <w:p>
            <w:pPr>
              <w:ind w:firstLine="355"/>
              <w:jc w:val="center"/>
              <w:rPr>
                <w:rFonts w:ascii="宋体" w:hAnsi="宋体" w:cs="宋体"/>
                <w:color w:val="000000" w:themeColor="text1"/>
                <w:szCs w:val="21"/>
              </w:rPr>
            </w:pPr>
            <w:r>
              <w:rPr>
                <w:rFonts w:hint="eastAsia" w:ascii="宋体" w:hAnsi="宋体" w:cs="宋体"/>
                <w:color w:val="000000" w:themeColor="text1"/>
                <w:szCs w:val="21"/>
              </w:rPr>
              <w:t>140.36㎡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adjustRightInd w:val="0"/>
              <w:snapToGrid w:val="0"/>
              <w:ind w:firstLine="420" w:firstLineChars="200"/>
              <w:jc w:val="center"/>
              <w:rPr>
                <w:rFonts w:ascii="仿宋_GB2312" w:hAnsi="宋体" w:eastAsia="仿宋_GB2312"/>
                <w:color w:val="000000" w:themeColor="text1"/>
                <w:szCs w:val="21"/>
              </w:rPr>
            </w:pPr>
            <w:r>
              <w:rPr>
                <w:rFonts w:hint="eastAsia" w:ascii="仿宋_GB2312" w:eastAsia="仿宋_GB2312"/>
                <w:color w:val="000000" w:themeColor="text1"/>
                <w:szCs w:val="21"/>
              </w:rPr>
              <w:t>户型</w:t>
            </w:r>
          </w:p>
        </w:tc>
        <w:tc>
          <w:tcPr>
            <w:tcW w:w="8079" w:type="dxa"/>
            <w:vAlign w:val="center"/>
          </w:tcPr>
          <w:p>
            <w:pPr>
              <w:ind w:firstLine="355"/>
              <w:jc w:val="center"/>
              <w:rPr>
                <w:rFonts w:ascii="仿宋_GB2312" w:hAnsi="宋体" w:eastAsia="仿宋_GB2312"/>
                <w:color w:val="000000" w:themeColor="text1"/>
                <w:sz w:val="18"/>
                <w:szCs w:val="18"/>
              </w:rPr>
            </w:pPr>
            <w:r>
              <w:rPr>
                <w:rFonts w:hint="eastAsia" w:ascii="仿宋_GB2312" w:hAnsi="宋体" w:eastAsia="仿宋_GB2312" w:cs="宋体"/>
                <w:color w:val="000000" w:themeColor="text1"/>
                <w:sz w:val="18"/>
                <w:szCs w:val="18"/>
              </w:rPr>
              <w:t>1-2层临街商铺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adjustRightInd w:val="0"/>
              <w:snapToGrid w:val="0"/>
              <w:ind w:firstLine="420" w:firstLineChars="200"/>
              <w:jc w:val="center"/>
              <w:rPr>
                <w:rFonts w:ascii="仿宋_GB2312" w:hAnsi="宋体" w:eastAsia="仿宋_GB2312"/>
                <w:color w:val="000000" w:themeColor="text1"/>
                <w:szCs w:val="21"/>
              </w:rPr>
            </w:pPr>
            <w:r>
              <w:rPr>
                <w:rFonts w:hint="eastAsia" w:ascii="仿宋_GB2312" w:eastAsia="仿宋_GB2312"/>
                <w:color w:val="000000" w:themeColor="text1"/>
                <w:szCs w:val="21"/>
              </w:rPr>
              <w:t>层高（m）</w:t>
            </w:r>
          </w:p>
        </w:tc>
        <w:tc>
          <w:tcPr>
            <w:tcW w:w="8079" w:type="dxa"/>
            <w:vAlign w:val="center"/>
          </w:tcPr>
          <w:p>
            <w:pPr>
              <w:ind w:firstLine="355"/>
              <w:jc w:val="center"/>
              <w:rPr>
                <w:rFonts w:ascii="仿宋_GB2312" w:hAnsi="宋体" w:eastAsia="仿宋_GB2312"/>
                <w:color w:val="000000" w:themeColor="text1"/>
                <w:szCs w:val="21"/>
              </w:rPr>
            </w:pPr>
            <w:r>
              <w:rPr>
                <w:rFonts w:hint="eastAsia" w:ascii="仿宋_GB2312" w:hAnsi="宋体" w:eastAsia="仿宋_GB2312"/>
                <w:color w:val="000000" w:themeColor="text1"/>
                <w:szCs w:val="21"/>
              </w:rPr>
              <w:t>1层高约4.2m；2层高约3.5m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adjustRightInd w:val="0"/>
              <w:snapToGrid w:val="0"/>
              <w:ind w:firstLine="355"/>
              <w:jc w:val="center"/>
              <w:rPr>
                <w:rFonts w:ascii="仿宋_GB2312" w:eastAsia="仿宋_GB2312"/>
                <w:color w:val="000000" w:themeColor="text1"/>
                <w:szCs w:val="21"/>
              </w:rPr>
            </w:pPr>
            <w:r>
              <w:rPr>
                <w:rFonts w:hint="eastAsia" w:ascii="仿宋_GB2312" w:eastAsia="仿宋_GB2312"/>
                <w:color w:val="000000" w:themeColor="text1"/>
                <w:szCs w:val="21"/>
              </w:rPr>
              <w:t>楼幢位置</w:t>
            </w:r>
          </w:p>
        </w:tc>
        <w:tc>
          <w:tcPr>
            <w:tcW w:w="8079" w:type="dxa"/>
            <w:vAlign w:val="center"/>
          </w:tcPr>
          <w:p>
            <w:pPr>
              <w:ind w:firstLine="355"/>
              <w:jc w:val="center"/>
              <w:rPr>
                <w:rFonts w:ascii="仿宋_GB2312" w:hAnsi="宋体" w:eastAsia="仿宋_GB2312"/>
                <w:color w:val="000000" w:themeColor="text1"/>
                <w:szCs w:val="21"/>
              </w:rPr>
            </w:pPr>
            <w:r>
              <w:rPr>
                <w:rFonts w:hint="eastAsia" w:ascii="仿宋_GB2312" w:hAnsi="宋体" w:eastAsia="仿宋_GB2312"/>
                <w:color w:val="000000" w:themeColor="text1"/>
                <w:szCs w:val="21"/>
              </w:rPr>
              <w:t>位于</w:t>
            </w:r>
            <w:r>
              <w:rPr>
                <w:rFonts w:hint="eastAsia" w:ascii="仿宋_GB2312" w:hAnsi="宋体" w:eastAsia="仿宋_GB2312" w:cs="宋体"/>
                <w:color w:val="000000" w:themeColor="text1"/>
                <w:szCs w:val="21"/>
              </w:rPr>
              <w:t>经一路西侧，运河半岛东门北侧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adjustRightInd w:val="0"/>
              <w:snapToGrid w:val="0"/>
              <w:ind w:firstLine="355"/>
              <w:jc w:val="center"/>
              <w:rPr>
                <w:rFonts w:ascii="仿宋_GB2312" w:eastAsia="仿宋_GB2312"/>
                <w:color w:val="000000" w:themeColor="text1"/>
                <w:szCs w:val="21"/>
              </w:rPr>
            </w:pPr>
            <w:r>
              <w:rPr>
                <w:rFonts w:hint="eastAsia" w:ascii="仿宋_GB2312" w:eastAsia="仿宋_GB2312"/>
                <w:color w:val="000000" w:themeColor="text1"/>
                <w:szCs w:val="21"/>
              </w:rPr>
              <w:t>朝向</w:t>
            </w:r>
          </w:p>
        </w:tc>
        <w:tc>
          <w:tcPr>
            <w:tcW w:w="8079" w:type="dxa"/>
            <w:vAlign w:val="center"/>
          </w:tcPr>
          <w:p>
            <w:pPr>
              <w:ind w:firstLine="355"/>
              <w:jc w:val="center"/>
              <w:rPr>
                <w:rFonts w:ascii="仿宋_GB2312" w:hAnsi="宋体" w:eastAsia="仿宋_GB2312"/>
                <w:color w:val="000000" w:themeColor="text1"/>
                <w:szCs w:val="21"/>
              </w:rPr>
            </w:pPr>
            <w:r>
              <w:rPr>
                <w:rFonts w:hint="eastAsia" w:ascii="仿宋_GB2312" w:hAnsi="宋体" w:eastAsia="仿宋_GB2312"/>
                <w:color w:val="000000" w:themeColor="text1"/>
                <w:szCs w:val="21"/>
              </w:rPr>
              <w:t>东西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44" w:type="dxa"/>
            <w:vAlign w:val="center"/>
          </w:tcPr>
          <w:p>
            <w:pPr>
              <w:adjustRightInd w:val="0"/>
              <w:snapToGrid w:val="0"/>
              <w:ind w:firstLine="355"/>
              <w:jc w:val="center"/>
              <w:rPr>
                <w:rFonts w:ascii="仿宋_GB2312" w:eastAsia="仿宋_GB2312"/>
                <w:color w:val="000000" w:themeColor="text1"/>
                <w:szCs w:val="21"/>
              </w:rPr>
            </w:pPr>
            <w:r>
              <w:rPr>
                <w:rFonts w:hint="eastAsia" w:ascii="仿宋_GB2312" w:eastAsia="仿宋_GB2312"/>
                <w:color w:val="000000" w:themeColor="text1"/>
                <w:szCs w:val="21"/>
              </w:rPr>
              <w:t>总楼层及层次</w:t>
            </w:r>
          </w:p>
        </w:tc>
        <w:tc>
          <w:tcPr>
            <w:tcW w:w="8079" w:type="dxa"/>
            <w:vAlign w:val="center"/>
          </w:tcPr>
          <w:p>
            <w:pPr>
              <w:jc w:val="center"/>
              <w:rPr>
                <w:rFonts w:ascii="仿宋_GB2312" w:hAnsi="宋体" w:eastAsia="仿宋_GB2312"/>
                <w:color w:val="000000" w:themeColor="text1"/>
                <w:szCs w:val="21"/>
              </w:rPr>
            </w:pPr>
            <w:r>
              <w:rPr>
                <w:rFonts w:hint="eastAsia" w:ascii="仿宋_GB2312" w:hAnsi="宋体" w:eastAsia="仿宋_GB2312"/>
                <w:color w:val="000000" w:themeColor="text1"/>
                <w:szCs w:val="21"/>
              </w:rPr>
              <w:t>楼宇总层次2层,估价对象均位于1-2层</w:t>
            </w:r>
          </w:p>
        </w:tc>
      </w:tr>
    </w:tbl>
    <w:p>
      <w:pPr>
        <w:spacing w:line="500" w:lineRule="exact"/>
        <w:ind w:firstLine="562" w:firstLineChars="200"/>
        <w:rPr>
          <w:rFonts w:ascii="仿宋_GB2312" w:hAnsi="宋体" w:eastAsia="仿宋_GB2312" w:cs="宋体"/>
          <w:color w:val="000000" w:themeColor="text1"/>
          <w:sz w:val="28"/>
          <w:szCs w:val="28"/>
        </w:rPr>
      </w:pPr>
      <w:bookmarkStart w:id="16" w:name="_Toc298769623"/>
      <w:r>
        <w:rPr>
          <w:rFonts w:hint="eastAsia" w:ascii="仿宋_GB2312" w:eastAsia="仿宋_GB2312"/>
          <w:b/>
          <w:color w:val="000000" w:themeColor="text1"/>
          <w:sz w:val="28"/>
          <w:szCs w:val="28"/>
        </w:rPr>
        <w:t>详细信息</w:t>
      </w:r>
    </w:p>
    <w:tbl>
      <w:tblPr>
        <w:tblStyle w:val="33"/>
        <w:tblW w:w="9262" w:type="dxa"/>
        <w:jc w:val="center"/>
        <w:tblInd w:w="8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34"/>
        <w:gridCol w:w="1417"/>
        <w:gridCol w:w="1129"/>
        <w:gridCol w:w="1418"/>
        <w:gridCol w:w="1131"/>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372"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合同编号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商铺编号</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商业总层数</w:t>
            </w:r>
          </w:p>
        </w:tc>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所在层次</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面积（</w:t>
            </w:r>
            <w:r>
              <w:rPr>
                <w:rFonts w:hint="eastAsia" w:ascii="宋体" w:hAnsi="宋体" w:cs="宋体"/>
                <w:color w:val="000000" w:themeColor="text1"/>
                <w:spacing w:val="14"/>
                <w:szCs w:val="21"/>
              </w:rPr>
              <w:t>㎡</w:t>
            </w:r>
            <w:r>
              <w:rPr>
                <w:rFonts w:hint="eastAsia" w:ascii="仿宋_GB2312" w:hAnsi="仿宋_GB2312" w:eastAsia="仿宋_GB2312" w:cs="仿宋_GB2312"/>
                <w:color w:val="000000" w:themeColor="text1"/>
                <w:spacing w:val="14"/>
                <w:szCs w:val="21"/>
              </w:rPr>
              <w:t>）</w:t>
            </w:r>
          </w:p>
        </w:tc>
        <w:tc>
          <w:tcPr>
            <w:tcW w:w="1131"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结构</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Cs w:val="21"/>
              </w:rPr>
            </w:pPr>
            <w:r>
              <w:rPr>
                <w:rFonts w:hint="eastAsia" w:ascii="仿宋_GB2312" w:hAnsi="宋体" w:eastAsia="仿宋_GB2312"/>
                <w:color w:val="000000" w:themeColor="text1"/>
                <w:spacing w:val="14"/>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20098452</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szCs w:val="24"/>
              </w:rPr>
            </w:pPr>
            <w:r>
              <w:rPr>
                <w:rFonts w:hint="eastAsia" w:ascii="仿宋_GB2312" w:eastAsia="仿宋_GB2312"/>
                <w:sz w:val="24"/>
                <w:szCs w:val="24"/>
              </w:rPr>
              <w:t>20#-7</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 w:val="24"/>
                <w:szCs w:val="24"/>
              </w:rPr>
            </w:pPr>
            <w:r>
              <w:rPr>
                <w:rFonts w:hint="eastAsia" w:ascii="仿宋_GB2312" w:hAnsi="宋体" w:eastAsia="仿宋_GB2312"/>
                <w:color w:val="000000" w:themeColor="text1"/>
                <w:spacing w:val="14"/>
                <w:sz w:val="24"/>
                <w:szCs w:val="24"/>
              </w:rPr>
              <w:t>2</w:t>
            </w:r>
          </w:p>
        </w:tc>
        <w:tc>
          <w:tcPr>
            <w:tcW w:w="1129"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 w:val="24"/>
                <w:szCs w:val="24"/>
              </w:rPr>
            </w:pPr>
            <w:r>
              <w:rPr>
                <w:rFonts w:hint="eastAsia" w:ascii="仿宋_GB2312" w:hAnsi="宋体" w:eastAsia="仿宋_GB2312"/>
                <w:color w:val="000000" w:themeColor="text1"/>
                <w:spacing w:val="14"/>
                <w:sz w:val="24"/>
                <w:szCs w:val="24"/>
              </w:rPr>
              <w:t>1-2</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szCs w:val="24"/>
              </w:rPr>
            </w:pPr>
            <w:r>
              <w:rPr>
                <w:rFonts w:hint="eastAsia" w:ascii="仿宋_GB2312" w:eastAsia="仿宋_GB2312"/>
                <w:sz w:val="24"/>
                <w:szCs w:val="24"/>
              </w:rPr>
              <w:t>140.36</w:t>
            </w:r>
          </w:p>
        </w:tc>
        <w:tc>
          <w:tcPr>
            <w:tcW w:w="1131"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 w:val="24"/>
                <w:szCs w:val="24"/>
              </w:rPr>
            </w:pPr>
            <w:r>
              <w:rPr>
                <w:rFonts w:hint="eastAsia" w:ascii="仿宋_GB2312" w:hAnsi="宋体" w:eastAsia="仿宋_GB2312"/>
                <w:color w:val="000000" w:themeColor="text1"/>
                <w:spacing w:val="14"/>
                <w:sz w:val="24"/>
                <w:szCs w:val="24"/>
              </w:rPr>
              <w:t>框架</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60" w:lineRule="auto"/>
              <w:ind w:right="-87"/>
              <w:jc w:val="center"/>
              <w:rPr>
                <w:rFonts w:ascii="仿宋_GB2312" w:hAnsi="宋体" w:eastAsia="仿宋_GB2312"/>
                <w:color w:val="000000" w:themeColor="text1"/>
                <w:spacing w:val="14"/>
                <w:sz w:val="24"/>
                <w:szCs w:val="24"/>
              </w:rPr>
            </w:pPr>
            <w:r>
              <w:rPr>
                <w:rFonts w:hint="eastAsia" w:ascii="仿宋_GB2312" w:hAnsi="宋体" w:eastAsia="仿宋_GB2312"/>
                <w:color w:val="000000" w:themeColor="text1"/>
                <w:spacing w:val="14"/>
                <w:sz w:val="24"/>
                <w:szCs w:val="24"/>
              </w:rPr>
              <w:t>商业</w:t>
            </w:r>
          </w:p>
        </w:tc>
      </w:tr>
    </w:tbl>
    <w:p>
      <w:pPr>
        <w:widowControl/>
        <w:spacing w:line="560" w:lineRule="exact"/>
        <w:ind w:firstLine="548" w:firstLineChars="195"/>
        <w:jc w:val="left"/>
        <w:outlineLvl w:val="1"/>
        <w:rPr>
          <w:rFonts w:ascii="仿宋_GB2312" w:eastAsia="仿宋_GB2312"/>
          <w:color w:val="000000" w:themeColor="text1"/>
          <w:sz w:val="28"/>
          <w:szCs w:val="28"/>
        </w:rPr>
      </w:pPr>
      <w:r>
        <w:rPr>
          <w:rFonts w:hint="eastAsia" w:ascii="仿宋_GB2312" w:eastAsia="仿宋_GB2312"/>
          <w:b/>
          <w:color w:val="000000" w:themeColor="text1"/>
          <w:sz w:val="28"/>
          <w:szCs w:val="28"/>
        </w:rPr>
        <w:t>五</w:t>
      </w:r>
      <w:r>
        <w:rPr>
          <w:rFonts w:hint="eastAsia" w:ascii="仿宋_GB2312" w:eastAsia="仿宋_GB2312"/>
          <w:color w:val="000000" w:themeColor="text1"/>
          <w:sz w:val="28"/>
          <w:szCs w:val="28"/>
        </w:rPr>
        <w:t>、</w:t>
      </w:r>
      <w:r>
        <w:rPr>
          <w:rFonts w:hint="eastAsia" w:ascii="仿宋_GB2312" w:eastAsia="仿宋_GB2312"/>
          <w:b/>
          <w:color w:val="000000" w:themeColor="text1"/>
          <w:sz w:val="28"/>
          <w:szCs w:val="28"/>
        </w:rPr>
        <w:t>价值时点</w:t>
      </w:r>
      <w:bookmarkEnd w:id="16"/>
      <w:r>
        <w:rPr>
          <w:rFonts w:hint="eastAsia" w:ascii="仿宋_GB2312" w:eastAsia="仿宋_GB2312"/>
          <w:color w:val="000000" w:themeColor="text1"/>
          <w:sz w:val="28"/>
          <w:szCs w:val="28"/>
        </w:rPr>
        <w:t>　　</w:t>
      </w:r>
    </w:p>
    <w:p>
      <w:pPr>
        <w:widowControl/>
        <w:spacing w:line="560" w:lineRule="exact"/>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2018年12月24日　　</w:t>
      </w:r>
    </w:p>
    <w:p>
      <w:pPr>
        <w:widowControl/>
        <w:spacing w:line="540" w:lineRule="exact"/>
        <w:ind w:firstLine="557" w:firstLineChars="198"/>
        <w:jc w:val="left"/>
        <w:outlineLvl w:val="1"/>
        <w:rPr>
          <w:rFonts w:ascii="仿宋_GB2312" w:eastAsia="仿宋_GB2312"/>
          <w:color w:val="000000" w:themeColor="text1"/>
          <w:sz w:val="28"/>
          <w:szCs w:val="28"/>
        </w:rPr>
      </w:pPr>
      <w:bookmarkStart w:id="17" w:name="_Toc298769624"/>
      <w:bookmarkStart w:id="18" w:name="_Toc298769625"/>
      <w:r>
        <w:rPr>
          <w:rFonts w:hint="eastAsia" w:ascii="仿宋_GB2312" w:eastAsia="仿宋_GB2312"/>
          <w:b/>
          <w:color w:val="000000" w:themeColor="text1"/>
          <w:sz w:val="28"/>
          <w:szCs w:val="28"/>
        </w:rPr>
        <w:t>六</w:t>
      </w:r>
      <w:r>
        <w:rPr>
          <w:rFonts w:hint="eastAsia" w:ascii="仿宋_GB2312" w:eastAsia="仿宋_GB2312"/>
          <w:color w:val="000000" w:themeColor="text1"/>
          <w:sz w:val="28"/>
          <w:szCs w:val="28"/>
        </w:rPr>
        <w:t>、</w:t>
      </w:r>
      <w:r>
        <w:rPr>
          <w:rFonts w:hint="eastAsia" w:ascii="仿宋_GB2312" w:eastAsia="仿宋_GB2312"/>
          <w:b/>
          <w:color w:val="000000" w:themeColor="text1"/>
          <w:sz w:val="28"/>
          <w:szCs w:val="28"/>
        </w:rPr>
        <w:t>价值</w:t>
      </w:r>
      <w:bookmarkEnd w:id="17"/>
      <w:r>
        <w:rPr>
          <w:rFonts w:hint="eastAsia" w:ascii="仿宋_GB2312" w:eastAsia="仿宋_GB2312"/>
          <w:b/>
          <w:color w:val="000000" w:themeColor="text1"/>
          <w:sz w:val="28"/>
          <w:szCs w:val="28"/>
        </w:rPr>
        <w:t>类型</w:t>
      </w:r>
      <w:r>
        <w:rPr>
          <w:rFonts w:hint="eastAsia" w:ascii="仿宋_GB2312" w:eastAsia="仿宋_GB2312"/>
          <w:color w:val="000000" w:themeColor="text1"/>
          <w:sz w:val="28"/>
          <w:szCs w:val="28"/>
        </w:rPr>
        <w:t>　</w:t>
      </w:r>
    </w:p>
    <w:p>
      <w:pPr>
        <w:widowControl/>
        <w:spacing w:line="540" w:lineRule="exact"/>
        <w:ind w:firstLine="444"/>
        <w:jc w:val="left"/>
        <w:outlineLvl w:val="1"/>
        <w:rPr>
          <w:rFonts w:ascii="仿宋_GB2312" w:eastAsia="仿宋_GB2312"/>
          <w:color w:val="000000" w:themeColor="text1"/>
          <w:sz w:val="28"/>
          <w:szCs w:val="28"/>
        </w:rPr>
      </w:pPr>
      <w:r>
        <w:rPr>
          <w:rFonts w:hint="eastAsia" w:ascii="仿宋_GB2312" w:eastAsia="仿宋_GB2312"/>
          <w:color w:val="000000" w:themeColor="text1"/>
          <w:sz w:val="28"/>
          <w:szCs w:val="28"/>
        </w:rPr>
        <w:t>（一）价值类型名称</w:t>
      </w:r>
    </w:p>
    <w:p>
      <w:pPr>
        <w:widowControl/>
        <w:spacing w:line="540" w:lineRule="exact"/>
        <w:ind w:firstLine="420" w:firstLineChars="150"/>
        <w:jc w:val="left"/>
        <w:outlineLvl w:val="1"/>
        <w:rPr>
          <w:rFonts w:ascii="仿宋_GB2312" w:eastAsia="仿宋_GB2312"/>
          <w:color w:val="000000" w:themeColor="text1"/>
          <w:sz w:val="28"/>
          <w:szCs w:val="28"/>
        </w:rPr>
      </w:pPr>
      <w:r>
        <w:rPr>
          <w:rFonts w:hint="eastAsia" w:ascii="仿宋_GB2312" w:eastAsia="仿宋_GB2312"/>
          <w:color w:val="000000" w:themeColor="text1"/>
          <w:sz w:val="28"/>
          <w:szCs w:val="28"/>
        </w:rPr>
        <w:t>本次估价的价值类型为市场价值</w:t>
      </w:r>
    </w:p>
    <w:p>
      <w:pPr>
        <w:widowControl/>
        <w:spacing w:line="540" w:lineRule="exact"/>
        <w:ind w:firstLine="444"/>
        <w:jc w:val="left"/>
        <w:outlineLvl w:val="1"/>
        <w:rPr>
          <w:rFonts w:ascii="仿宋_GB2312" w:eastAsia="仿宋_GB2312"/>
          <w:color w:val="000000" w:themeColor="text1"/>
          <w:sz w:val="28"/>
          <w:szCs w:val="28"/>
        </w:rPr>
      </w:pPr>
      <w:r>
        <w:rPr>
          <w:rFonts w:hint="eastAsia" w:ascii="仿宋_GB2312" w:eastAsia="仿宋_GB2312"/>
          <w:color w:val="000000" w:themeColor="text1"/>
          <w:sz w:val="28"/>
          <w:szCs w:val="28"/>
        </w:rPr>
        <w:t>（二）价值定义</w:t>
      </w:r>
    </w:p>
    <w:p>
      <w:pPr>
        <w:widowControl/>
        <w:spacing w:line="540" w:lineRule="exact"/>
        <w:ind w:firstLine="420" w:firstLineChars="150"/>
        <w:jc w:val="left"/>
        <w:outlineLvl w:val="1"/>
        <w:rPr>
          <w:rFonts w:ascii="仿宋_GB2312" w:eastAsia="仿宋_GB2312"/>
          <w:color w:val="000000" w:themeColor="text1"/>
          <w:sz w:val="28"/>
          <w:szCs w:val="28"/>
        </w:rPr>
      </w:pPr>
      <w:r>
        <w:rPr>
          <w:rFonts w:hint="eastAsia" w:ascii="仿宋_GB2312" w:eastAsia="仿宋_GB2312"/>
          <w:color w:val="000000" w:themeColor="text1"/>
          <w:sz w:val="28"/>
          <w:szCs w:val="28"/>
        </w:rPr>
        <w:t>市场价值为估价对象经适当营销后，由熟悉情况、谨慎行事且不受强迫的交易双方，以公平交易方式在价值时点自愿进行交易的金额。</w:t>
      </w:r>
    </w:p>
    <w:p>
      <w:pPr>
        <w:widowControl/>
        <w:spacing w:line="540" w:lineRule="exact"/>
        <w:ind w:firstLine="444"/>
        <w:jc w:val="left"/>
        <w:outlineLvl w:val="1"/>
        <w:rPr>
          <w:rFonts w:ascii="仿宋_GB2312" w:eastAsia="仿宋_GB2312"/>
          <w:color w:val="000000" w:themeColor="text1"/>
          <w:sz w:val="28"/>
          <w:szCs w:val="28"/>
        </w:rPr>
      </w:pPr>
      <w:r>
        <w:rPr>
          <w:rFonts w:hint="eastAsia" w:ascii="仿宋_GB2312" w:eastAsia="仿宋_GB2312"/>
          <w:color w:val="000000" w:themeColor="text1"/>
          <w:sz w:val="28"/>
          <w:szCs w:val="28"/>
        </w:rPr>
        <w:t>（三）价值内涵</w:t>
      </w:r>
    </w:p>
    <w:p>
      <w:pPr>
        <w:widowControl/>
        <w:spacing w:line="540" w:lineRule="exact"/>
        <w:ind w:firstLine="560" w:firstLineChars="200"/>
        <w:jc w:val="left"/>
        <w:outlineLvl w:val="1"/>
        <w:rPr>
          <w:rFonts w:ascii="仿宋_GB2312" w:eastAsia="仿宋_GB2312"/>
          <w:color w:val="000000" w:themeColor="text1"/>
          <w:sz w:val="28"/>
          <w:szCs w:val="28"/>
        </w:rPr>
      </w:pPr>
      <w:r>
        <w:rPr>
          <w:rFonts w:hint="eastAsia" w:ascii="仿宋_GB2312" w:eastAsia="仿宋_GB2312"/>
          <w:color w:val="000000" w:themeColor="text1"/>
          <w:sz w:val="28"/>
          <w:szCs w:val="28"/>
        </w:rPr>
        <w:t>价值内涵是估价对象在价值时点，满足估价假设和限制条件下包括建筑物、分摊的土地使用权及公共配套设施，不包括动产、债权债务、特许经营权等其他财产或权益；付款方式是一次性付清房价款；房屋面积内涵是建筑面积；开发程度为现房，具备“七通”。</w:t>
      </w:r>
    </w:p>
    <w:p>
      <w:pPr>
        <w:spacing w:line="540" w:lineRule="exact"/>
        <w:ind w:firstLine="689" w:firstLineChars="245"/>
        <w:outlineLvl w:val="1"/>
        <w:rPr>
          <w:rFonts w:ascii="仿宋_GB2312" w:eastAsia="仿宋_GB2312"/>
          <w:b/>
          <w:color w:val="000000" w:themeColor="text1"/>
          <w:sz w:val="28"/>
          <w:szCs w:val="28"/>
        </w:rPr>
      </w:pPr>
      <w:r>
        <w:rPr>
          <w:rFonts w:hint="eastAsia" w:ascii="仿宋_GB2312" w:eastAsia="仿宋_GB2312"/>
          <w:b/>
          <w:color w:val="000000" w:themeColor="text1"/>
          <w:sz w:val="28"/>
          <w:szCs w:val="28"/>
        </w:rPr>
        <w:t>七、估价原则　　</w:t>
      </w:r>
    </w:p>
    <w:p>
      <w:pPr>
        <w:spacing w:line="540" w:lineRule="exact"/>
        <w:ind w:firstLine="700" w:firstLineChars="250"/>
        <w:outlineLvl w:val="1"/>
        <w:rPr>
          <w:rFonts w:ascii="仿宋_GB2312" w:eastAsia="仿宋_GB2312"/>
          <w:color w:val="000000" w:themeColor="text1"/>
          <w:sz w:val="28"/>
          <w:szCs w:val="28"/>
        </w:rPr>
      </w:pPr>
      <w:r>
        <w:rPr>
          <w:rFonts w:hint="eastAsia" w:ascii="仿宋_GB2312" w:eastAsia="仿宋_GB2312"/>
          <w:color w:val="000000" w:themeColor="text1"/>
          <w:sz w:val="28"/>
          <w:szCs w:val="28"/>
        </w:rPr>
        <w:t>本次估价遵循以下原则：</w:t>
      </w:r>
    </w:p>
    <w:p>
      <w:pPr>
        <w:adjustRightInd w:val="0"/>
        <w:snapToGrid w:val="0"/>
        <w:spacing w:line="540" w:lineRule="exact"/>
        <w:ind w:firstLine="737"/>
        <w:rPr>
          <w:rFonts w:ascii="仿宋_GB2312" w:eastAsia="仿宋_GB2312"/>
          <w:color w:val="000000" w:themeColor="text1"/>
          <w:sz w:val="28"/>
          <w:szCs w:val="28"/>
        </w:rPr>
      </w:pPr>
      <w:r>
        <w:rPr>
          <w:rFonts w:hint="eastAsia" w:ascii="仿宋_GB2312" w:eastAsia="仿宋_GB2312"/>
          <w:color w:val="000000" w:themeColor="text1"/>
          <w:sz w:val="28"/>
          <w:szCs w:val="28"/>
        </w:rPr>
        <w:t>1、独立、客观、公正原则：要求站在中立的立场上，实事求是、公平正直地评估出对各方估价利害关系人均是公平合理的价值或价格的原则。</w:t>
      </w:r>
    </w:p>
    <w:p>
      <w:pPr>
        <w:adjustRightInd w:val="0"/>
        <w:snapToGrid w:val="0"/>
        <w:spacing w:line="540" w:lineRule="exact"/>
        <w:ind w:firstLine="737"/>
        <w:rPr>
          <w:rFonts w:ascii="仿宋_GB2312" w:eastAsia="仿宋_GB2312"/>
          <w:color w:val="000000" w:themeColor="text1"/>
          <w:sz w:val="28"/>
          <w:szCs w:val="28"/>
        </w:rPr>
      </w:pPr>
      <w:r>
        <w:rPr>
          <w:rFonts w:hint="eastAsia" w:ascii="仿宋_GB2312" w:eastAsia="仿宋_GB2312"/>
          <w:color w:val="000000" w:themeColor="text1"/>
          <w:sz w:val="28"/>
          <w:szCs w:val="28"/>
        </w:rPr>
        <w:t>2、合法原则：要求估价结果是在依法判定的估价对象状况下的价值或价格的原则。</w:t>
      </w:r>
    </w:p>
    <w:p>
      <w:pPr>
        <w:adjustRightInd w:val="0"/>
        <w:snapToGrid w:val="0"/>
        <w:spacing w:line="540" w:lineRule="exact"/>
        <w:ind w:firstLine="737"/>
        <w:rPr>
          <w:rFonts w:ascii="仿宋_GB2312" w:eastAsia="仿宋_GB2312"/>
          <w:color w:val="000000" w:themeColor="text1"/>
          <w:sz w:val="28"/>
          <w:szCs w:val="28"/>
        </w:rPr>
      </w:pPr>
      <w:r>
        <w:rPr>
          <w:rFonts w:hint="eastAsia" w:ascii="仿宋_GB2312" w:eastAsia="仿宋_GB2312"/>
          <w:color w:val="000000" w:themeColor="text1"/>
          <w:sz w:val="28"/>
          <w:szCs w:val="28"/>
        </w:rPr>
        <w:t>3、价值时点原则：要求估价结果是在根据估价目的确定的某一特定时间的价值或价格的原则。</w:t>
      </w:r>
    </w:p>
    <w:p>
      <w:pPr>
        <w:adjustRightInd w:val="0"/>
        <w:snapToGrid w:val="0"/>
        <w:spacing w:line="540" w:lineRule="exact"/>
        <w:ind w:firstLine="737"/>
        <w:rPr>
          <w:rFonts w:ascii="仿宋_GB2312" w:eastAsia="仿宋_GB2312"/>
          <w:color w:val="000000" w:themeColor="text1"/>
          <w:sz w:val="28"/>
          <w:szCs w:val="28"/>
        </w:rPr>
      </w:pPr>
      <w:r>
        <w:rPr>
          <w:rFonts w:hint="eastAsia" w:ascii="仿宋_GB2312" w:eastAsia="仿宋_GB2312"/>
          <w:color w:val="000000" w:themeColor="text1"/>
          <w:sz w:val="28"/>
          <w:szCs w:val="28"/>
        </w:rPr>
        <w:t>4、替代原则：要求估价结果与估价对象的类似房地产在同等条件下的价值或价格偏差在合理范围内的原则。</w:t>
      </w:r>
    </w:p>
    <w:p>
      <w:pPr>
        <w:adjustRightInd w:val="0"/>
        <w:snapToGrid w:val="0"/>
        <w:spacing w:line="540" w:lineRule="exact"/>
        <w:ind w:firstLine="737"/>
        <w:rPr>
          <w:rFonts w:ascii="仿宋_GB2312" w:eastAsia="仿宋_GB2312"/>
          <w:color w:val="000000" w:themeColor="text1"/>
          <w:sz w:val="28"/>
          <w:szCs w:val="28"/>
        </w:rPr>
      </w:pPr>
      <w:r>
        <w:rPr>
          <w:rFonts w:hint="eastAsia" w:ascii="仿宋_GB2312" w:eastAsia="仿宋_GB2312"/>
          <w:color w:val="000000" w:themeColor="text1"/>
          <w:sz w:val="28"/>
          <w:szCs w:val="28"/>
        </w:rPr>
        <w:t>5、最高最佳利用原则：要求估价结果是在估价对象最高最佳利用状况下的价值或价格的原则。</w:t>
      </w:r>
    </w:p>
    <w:p>
      <w:pPr>
        <w:adjustRightInd w:val="0"/>
        <w:snapToGrid w:val="0"/>
        <w:spacing w:line="540" w:lineRule="exact"/>
        <w:ind w:firstLine="689" w:firstLineChars="245"/>
        <w:rPr>
          <w:rFonts w:ascii="仿宋_GB2312" w:eastAsia="仿宋_GB2312"/>
          <w:b/>
          <w:color w:val="000000" w:themeColor="text1"/>
          <w:sz w:val="28"/>
          <w:szCs w:val="28"/>
        </w:rPr>
      </w:pPr>
      <w:r>
        <w:rPr>
          <w:rFonts w:hint="eastAsia" w:ascii="仿宋_GB2312" w:eastAsia="仿宋_GB2312"/>
          <w:b/>
          <w:color w:val="000000" w:themeColor="text1"/>
          <w:sz w:val="28"/>
          <w:szCs w:val="28"/>
        </w:rPr>
        <w:t>八 、 估价依据</w:t>
      </w:r>
      <w:bookmarkEnd w:id="18"/>
      <w:r>
        <w:rPr>
          <w:rFonts w:hint="eastAsia" w:ascii="仿宋_GB2312" w:eastAsia="仿宋_GB2312"/>
          <w:b/>
          <w:color w:val="000000" w:themeColor="text1"/>
          <w:sz w:val="28"/>
          <w:szCs w:val="28"/>
        </w:rPr>
        <w:t>　　</w:t>
      </w:r>
    </w:p>
    <w:p>
      <w:pPr>
        <w:widowControl/>
        <w:spacing w:line="540" w:lineRule="exact"/>
        <w:ind w:firstLine="420" w:firstLineChars="150"/>
        <w:jc w:val="left"/>
        <w:outlineLvl w:val="1"/>
        <w:rPr>
          <w:rFonts w:ascii="仿宋_GB2312" w:eastAsia="仿宋_GB2312"/>
          <w:color w:val="000000" w:themeColor="text1"/>
          <w:sz w:val="28"/>
          <w:szCs w:val="28"/>
        </w:rPr>
      </w:pPr>
      <w:bookmarkStart w:id="19" w:name="_Toc298769626"/>
      <w:bookmarkStart w:id="20" w:name="_Toc298769627"/>
      <w:r>
        <w:rPr>
          <w:rFonts w:hint="eastAsia" w:ascii="仿宋_GB2312" w:eastAsia="仿宋_GB2312"/>
          <w:color w:val="000000" w:themeColor="text1"/>
          <w:sz w:val="28"/>
          <w:szCs w:val="28"/>
        </w:rPr>
        <w:t>（一）有关法律、法规及文件依据</w:t>
      </w:r>
    </w:p>
    <w:p>
      <w:pPr>
        <w:widowControl/>
        <w:spacing w:line="540" w:lineRule="exact"/>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1、《中华人民共和国物权法》；　</w:t>
      </w:r>
    </w:p>
    <w:p>
      <w:pPr>
        <w:widowControl/>
        <w:spacing w:line="540" w:lineRule="exact"/>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2、《中华人民共和国土地管理法》；</w:t>
      </w:r>
    </w:p>
    <w:p>
      <w:pPr>
        <w:widowControl/>
        <w:spacing w:line="540" w:lineRule="exact"/>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3、《中华人民共和国规划法》；　</w:t>
      </w:r>
    </w:p>
    <w:p>
      <w:pPr>
        <w:widowControl/>
        <w:spacing w:line="540" w:lineRule="exact"/>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4、《中华人民共和国城市房地产管理法》；</w:t>
      </w:r>
    </w:p>
    <w:p>
      <w:pPr>
        <w:widowControl/>
        <w:spacing w:line="540" w:lineRule="exact"/>
        <w:ind w:firstLine="560" w:firstLineChars="200"/>
        <w:jc w:val="left"/>
        <w:rPr>
          <w:rFonts w:ascii="仿宋_GB2312" w:eastAsia="仿宋_GB2312"/>
          <w:color w:val="000000" w:themeColor="text1"/>
          <w:sz w:val="28"/>
          <w:szCs w:val="28"/>
        </w:rPr>
      </w:pPr>
      <w:r>
        <w:rPr>
          <w:rFonts w:hint="eastAsia" w:ascii="仿宋_GB2312" w:eastAsia="仿宋_GB2312"/>
          <w:color w:val="000000" w:themeColor="text1"/>
          <w:sz w:val="28"/>
          <w:szCs w:val="28"/>
        </w:rPr>
        <w:t>5、《司法鉴定程序通则》（中华人民共和国司法部令（2016）第132号）；　</w:t>
      </w:r>
    </w:p>
    <w:p>
      <w:pPr>
        <w:spacing w:line="540" w:lineRule="exact"/>
        <w:ind w:firstLine="420" w:firstLineChars="150"/>
        <w:rPr>
          <w:rFonts w:ascii="仿宋_GB2312" w:eastAsia="仿宋_GB2312"/>
          <w:color w:val="000000" w:themeColor="text1"/>
          <w:sz w:val="28"/>
          <w:szCs w:val="28"/>
        </w:rPr>
      </w:pPr>
      <w:r>
        <w:rPr>
          <w:rFonts w:hint="eastAsia" w:ascii="仿宋_GB2312" w:eastAsia="仿宋_GB2312"/>
          <w:color w:val="000000" w:themeColor="text1"/>
          <w:sz w:val="28"/>
          <w:szCs w:val="28"/>
        </w:rPr>
        <w:t>（二）估价标准依据</w:t>
      </w:r>
    </w:p>
    <w:p>
      <w:pPr>
        <w:spacing w:line="5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1、《房地产估价规范》（GB/T50291-2015）；</w:t>
      </w:r>
    </w:p>
    <w:p>
      <w:pPr>
        <w:widowControl/>
        <w:spacing w:line="540" w:lineRule="exact"/>
        <w:ind w:firstLine="560" w:firstLineChars="200"/>
        <w:jc w:val="left"/>
        <w:rPr>
          <w:rFonts w:ascii="仿宋_GB2312" w:hAnsi="Tahoma" w:eastAsia="仿宋_GB2312" w:cs="Tahoma"/>
          <w:color w:val="000000" w:themeColor="text1"/>
          <w:sz w:val="28"/>
          <w:szCs w:val="28"/>
        </w:rPr>
      </w:pPr>
      <w:r>
        <w:rPr>
          <w:rFonts w:hint="eastAsia" w:ascii="仿宋_GB2312" w:eastAsia="仿宋_GB2312"/>
          <w:color w:val="000000" w:themeColor="text1"/>
          <w:sz w:val="28"/>
          <w:szCs w:val="28"/>
        </w:rPr>
        <w:t>2、</w:t>
      </w:r>
      <w:r>
        <w:rPr>
          <w:rFonts w:hint="eastAsia" w:ascii="仿宋_GB2312" w:hAnsi="Tahoma" w:eastAsia="仿宋_GB2312" w:cs="Tahoma"/>
          <w:color w:val="000000" w:themeColor="text1"/>
          <w:sz w:val="28"/>
          <w:szCs w:val="28"/>
        </w:rPr>
        <w:t>《房地产估价基本术语标准》（GB／T50899－2013）；</w:t>
      </w:r>
    </w:p>
    <w:p>
      <w:pPr>
        <w:widowControl/>
        <w:spacing w:line="540" w:lineRule="exact"/>
        <w:ind w:firstLine="420" w:firstLineChars="150"/>
        <w:jc w:val="left"/>
        <w:rPr>
          <w:rFonts w:ascii="仿宋_GB2312" w:eastAsia="仿宋_GB2312"/>
          <w:color w:val="000000" w:themeColor="text1"/>
          <w:sz w:val="28"/>
          <w:szCs w:val="28"/>
        </w:rPr>
      </w:pPr>
      <w:r>
        <w:rPr>
          <w:rFonts w:hint="eastAsia" w:ascii="仿宋_GB2312" w:hAnsi="Tahoma" w:eastAsia="仿宋_GB2312" w:cs="Tahoma"/>
          <w:color w:val="000000" w:themeColor="text1"/>
          <w:sz w:val="28"/>
          <w:szCs w:val="28"/>
        </w:rPr>
        <w:t>（三）估价委托人提供的资料依据</w:t>
      </w:r>
    </w:p>
    <w:p>
      <w:pPr>
        <w:spacing w:line="5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1、临清市人民法院司法询价委托函【（2018）鲁1581执恢160号之一】；</w:t>
      </w:r>
    </w:p>
    <w:p>
      <w:pPr>
        <w:spacing w:line="5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2、商品房买卖合同复印件；</w:t>
      </w:r>
    </w:p>
    <w:p>
      <w:pPr>
        <w:spacing w:line="540" w:lineRule="exact"/>
        <w:ind w:firstLine="420" w:firstLineChars="150"/>
        <w:rPr>
          <w:rFonts w:ascii="仿宋_GB2312" w:eastAsia="仿宋_GB2312"/>
          <w:color w:val="000000" w:themeColor="text1"/>
          <w:sz w:val="28"/>
          <w:szCs w:val="28"/>
        </w:rPr>
      </w:pPr>
      <w:r>
        <w:rPr>
          <w:rFonts w:hint="eastAsia" w:ascii="仿宋_GB2312" w:eastAsia="仿宋_GB2312"/>
          <w:color w:val="000000" w:themeColor="text1"/>
          <w:sz w:val="28"/>
          <w:szCs w:val="28"/>
        </w:rPr>
        <w:t>（四）估价机构及注册房地产估价师搜集的资料依据</w:t>
      </w:r>
    </w:p>
    <w:p>
      <w:pPr>
        <w:spacing w:line="5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1、估价对象照片</w:t>
      </w:r>
    </w:p>
    <w:p>
      <w:pPr>
        <w:spacing w:line="5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2、实地查勘记录；</w:t>
      </w:r>
    </w:p>
    <w:p>
      <w:pPr>
        <w:spacing w:line="5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3、当地市场调查和搜集的有关资料；</w:t>
      </w:r>
    </w:p>
    <w:p>
      <w:pPr>
        <w:spacing w:line="54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4、估价委托人提供的其他有关资料；　　</w:t>
      </w:r>
    </w:p>
    <w:bookmarkEnd w:id="19"/>
    <w:bookmarkEnd w:id="20"/>
    <w:p>
      <w:pPr>
        <w:spacing w:line="540" w:lineRule="exact"/>
        <w:ind w:firstLine="551" w:firstLineChars="196"/>
        <w:outlineLvl w:val="1"/>
        <w:rPr>
          <w:rFonts w:ascii="仿宋_GB2312" w:eastAsia="仿宋_GB2312"/>
          <w:b/>
          <w:color w:val="000000" w:themeColor="text1"/>
          <w:sz w:val="28"/>
          <w:szCs w:val="28"/>
        </w:rPr>
      </w:pPr>
      <w:bookmarkStart w:id="21" w:name="_Toc298769628"/>
      <w:r>
        <w:rPr>
          <w:rFonts w:hint="eastAsia" w:ascii="仿宋_GB2312" w:eastAsia="仿宋_GB2312"/>
          <w:b/>
          <w:color w:val="000000" w:themeColor="text1"/>
          <w:sz w:val="28"/>
          <w:szCs w:val="28"/>
        </w:rPr>
        <w:t>九、估价方法</w:t>
      </w:r>
      <w:r>
        <w:rPr>
          <w:rFonts w:hint="eastAsia" w:ascii="仿宋_GB2312" w:hAnsi="Courier New" w:eastAsia="仿宋_GB2312" w:cs="Courier New"/>
          <w:b/>
          <w:i/>
          <w:color w:val="000000" w:themeColor="text1"/>
          <w:sz w:val="28"/>
          <w:szCs w:val="28"/>
        </w:rPr>
        <w:t>　　　</w:t>
      </w:r>
    </w:p>
    <w:p>
      <w:pPr>
        <w:tabs>
          <w:tab w:val="right" w:pos="9354"/>
        </w:tabs>
        <w:spacing w:line="560" w:lineRule="exact"/>
        <w:ind w:firstLine="560" w:firstLineChars="200"/>
        <w:rPr>
          <w:rFonts w:ascii="仿宋_GB2312" w:hAnsi="宋体" w:eastAsia="仿宋_GB2312" w:cs="Tahoma"/>
          <w:sz w:val="28"/>
          <w:szCs w:val="28"/>
        </w:rPr>
      </w:pPr>
      <w:r>
        <w:rPr>
          <w:rFonts w:hint="eastAsia" w:ascii="仿宋_GB2312" w:hAnsi="宋体" w:eastAsia="仿宋_GB2312" w:cs="Tahoma"/>
          <w:sz w:val="28"/>
          <w:szCs w:val="28"/>
        </w:rPr>
        <w:t>估价方法的选用一般取决于估价对象的用途、估价技术标准、当地房地产市场条件和估价目的。估价方法通常有比较法、收益法、假设开发法、成本法等四种。</w:t>
      </w:r>
    </w:p>
    <w:p>
      <w:pPr>
        <w:spacing w:line="600" w:lineRule="exact"/>
        <w:rPr>
          <w:rFonts w:ascii="仿宋_GB2312" w:eastAsia="仿宋_GB2312" w:cs="Tahoma"/>
          <w:b/>
          <w:sz w:val="28"/>
          <w:szCs w:val="28"/>
        </w:rPr>
      </w:pPr>
      <w:r>
        <w:rPr>
          <w:rFonts w:hint="eastAsia" w:ascii="仿宋_GB2312" w:hAnsi="宋体" w:eastAsia="仿宋_GB2312"/>
          <w:spacing w:val="14"/>
          <w:sz w:val="28"/>
          <w:szCs w:val="28"/>
        </w:rPr>
        <w:t xml:space="preserve">   本次对1套商业房地产市场价值进行评估，采用收益法、比较法进行估价。并将两种估价方法的估算结果分析综合后得到估价对象价值。</w:t>
      </w:r>
    </w:p>
    <w:p>
      <w:pPr>
        <w:spacing w:line="600" w:lineRule="exact"/>
        <w:ind w:firstLine="280" w:firstLineChars="100"/>
        <w:rPr>
          <w:rFonts w:ascii="仿宋_GB2312" w:hAnsi="宋体" w:eastAsia="仿宋_GB2312" w:cs="Tahoma"/>
          <w:sz w:val="28"/>
          <w:szCs w:val="28"/>
        </w:rPr>
      </w:pPr>
      <w:r>
        <w:rPr>
          <w:rFonts w:hint="eastAsia" w:ascii="仿宋_GB2312" w:hAnsi="宋体" w:eastAsia="仿宋_GB2312" w:cs="Tahoma"/>
          <w:sz w:val="28"/>
          <w:szCs w:val="28"/>
        </w:rPr>
        <w:t xml:space="preserve">  收益法：预计估价对象未来的正常净收益，利用报酬率或资本化率、收益乘数将未来收益转换为价值得到估价对象价值或价格的方法。</w:t>
      </w:r>
    </w:p>
    <w:p>
      <w:pPr>
        <w:spacing w:line="600" w:lineRule="exact"/>
        <w:ind w:firstLine="555"/>
        <w:rPr>
          <w:rFonts w:ascii="仿宋_GB2312" w:eastAsia="仿宋_GB2312"/>
          <w:color w:val="000000"/>
          <w:sz w:val="28"/>
          <w:szCs w:val="28"/>
        </w:rPr>
      </w:pPr>
      <w:r>
        <w:rPr>
          <w:rFonts w:hint="eastAsia" w:ascii="仿宋_GB2312" w:eastAsia="仿宋_GB2312"/>
          <w:color w:val="000000"/>
          <w:sz w:val="28"/>
          <w:szCs w:val="28"/>
        </w:rPr>
        <w:t>比较法：选取一定数量的可比实例，将它们与估价对象进行比较，根据其间的差异对可比实例成交价格进行处理后得到估价对象价值或价格的方法。</w:t>
      </w:r>
    </w:p>
    <w:p>
      <w:pPr>
        <w:spacing w:line="540" w:lineRule="exact"/>
        <w:ind w:firstLine="551" w:firstLineChars="196"/>
        <w:rPr>
          <w:rFonts w:ascii="仿宋_GB2312" w:hAnsi="宋体" w:eastAsia="仿宋_GB2312" w:cs="Tahoma"/>
          <w:color w:val="000000" w:themeColor="text1"/>
          <w:sz w:val="28"/>
          <w:szCs w:val="28"/>
        </w:rPr>
      </w:pPr>
      <w:r>
        <w:rPr>
          <w:rFonts w:hint="eastAsia" w:ascii="仿宋_GB2312" w:hAnsi="宋体" w:eastAsia="仿宋_GB2312" w:cs="Tahoma"/>
          <w:b/>
          <w:color w:val="000000" w:themeColor="text1"/>
          <w:sz w:val="28"/>
          <w:szCs w:val="28"/>
        </w:rPr>
        <w:t>十、估价结果</w:t>
      </w:r>
      <w:r>
        <w:rPr>
          <w:rFonts w:hint="eastAsia" w:ascii="仿宋_GB2312" w:hAnsi="宋体" w:eastAsia="仿宋_GB2312" w:cs="Tahoma"/>
          <w:color w:val="000000" w:themeColor="text1"/>
          <w:sz w:val="28"/>
          <w:szCs w:val="28"/>
        </w:rPr>
        <w:t>：</w:t>
      </w:r>
    </w:p>
    <w:p>
      <w:pPr>
        <w:spacing w:line="540" w:lineRule="exact"/>
        <w:ind w:firstLine="560" w:firstLineChars="200"/>
        <w:rPr>
          <w:rFonts w:ascii="仿宋_GB2312" w:eastAsia="仿宋_GB2312"/>
          <w:color w:val="000000" w:themeColor="text1"/>
          <w:sz w:val="28"/>
          <w:szCs w:val="28"/>
        </w:rPr>
      </w:pPr>
      <w:r>
        <w:rPr>
          <w:rFonts w:hint="eastAsia" w:ascii="仿宋_GB2312" w:hAnsi="宋体" w:eastAsia="仿宋_GB2312" w:cs="Tahoma"/>
          <w:color w:val="000000" w:themeColor="text1"/>
          <w:sz w:val="28"/>
          <w:szCs w:val="28"/>
        </w:rPr>
        <w:t>遵照有关法律法规、政策文件和估价标准，根据估价委托人提供的相关资料以及本估价机构及注册房地产估价师掌握的资料，按照估价目的，遵循估价原则，采用科学的方法进行了分析测算和判断。在满足估价假设和限制条件下，估价对象于价值时点的估价结果：</w:t>
      </w:r>
      <w:r>
        <w:rPr>
          <w:rFonts w:hint="eastAsia" w:ascii="仿宋_GB2312" w:hAnsi="宋体" w:eastAsia="仿宋_GB2312"/>
          <w:color w:val="000000" w:themeColor="text1"/>
          <w:spacing w:val="14"/>
          <w:sz w:val="28"/>
          <w:szCs w:val="28"/>
        </w:rPr>
        <w:t>120.25万元</w:t>
      </w:r>
      <w:r>
        <w:rPr>
          <w:rFonts w:hint="eastAsia" w:ascii="仿宋_GB2312" w:eastAsia="仿宋_GB2312"/>
          <w:color w:val="000000" w:themeColor="text1"/>
          <w:sz w:val="28"/>
          <w:szCs w:val="28"/>
        </w:rPr>
        <w:t>，大写金额:</w:t>
      </w:r>
      <w:r>
        <w:rPr>
          <w:rFonts w:hint="eastAsia" w:ascii="仿宋_GB2312" w:eastAsia="仿宋_GB2312"/>
          <w:bCs/>
          <w:color w:val="000000" w:themeColor="text1"/>
          <w:sz w:val="28"/>
          <w:szCs w:val="28"/>
        </w:rPr>
        <w:t>人民币壹佰贰拾万贰仟伍佰元整</w:t>
      </w:r>
      <w:r>
        <w:rPr>
          <w:rFonts w:hint="eastAsia" w:ascii="仿宋_GB2312" w:eastAsia="仿宋_GB2312"/>
          <w:color w:val="000000" w:themeColor="text1"/>
          <w:sz w:val="28"/>
          <w:szCs w:val="28"/>
        </w:rPr>
        <w:t>。</w:t>
      </w:r>
    </w:p>
    <w:p>
      <w:pPr>
        <w:spacing w:line="560" w:lineRule="exact"/>
        <w:ind w:firstLine="562" w:firstLineChars="200"/>
        <w:rPr>
          <w:rFonts w:ascii="仿宋_GB2312" w:eastAsia="仿宋_GB2312"/>
          <w:b/>
          <w:color w:val="FF0000"/>
          <w:sz w:val="28"/>
          <w:szCs w:val="28"/>
        </w:rPr>
      </w:pPr>
      <w:r>
        <w:rPr>
          <w:rFonts w:hint="eastAsia" w:ascii="仿宋_GB2312" w:eastAsia="仿宋_GB2312"/>
          <w:b/>
          <w:color w:val="FF0000"/>
          <w:sz w:val="28"/>
          <w:szCs w:val="28"/>
        </w:rPr>
        <w:t xml:space="preserve">十一、注册房地产估价师 </w:t>
      </w:r>
    </w:p>
    <w:p>
      <w:pPr>
        <w:spacing w:line="560" w:lineRule="exact"/>
        <w:ind w:firstLine="562" w:firstLineChars="200"/>
        <w:rPr>
          <w:rFonts w:ascii="仿宋_GB2312" w:eastAsia="仿宋_GB2312"/>
          <w:b/>
          <w:color w:val="FF0000"/>
          <w:sz w:val="28"/>
          <w:szCs w:val="28"/>
        </w:rPr>
      </w:pPr>
    </w:p>
    <w:tbl>
      <w:tblPr>
        <w:tblStyle w:val="33"/>
        <w:tblpPr w:leftFromText="180" w:rightFromText="180" w:vertAnchor="text" w:horzAnchor="margin" w:tblpY="24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420"/>
        <w:gridCol w:w="2962"/>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479" w:type="dxa"/>
            <w:vAlign w:val="center"/>
          </w:tcPr>
          <w:p>
            <w:pPr>
              <w:spacing w:line="560" w:lineRule="exact"/>
              <w:rPr>
                <w:rFonts w:ascii="仿宋_GB2312" w:hAnsi="宋体" w:eastAsia="仿宋_GB2312"/>
                <w:color w:val="000000" w:themeColor="text1"/>
                <w:spacing w:val="23"/>
                <w:sz w:val="28"/>
                <w:szCs w:val="28"/>
              </w:rPr>
            </w:pPr>
            <w:r>
              <w:rPr>
                <w:rFonts w:hint="eastAsia" w:ascii="仿宋_GB2312" w:hAnsi="宋体" w:eastAsia="仿宋_GB2312"/>
                <w:color w:val="000000" w:themeColor="text1"/>
                <w:spacing w:val="23"/>
                <w:sz w:val="28"/>
                <w:szCs w:val="28"/>
              </w:rPr>
              <w:t>姓名</w:t>
            </w:r>
          </w:p>
        </w:tc>
        <w:tc>
          <w:tcPr>
            <w:tcW w:w="2420" w:type="dxa"/>
            <w:vAlign w:val="center"/>
          </w:tcPr>
          <w:p>
            <w:pPr>
              <w:spacing w:line="560" w:lineRule="exact"/>
              <w:jc w:val="center"/>
              <w:rPr>
                <w:rFonts w:ascii="仿宋_GB2312" w:hAnsi="宋体" w:eastAsia="仿宋_GB2312"/>
                <w:color w:val="000000" w:themeColor="text1"/>
                <w:spacing w:val="23"/>
                <w:sz w:val="28"/>
                <w:szCs w:val="28"/>
              </w:rPr>
            </w:pPr>
            <w:r>
              <w:rPr>
                <w:rFonts w:hint="eastAsia" w:ascii="仿宋_GB2312" w:hAnsi="宋体" w:eastAsia="仿宋_GB2312"/>
                <w:color w:val="000000" w:themeColor="text1"/>
                <w:spacing w:val="23"/>
                <w:sz w:val="28"/>
                <w:szCs w:val="28"/>
              </w:rPr>
              <w:t>注册号</w:t>
            </w:r>
          </w:p>
        </w:tc>
        <w:tc>
          <w:tcPr>
            <w:tcW w:w="2962" w:type="dxa"/>
            <w:vAlign w:val="center"/>
          </w:tcPr>
          <w:p>
            <w:pPr>
              <w:spacing w:line="560" w:lineRule="exact"/>
              <w:jc w:val="center"/>
              <w:rPr>
                <w:rFonts w:ascii="仿宋_GB2312" w:hAnsi="宋体" w:eastAsia="仿宋_GB2312"/>
                <w:color w:val="000000" w:themeColor="text1"/>
                <w:spacing w:val="23"/>
                <w:sz w:val="28"/>
                <w:szCs w:val="28"/>
              </w:rPr>
            </w:pPr>
            <w:r>
              <w:rPr>
                <w:rFonts w:hint="eastAsia" w:ascii="仿宋_GB2312" w:hAnsi="宋体" w:eastAsia="仿宋_GB2312"/>
                <w:color w:val="000000" w:themeColor="text1"/>
                <w:spacing w:val="23"/>
                <w:sz w:val="28"/>
                <w:szCs w:val="28"/>
              </w:rPr>
              <w:t>签名</w:t>
            </w:r>
          </w:p>
        </w:tc>
        <w:tc>
          <w:tcPr>
            <w:tcW w:w="2745" w:type="dxa"/>
            <w:vAlign w:val="center"/>
          </w:tcPr>
          <w:p>
            <w:pPr>
              <w:spacing w:line="560" w:lineRule="exact"/>
              <w:jc w:val="center"/>
              <w:rPr>
                <w:rFonts w:ascii="仿宋_GB2312" w:hAnsi="宋体" w:eastAsia="仿宋_GB2312"/>
                <w:color w:val="000000" w:themeColor="text1"/>
                <w:spacing w:val="23"/>
                <w:sz w:val="28"/>
                <w:szCs w:val="28"/>
              </w:rPr>
            </w:pPr>
            <w:r>
              <w:rPr>
                <w:rFonts w:hint="eastAsia" w:ascii="仿宋_GB2312" w:hAnsi="宋体" w:eastAsia="仿宋_GB2312"/>
                <w:color w:val="000000" w:themeColor="text1"/>
                <w:spacing w:val="23"/>
                <w:sz w:val="28"/>
                <w:szCs w:val="28"/>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trPr>
        <w:tc>
          <w:tcPr>
            <w:tcW w:w="1479" w:type="dxa"/>
            <w:vAlign w:val="center"/>
          </w:tcPr>
          <w:p>
            <w:pPr>
              <w:spacing w:line="560" w:lineRule="exact"/>
              <w:rPr>
                <w:rFonts w:ascii="仿宋_GB2312" w:hAnsi="宋体" w:eastAsia="仿宋_GB2312"/>
                <w:color w:val="000000" w:themeColor="text1"/>
                <w:spacing w:val="23"/>
                <w:sz w:val="28"/>
                <w:szCs w:val="28"/>
              </w:rPr>
            </w:pPr>
            <w:r>
              <w:rPr>
                <w:rFonts w:hint="eastAsia" w:ascii="仿宋_GB2312" w:hAnsi="宋体" w:eastAsia="仿宋_GB2312"/>
                <w:color w:val="000000" w:themeColor="text1"/>
                <w:spacing w:val="23"/>
                <w:sz w:val="28"/>
                <w:szCs w:val="28"/>
              </w:rPr>
              <w:t>李春玲</w:t>
            </w:r>
          </w:p>
        </w:tc>
        <w:tc>
          <w:tcPr>
            <w:tcW w:w="2420" w:type="dxa"/>
            <w:vAlign w:val="center"/>
          </w:tcPr>
          <w:p>
            <w:pPr>
              <w:spacing w:line="560" w:lineRule="exact"/>
              <w:jc w:val="center"/>
              <w:rPr>
                <w:rFonts w:ascii="仿宋_GB2312" w:hAnsi="宋体" w:eastAsia="仿宋_GB2312"/>
                <w:color w:val="000000" w:themeColor="text1"/>
                <w:spacing w:val="23"/>
                <w:sz w:val="28"/>
                <w:szCs w:val="28"/>
              </w:rPr>
            </w:pPr>
            <w:r>
              <w:rPr>
                <w:rFonts w:hint="eastAsia" w:ascii="仿宋_GB2312" w:hAnsi="宋体" w:eastAsia="仿宋_GB2312"/>
                <w:color w:val="000000" w:themeColor="text1"/>
                <w:sz w:val="28"/>
                <w:szCs w:val="28"/>
              </w:rPr>
              <w:t>3720170212</w:t>
            </w:r>
          </w:p>
        </w:tc>
        <w:tc>
          <w:tcPr>
            <w:tcW w:w="2962" w:type="dxa"/>
            <w:vAlign w:val="center"/>
          </w:tcPr>
          <w:p>
            <w:pPr>
              <w:spacing w:line="560" w:lineRule="exact"/>
              <w:rPr>
                <w:rFonts w:ascii="仿宋_GB2312" w:hAnsi="宋体" w:eastAsia="仿宋_GB2312"/>
                <w:color w:val="000000" w:themeColor="text1"/>
                <w:spacing w:val="23"/>
                <w:sz w:val="28"/>
                <w:szCs w:val="28"/>
              </w:rPr>
            </w:pPr>
          </w:p>
        </w:tc>
        <w:tc>
          <w:tcPr>
            <w:tcW w:w="2745" w:type="dxa"/>
            <w:vAlign w:val="center"/>
          </w:tcPr>
          <w:p>
            <w:pPr>
              <w:spacing w:line="560" w:lineRule="exact"/>
              <w:rPr>
                <w:rFonts w:ascii="仿宋_GB2312" w:hAnsi="宋体" w:eastAsia="仿宋_GB2312"/>
                <w:color w:val="000000" w:themeColor="text1"/>
                <w:spacing w:val="2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9" w:hRule="atLeast"/>
        </w:trPr>
        <w:tc>
          <w:tcPr>
            <w:tcW w:w="1479" w:type="dxa"/>
            <w:vAlign w:val="center"/>
          </w:tcPr>
          <w:p>
            <w:pPr>
              <w:spacing w:line="560" w:lineRule="exact"/>
              <w:rPr>
                <w:rFonts w:ascii="仿宋_GB2312" w:hAnsi="宋体" w:eastAsia="仿宋_GB2312"/>
                <w:color w:val="000000" w:themeColor="text1"/>
                <w:spacing w:val="23"/>
                <w:sz w:val="28"/>
                <w:szCs w:val="28"/>
              </w:rPr>
            </w:pPr>
            <w:r>
              <w:rPr>
                <w:rFonts w:hint="eastAsia" w:ascii="仿宋_GB2312" w:hAnsi="宋体" w:eastAsia="仿宋_GB2312"/>
                <w:color w:val="000000" w:themeColor="text1"/>
                <w:spacing w:val="23"/>
                <w:sz w:val="28"/>
                <w:szCs w:val="28"/>
              </w:rPr>
              <w:t>胡  磊</w:t>
            </w:r>
          </w:p>
        </w:tc>
        <w:tc>
          <w:tcPr>
            <w:tcW w:w="2420" w:type="dxa"/>
            <w:vAlign w:val="center"/>
          </w:tcPr>
          <w:p>
            <w:pPr>
              <w:spacing w:line="560" w:lineRule="exact"/>
              <w:jc w:val="center"/>
              <w:rPr>
                <w:rFonts w:ascii="仿宋_GB2312" w:hAnsi="宋体" w:eastAsia="仿宋_GB2312"/>
                <w:color w:val="000000" w:themeColor="text1"/>
                <w:spacing w:val="23"/>
                <w:sz w:val="28"/>
                <w:szCs w:val="28"/>
              </w:rPr>
            </w:pPr>
            <w:r>
              <w:rPr>
                <w:rFonts w:hint="eastAsia" w:ascii="仿宋_GB2312" w:hAnsi="宋体" w:eastAsia="仿宋_GB2312"/>
                <w:color w:val="000000" w:themeColor="text1"/>
                <w:sz w:val="28"/>
                <w:szCs w:val="28"/>
              </w:rPr>
              <w:t>3720140195</w:t>
            </w:r>
          </w:p>
        </w:tc>
        <w:tc>
          <w:tcPr>
            <w:tcW w:w="2962" w:type="dxa"/>
            <w:vAlign w:val="center"/>
          </w:tcPr>
          <w:p>
            <w:pPr>
              <w:spacing w:line="560" w:lineRule="exact"/>
              <w:rPr>
                <w:rFonts w:ascii="仿宋_GB2312" w:hAnsi="宋体" w:eastAsia="仿宋_GB2312"/>
                <w:color w:val="000000" w:themeColor="text1"/>
                <w:spacing w:val="23"/>
                <w:sz w:val="28"/>
                <w:szCs w:val="28"/>
              </w:rPr>
            </w:pPr>
          </w:p>
        </w:tc>
        <w:tc>
          <w:tcPr>
            <w:tcW w:w="2745" w:type="dxa"/>
            <w:vAlign w:val="center"/>
          </w:tcPr>
          <w:p>
            <w:pPr>
              <w:spacing w:line="560" w:lineRule="exact"/>
              <w:rPr>
                <w:rFonts w:ascii="仿宋_GB2312" w:hAnsi="宋体" w:eastAsia="仿宋_GB2312"/>
                <w:color w:val="000000" w:themeColor="text1"/>
                <w:spacing w:val="23"/>
                <w:sz w:val="28"/>
                <w:szCs w:val="28"/>
              </w:rPr>
            </w:pPr>
          </w:p>
        </w:tc>
      </w:tr>
    </w:tbl>
    <w:p>
      <w:pPr>
        <w:spacing w:line="560" w:lineRule="exact"/>
        <w:ind w:firstLine="551" w:firstLineChars="196"/>
        <w:rPr>
          <w:rFonts w:ascii="仿宋_GB2312" w:eastAsia="仿宋_GB2312"/>
          <w:b/>
          <w:color w:val="000000" w:themeColor="text1"/>
          <w:sz w:val="28"/>
          <w:szCs w:val="28"/>
        </w:rPr>
      </w:pPr>
      <w:r>
        <w:rPr>
          <w:rFonts w:hint="eastAsia" w:ascii="仿宋_GB2312" w:eastAsia="仿宋_GB2312"/>
          <w:b/>
          <w:color w:val="000000" w:themeColor="text1"/>
          <w:sz w:val="28"/>
          <w:szCs w:val="28"/>
        </w:rPr>
        <w:t>十二、实地查勘期：</w:t>
      </w:r>
    </w:p>
    <w:p>
      <w:pPr>
        <w:spacing w:line="560" w:lineRule="exact"/>
        <w:ind w:firstLine="560" w:firstLineChars="200"/>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2018年12月24日</w:t>
      </w:r>
      <w:r>
        <w:rPr>
          <w:rFonts w:hint="eastAsia" w:ascii="仿宋_GB2312" w:eastAsia="仿宋_GB2312" w:cs="Tahoma"/>
          <w:color w:val="000000" w:themeColor="text1"/>
          <w:sz w:val="28"/>
          <w:szCs w:val="28"/>
        </w:rPr>
        <w:t>------</w:t>
      </w:r>
      <w:r>
        <w:rPr>
          <w:rFonts w:hint="eastAsia" w:ascii="仿宋_GB2312" w:hAnsi="宋体" w:eastAsia="仿宋_GB2312" w:cs="Tahoma"/>
          <w:color w:val="000000" w:themeColor="text1"/>
          <w:sz w:val="28"/>
          <w:szCs w:val="28"/>
        </w:rPr>
        <w:t>2018年12月24日</w:t>
      </w:r>
    </w:p>
    <w:p>
      <w:pPr>
        <w:pStyle w:val="47"/>
        <w:spacing w:line="560" w:lineRule="exact"/>
        <w:ind w:firstLine="551" w:firstLineChars="196"/>
        <w:jc w:val="both"/>
        <w:rPr>
          <w:rFonts w:ascii="仿宋_GB2312" w:hAnsi="宋体" w:eastAsia="仿宋_GB2312"/>
          <w:b/>
          <w:color w:val="000000" w:themeColor="text1"/>
          <w:sz w:val="28"/>
          <w:szCs w:val="28"/>
        </w:rPr>
      </w:pPr>
      <w:r>
        <w:rPr>
          <w:rFonts w:hint="eastAsia" w:ascii="仿宋_GB2312" w:hAnsi="宋体" w:eastAsia="仿宋_GB2312"/>
          <w:b/>
          <w:color w:val="000000" w:themeColor="text1"/>
          <w:sz w:val="28"/>
          <w:szCs w:val="28"/>
        </w:rPr>
        <w:t>十三、估价作业期：</w:t>
      </w:r>
    </w:p>
    <w:p>
      <w:pPr>
        <w:spacing w:line="560" w:lineRule="exact"/>
        <w:ind w:firstLine="560" w:firstLineChars="200"/>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2018年12月24日</w:t>
      </w:r>
      <w:r>
        <w:rPr>
          <w:rFonts w:hint="eastAsia" w:ascii="仿宋_GB2312" w:eastAsia="仿宋_GB2312" w:cs="Tahoma"/>
          <w:color w:val="000000" w:themeColor="text1"/>
          <w:sz w:val="28"/>
          <w:szCs w:val="28"/>
        </w:rPr>
        <w:t>------</w:t>
      </w:r>
      <w:r>
        <w:rPr>
          <w:rFonts w:hint="eastAsia" w:ascii="仿宋_GB2312" w:hAnsi="宋体" w:eastAsia="仿宋_GB2312" w:cs="Tahoma"/>
          <w:color w:val="000000" w:themeColor="text1"/>
          <w:sz w:val="28"/>
          <w:szCs w:val="28"/>
        </w:rPr>
        <w:t>2019年1月4日</w:t>
      </w:r>
    </w:p>
    <w:p>
      <w:pPr>
        <w:spacing w:line="580" w:lineRule="exact"/>
        <w:ind w:firstLine="562" w:firstLineChars="200"/>
        <w:rPr>
          <w:rFonts w:ascii="仿宋_GB2312" w:hAnsi="宋体" w:eastAsia="仿宋_GB2312" w:cs="Tahoma"/>
          <w:b/>
          <w:color w:val="000000" w:themeColor="text1"/>
          <w:sz w:val="28"/>
          <w:szCs w:val="28"/>
        </w:rPr>
      </w:pPr>
      <w:r>
        <w:rPr>
          <w:rFonts w:hint="eastAsia" w:ascii="仿宋_GB2312" w:hAnsi="宋体" w:eastAsia="仿宋_GB2312" w:cs="Tahoma"/>
          <w:b/>
          <w:color w:val="000000" w:themeColor="text1"/>
          <w:sz w:val="28"/>
          <w:szCs w:val="28"/>
        </w:rPr>
        <w:t>十四、估价报告有效期</w:t>
      </w:r>
    </w:p>
    <w:p>
      <w:pPr>
        <w:spacing w:line="580" w:lineRule="exact"/>
        <w:ind w:firstLine="560" w:firstLineChars="200"/>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报告有效期为12个月</w:t>
      </w:r>
    </w:p>
    <w:p>
      <w:pPr>
        <w:spacing w:line="580" w:lineRule="exact"/>
        <w:ind w:firstLine="560" w:firstLineChars="200"/>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2019年1月4日</w:t>
      </w:r>
      <w:r>
        <w:rPr>
          <w:rFonts w:hint="eastAsia" w:ascii="仿宋_GB2312" w:eastAsia="仿宋_GB2312" w:cs="Tahoma"/>
          <w:color w:val="000000" w:themeColor="text1"/>
          <w:sz w:val="28"/>
          <w:szCs w:val="28"/>
        </w:rPr>
        <w:t>------</w:t>
      </w:r>
      <w:r>
        <w:rPr>
          <w:rFonts w:hint="eastAsia" w:ascii="仿宋_GB2312" w:hAnsi="宋体" w:eastAsia="仿宋_GB2312" w:cs="Tahoma"/>
          <w:color w:val="000000" w:themeColor="text1"/>
          <w:sz w:val="28"/>
          <w:szCs w:val="28"/>
        </w:rPr>
        <w:t>2020年1月3日</w:t>
      </w:r>
    </w:p>
    <w:p>
      <w:pPr>
        <w:spacing w:line="560" w:lineRule="exact"/>
        <w:ind w:firstLine="560" w:firstLineChars="200"/>
        <w:rPr>
          <w:rFonts w:ascii="仿宋_GB2312" w:hAnsi="仿宋_GB2312" w:eastAsia="仿宋_GB2312" w:cs="仿宋_GB2312"/>
          <w:color w:val="000000" w:themeColor="text1"/>
          <w:sz w:val="28"/>
          <w:szCs w:val="28"/>
        </w:rPr>
      </w:pPr>
    </w:p>
    <w:p>
      <w:pPr>
        <w:spacing w:line="580" w:lineRule="exact"/>
        <w:ind w:right="281" w:rightChars="134"/>
        <w:jc w:val="right"/>
        <w:rPr>
          <w:rFonts w:ascii="仿宋_GB2312" w:hAnsi="宋体" w:eastAsia="仿宋_GB2312" w:cs="Tahoma"/>
          <w:color w:val="000000" w:themeColor="text1"/>
          <w:sz w:val="28"/>
          <w:szCs w:val="28"/>
        </w:rPr>
      </w:pPr>
    </w:p>
    <w:p>
      <w:pPr>
        <w:spacing w:line="580" w:lineRule="exact"/>
        <w:ind w:right="281" w:rightChars="134"/>
        <w:jc w:val="right"/>
        <w:rPr>
          <w:rFonts w:ascii="仿宋_GB2312" w:hAnsi="宋体" w:eastAsia="仿宋_GB2312" w:cs="Tahoma"/>
          <w:color w:val="000000" w:themeColor="text1"/>
          <w:sz w:val="28"/>
          <w:szCs w:val="28"/>
        </w:rPr>
      </w:pPr>
    </w:p>
    <w:p>
      <w:pPr>
        <w:spacing w:line="580" w:lineRule="exact"/>
        <w:ind w:right="281" w:rightChars="134"/>
        <w:jc w:val="right"/>
        <w:rPr>
          <w:rFonts w:ascii="仿宋_GB2312" w:hAnsi="宋体" w:eastAsia="仿宋_GB2312" w:cs="Tahoma"/>
          <w:color w:val="000000" w:themeColor="text1"/>
          <w:sz w:val="28"/>
          <w:szCs w:val="28"/>
        </w:rPr>
      </w:pPr>
      <w:r>
        <w:rPr>
          <w:rFonts w:hint="eastAsia" w:ascii="仿宋_GB2312" w:hAnsi="宋体" w:eastAsia="仿宋_GB2312" w:cs="Tahoma"/>
          <w:color w:val="000000" w:themeColor="text1"/>
          <w:sz w:val="28"/>
          <w:szCs w:val="28"/>
        </w:rPr>
        <w:t>聊城市信远房地产评估有限公司</w:t>
      </w:r>
    </w:p>
    <w:p>
      <w:pPr>
        <w:spacing w:line="580" w:lineRule="exact"/>
        <w:ind w:right="281" w:rightChars="134"/>
        <w:jc w:val="center"/>
        <w:rPr>
          <w:rFonts w:ascii="仿宋_GB2312" w:hAnsi="仿宋_GB2312" w:eastAsia="仿宋_GB2312" w:cs="仿宋_GB2312"/>
          <w:color w:val="000000" w:themeColor="text1"/>
          <w:sz w:val="28"/>
          <w:szCs w:val="28"/>
        </w:rPr>
      </w:pPr>
      <w:r>
        <w:rPr>
          <w:rFonts w:hint="eastAsia" w:ascii="仿宋_GB2312" w:hAnsi="宋体" w:eastAsia="仿宋_GB2312" w:cs="Tahoma"/>
          <w:color w:val="000000" w:themeColor="text1"/>
          <w:sz w:val="28"/>
          <w:szCs w:val="28"/>
        </w:rPr>
        <w:t xml:space="preserve">                                2019年1月4日</w:t>
      </w:r>
    </w:p>
    <w:bookmarkEnd w:id="21"/>
    <w:p>
      <w:pPr>
        <w:spacing w:line="600" w:lineRule="exact"/>
        <w:jc w:val="center"/>
        <w:rPr>
          <w:rFonts w:ascii="仿宋_GB2312" w:hAnsi="宋体" w:eastAsia="仿宋_GB2312"/>
          <w:b/>
          <w:color w:val="000000" w:themeColor="text1"/>
          <w:kern w:val="0"/>
          <w:sz w:val="48"/>
          <w:szCs w:val="48"/>
          <w:u w:val="single"/>
        </w:rPr>
      </w:pPr>
    </w:p>
    <w:p>
      <w:pPr>
        <w:spacing w:line="600" w:lineRule="exact"/>
        <w:jc w:val="center"/>
        <w:rPr>
          <w:rFonts w:ascii="仿宋_GB2312" w:hAnsi="宋体" w:eastAsia="仿宋_GB2312"/>
          <w:b/>
          <w:color w:val="000000" w:themeColor="text1"/>
          <w:spacing w:val="97"/>
          <w:kern w:val="0"/>
          <w:sz w:val="48"/>
          <w:szCs w:val="48"/>
          <w:u w:val="single"/>
        </w:rPr>
      </w:pPr>
    </w:p>
    <w:p>
      <w:pPr>
        <w:spacing w:line="600" w:lineRule="exact"/>
        <w:jc w:val="center"/>
        <w:rPr>
          <w:rFonts w:ascii="仿宋_GB2312" w:hAnsi="宋体" w:eastAsia="仿宋_GB2312"/>
          <w:b/>
          <w:color w:val="000000" w:themeColor="text1"/>
          <w:spacing w:val="97"/>
          <w:kern w:val="0"/>
          <w:sz w:val="48"/>
          <w:szCs w:val="48"/>
          <w:u w:val="single"/>
        </w:rPr>
      </w:pPr>
    </w:p>
    <w:sectPr>
      <w:headerReference r:id="rId8" w:type="first"/>
      <w:headerReference r:id="rId6" w:type="default"/>
      <w:footerReference r:id="rId9" w:type="default"/>
      <w:headerReference r:id="rId7" w:type="even"/>
      <w:pgSz w:w="11906" w:h="16838"/>
      <w:pgMar w:top="1440" w:right="1287" w:bottom="1247" w:left="1418" w:header="851" w:footer="60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昆仑仿宋">
    <w:altName w:val="仿宋_GB2312"/>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ascii="仿宋_GB2312" w:eastAsia="仿宋_GB2312"/>
        <w:b/>
        <w:sz w:val="21"/>
        <w:szCs w:val="21"/>
      </w:rPr>
    </w:pPr>
    <w:r>
      <w:rPr>
        <w:rFonts w:hint="eastAsia" w:ascii="仿宋_GB2312" w:eastAsia="仿宋_GB2312"/>
        <w:b/>
        <w:sz w:val="21"/>
        <w:szCs w:val="21"/>
      </w:rPr>
      <w:t>聊城市信远房地产评估有限公司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right" w:pos="8889"/>
        <w:tab w:val="clear" w:pos="4153"/>
        <w:tab w:val="clear" w:pos="8306"/>
      </w:tabs>
      <w:ind w:right="465"/>
      <w:jc w:val="both"/>
      <w:rPr>
        <w:rFonts w:ascii="仿宋_GB2312" w:eastAsia="仿宋_GB2312"/>
        <w:b/>
        <w:sz w:val="21"/>
        <w:szCs w:val="21"/>
      </w:rPr>
    </w:pPr>
    <w:r>
      <w:rPr>
        <w:rFonts w:ascii="仿宋_GB2312" w:eastAsia="仿宋_GB2312"/>
        <w:b/>
        <w:sz w:val="21"/>
        <w:szCs w:val="21"/>
      </w:rPr>
      <w:tab/>
    </w:r>
    <w:r>
      <w:rPr>
        <w:rFonts w:hint="eastAsia" w:ascii="仿宋_GB2312" w:eastAsia="仿宋_GB2312"/>
        <w:b/>
        <w:sz w:val="21"/>
        <w:szCs w:val="21"/>
      </w:rPr>
      <w:t>聊城市信远房地产评估有限公司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ascii="仿宋_GB2312" w:eastAsia="仿宋_GB2312"/>
        <w:b/>
        <w:sz w:val="21"/>
        <w:szCs w:val="21"/>
      </w:rPr>
    </w:pPr>
    <w:r>
      <w:rPr>
        <w:rFonts w:ascii="Courier New" w:hAnsi="Courier New" w:eastAsia="Courier New" w:cs="Courier New"/>
        <w:i/>
        <w:color w:val="FFFFFF"/>
        <w:sz w:val="36"/>
      </w:rPr>
      <w:t>　　　</w:t>
    </w:r>
    <w:r>
      <w:rPr>
        <w:rFonts w:hint="eastAsia" w:ascii="仿宋_GB2312" w:eastAsia="仿宋_GB2312"/>
        <w:b/>
        <w:sz w:val="21"/>
        <w:szCs w:val="21"/>
      </w:rPr>
      <w:t>聊城市信远房地产评估有限公司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rFonts w:ascii="Courier New" w:hAnsi="Courier New" w:eastAsia="Courier New" w:cs="Courier New"/>
        <w:i/>
        <w:color w:val="FFFFFF"/>
        <w:sz w:val="36"/>
      </w:rPr>
      <w: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1280"/>
        </w:tabs>
        <w:ind w:left="1280" w:hanging="720"/>
      </w:pPr>
      <w:rPr>
        <w:rFonts w:hint="default"/>
      </w:rPr>
    </w:lvl>
    <w:lvl w:ilvl="1" w:tentative="0">
      <w:start w:val="1"/>
      <w:numFmt w:val="lowerLetter"/>
      <w:pStyle w:val="9"/>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
    <w:nsid w:val="0000000B"/>
    <w:multiLevelType w:val="multilevel"/>
    <w:tmpl w:val="0000000B"/>
    <w:lvl w:ilvl="0" w:tentative="0">
      <w:start w:val="1"/>
      <w:numFmt w:val="decimal"/>
      <w:pStyle w:val="5"/>
      <w:lvlText w:val="（%1）"/>
      <w:lvlJc w:val="left"/>
      <w:pPr>
        <w:tabs>
          <w:tab w:val="left" w:pos="1280"/>
        </w:tabs>
        <w:ind w:left="128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2">
    <w:nsid w:val="0000000C"/>
    <w:multiLevelType w:val="multilevel"/>
    <w:tmpl w:val="0000000C"/>
    <w:lvl w:ilvl="0" w:tentative="0">
      <w:start w:val="1"/>
      <w:numFmt w:val="decimal"/>
      <w:lvlText w:val="%1、"/>
      <w:lvlJc w:val="left"/>
      <w:pPr>
        <w:tabs>
          <w:tab w:val="left" w:pos="1280"/>
        </w:tabs>
        <w:ind w:left="128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pStyle w:val="2"/>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3">
    <w:nsid w:val="0000000D"/>
    <w:multiLevelType w:val="multilevel"/>
    <w:tmpl w:val="0000000D"/>
    <w:lvl w:ilvl="0" w:tentative="0">
      <w:start w:val="1"/>
      <w:numFmt w:val="decimal"/>
      <w:pStyle w:val="8"/>
      <w:lvlText w:val="（%1）"/>
      <w:lvlJc w:val="left"/>
      <w:pPr>
        <w:tabs>
          <w:tab w:val="left" w:pos="1280"/>
        </w:tabs>
        <w:ind w:left="128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4">
    <w:nsid w:val="0000000E"/>
    <w:multiLevelType w:val="multilevel"/>
    <w:tmpl w:val="0000000E"/>
    <w:lvl w:ilvl="0" w:tentative="0">
      <w:start w:val="1"/>
      <w:numFmt w:val="decimal"/>
      <w:pStyle w:val="7"/>
      <w:lvlText w:val="（%1）"/>
      <w:lvlJc w:val="left"/>
      <w:pPr>
        <w:tabs>
          <w:tab w:val="left" w:pos="1280"/>
        </w:tabs>
        <w:ind w:left="128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5">
    <w:nsid w:val="2A08B2FC"/>
    <w:multiLevelType w:val="singleLevel"/>
    <w:tmpl w:val="2A08B2FC"/>
    <w:lvl w:ilvl="0" w:tentative="0">
      <w:start w:val="3"/>
      <w:numFmt w:val="decimal"/>
      <w:suff w:val="nothing"/>
      <w:lvlText w:val="%1、"/>
      <w:lvlJc w:val="left"/>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0"/>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0C6"/>
    <w:rsid w:val="00001992"/>
    <w:rsid w:val="00001C50"/>
    <w:rsid w:val="00003AD8"/>
    <w:rsid w:val="00007367"/>
    <w:rsid w:val="00007CF9"/>
    <w:rsid w:val="00011F49"/>
    <w:rsid w:val="00016BE5"/>
    <w:rsid w:val="000173B4"/>
    <w:rsid w:val="00020418"/>
    <w:rsid w:val="00024CF8"/>
    <w:rsid w:val="00037AFD"/>
    <w:rsid w:val="000436AB"/>
    <w:rsid w:val="000517F8"/>
    <w:rsid w:val="000519BC"/>
    <w:rsid w:val="00052842"/>
    <w:rsid w:val="00052F99"/>
    <w:rsid w:val="0005696B"/>
    <w:rsid w:val="00062C6B"/>
    <w:rsid w:val="00063162"/>
    <w:rsid w:val="000704A9"/>
    <w:rsid w:val="00070A51"/>
    <w:rsid w:val="00070C92"/>
    <w:rsid w:val="00072D43"/>
    <w:rsid w:val="00073A94"/>
    <w:rsid w:val="000751BE"/>
    <w:rsid w:val="00080A9F"/>
    <w:rsid w:val="00082DCF"/>
    <w:rsid w:val="000A2216"/>
    <w:rsid w:val="000A2D8A"/>
    <w:rsid w:val="000A53C0"/>
    <w:rsid w:val="000A7958"/>
    <w:rsid w:val="000B348C"/>
    <w:rsid w:val="000B7293"/>
    <w:rsid w:val="000C1C1B"/>
    <w:rsid w:val="000C39C9"/>
    <w:rsid w:val="000C7230"/>
    <w:rsid w:val="000C76C5"/>
    <w:rsid w:val="000D06FB"/>
    <w:rsid w:val="000D7A60"/>
    <w:rsid w:val="000E1096"/>
    <w:rsid w:val="000E7A94"/>
    <w:rsid w:val="000F4669"/>
    <w:rsid w:val="0010401D"/>
    <w:rsid w:val="0011060E"/>
    <w:rsid w:val="00115546"/>
    <w:rsid w:val="00123434"/>
    <w:rsid w:val="0013230E"/>
    <w:rsid w:val="00136874"/>
    <w:rsid w:val="00150890"/>
    <w:rsid w:val="0015476D"/>
    <w:rsid w:val="00156110"/>
    <w:rsid w:val="00162D3A"/>
    <w:rsid w:val="00164D84"/>
    <w:rsid w:val="00172A27"/>
    <w:rsid w:val="00173A8D"/>
    <w:rsid w:val="00174108"/>
    <w:rsid w:val="0017462F"/>
    <w:rsid w:val="00177773"/>
    <w:rsid w:val="001820EE"/>
    <w:rsid w:val="00184015"/>
    <w:rsid w:val="001851B9"/>
    <w:rsid w:val="0018761B"/>
    <w:rsid w:val="0019562D"/>
    <w:rsid w:val="001A0FD3"/>
    <w:rsid w:val="001A45E4"/>
    <w:rsid w:val="001A7E19"/>
    <w:rsid w:val="001B03D1"/>
    <w:rsid w:val="001B2D8C"/>
    <w:rsid w:val="001B72F5"/>
    <w:rsid w:val="001C1070"/>
    <w:rsid w:val="001C5EA2"/>
    <w:rsid w:val="001C63E8"/>
    <w:rsid w:val="001D107A"/>
    <w:rsid w:val="001D233A"/>
    <w:rsid w:val="001D4671"/>
    <w:rsid w:val="001D4EDD"/>
    <w:rsid w:val="001D5417"/>
    <w:rsid w:val="001D5BC4"/>
    <w:rsid w:val="001D782F"/>
    <w:rsid w:val="001D7D9F"/>
    <w:rsid w:val="001E007F"/>
    <w:rsid w:val="001E4F4F"/>
    <w:rsid w:val="001F3996"/>
    <w:rsid w:val="001F4648"/>
    <w:rsid w:val="001F5B6C"/>
    <w:rsid w:val="001F6591"/>
    <w:rsid w:val="001F6B28"/>
    <w:rsid w:val="00202018"/>
    <w:rsid w:val="0020705A"/>
    <w:rsid w:val="002169EE"/>
    <w:rsid w:val="00221F7D"/>
    <w:rsid w:val="00222630"/>
    <w:rsid w:val="00237EFF"/>
    <w:rsid w:val="00241254"/>
    <w:rsid w:val="00241CAB"/>
    <w:rsid w:val="0024538D"/>
    <w:rsid w:val="0024578E"/>
    <w:rsid w:val="00247423"/>
    <w:rsid w:val="00250037"/>
    <w:rsid w:val="0025166A"/>
    <w:rsid w:val="00252289"/>
    <w:rsid w:val="00253D9F"/>
    <w:rsid w:val="00255814"/>
    <w:rsid w:val="00256928"/>
    <w:rsid w:val="00260350"/>
    <w:rsid w:val="002623DB"/>
    <w:rsid w:val="00262E21"/>
    <w:rsid w:val="00262F7B"/>
    <w:rsid w:val="00266455"/>
    <w:rsid w:val="0026708A"/>
    <w:rsid w:val="00283556"/>
    <w:rsid w:val="002967E4"/>
    <w:rsid w:val="002A4F19"/>
    <w:rsid w:val="002B5C82"/>
    <w:rsid w:val="002C0634"/>
    <w:rsid w:val="002D31FE"/>
    <w:rsid w:val="002D4891"/>
    <w:rsid w:val="002D5B8C"/>
    <w:rsid w:val="002D658B"/>
    <w:rsid w:val="002D6ABE"/>
    <w:rsid w:val="002F3001"/>
    <w:rsid w:val="002F5149"/>
    <w:rsid w:val="002F6AA5"/>
    <w:rsid w:val="002F7D25"/>
    <w:rsid w:val="003015A0"/>
    <w:rsid w:val="0030279C"/>
    <w:rsid w:val="00302B78"/>
    <w:rsid w:val="00305E76"/>
    <w:rsid w:val="003117FF"/>
    <w:rsid w:val="003165A7"/>
    <w:rsid w:val="00320BE1"/>
    <w:rsid w:val="003234DA"/>
    <w:rsid w:val="0033064E"/>
    <w:rsid w:val="0033147F"/>
    <w:rsid w:val="00337F39"/>
    <w:rsid w:val="0034154B"/>
    <w:rsid w:val="00343845"/>
    <w:rsid w:val="00345E25"/>
    <w:rsid w:val="00347F2D"/>
    <w:rsid w:val="00356C03"/>
    <w:rsid w:val="00364385"/>
    <w:rsid w:val="00367D03"/>
    <w:rsid w:val="00370E4F"/>
    <w:rsid w:val="00371AF1"/>
    <w:rsid w:val="00371C9E"/>
    <w:rsid w:val="00374EB8"/>
    <w:rsid w:val="00385760"/>
    <w:rsid w:val="00385C7D"/>
    <w:rsid w:val="00386F7B"/>
    <w:rsid w:val="00393A74"/>
    <w:rsid w:val="00397D47"/>
    <w:rsid w:val="003A00DB"/>
    <w:rsid w:val="003B0E62"/>
    <w:rsid w:val="003B1BB9"/>
    <w:rsid w:val="003B516A"/>
    <w:rsid w:val="003B5528"/>
    <w:rsid w:val="003C0379"/>
    <w:rsid w:val="003D0CB7"/>
    <w:rsid w:val="003D12BE"/>
    <w:rsid w:val="003D44D5"/>
    <w:rsid w:val="003D57EE"/>
    <w:rsid w:val="003D771B"/>
    <w:rsid w:val="003D7E12"/>
    <w:rsid w:val="003E4322"/>
    <w:rsid w:val="003E4439"/>
    <w:rsid w:val="003E50ED"/>
    <w:rsid w:val="003E67C9"/>
    <w:rsid w:val="00401A35"/>
    <w:rsid w:val="0040336D"/>
    <w:rsid w:val="00407026"/>
    <w:rsid w:val="0040781C"/>
    <w:rsid w:val="00425900"/>
    <w:rsid w:val="004264F4"/>
    <w:rsid w:val="00432AB2"/>
    <w:rsid w:val="0043486A"/>
    <w:rsid w:val="00434A6E"/>
    <w:rsid w:val="00440D02"/>
    <w:rsid w:val="004428A1"/>
    <w:rsid w:val="00442D02"/>
    <w:rsid w:val="00444A2D"/>
    <w:rsid w:val="00447E79"/>
    <w:rsid w:val="004523A1"/>
    <w:rsid w:val="00461A1C"/>
    <w:rsid w:val="00461EFD"/>
    <w:rsid w:val="00462FD8"/>
    <w:rsid w:val="00465C29"/>
    <w:rsid w:val="00475EEC"/>
    <w:rsid w:val="004760D4"/>
    <w:rsid w:val="00477D14"/>
    <w:rsid w:val="00481016"/>
    <w:rsid w:val="00487A9C"/>
    <w:rsid w:val="00492878"/>
    <w:rsid w:val="00495243"/>
    <w:rsid w:val="004A1997"/>
    <w:rsid w:val="004A3342"/>
    <w:rsid w:val="004A6D90"/>
    <w:rsid w:val="004B1A15"/>
    <w:rsid w:val="004B4194"/>
    <w:rsid w:val="004B4F44"/>
    <w:rsid w:val="004C5E34"/>
    <w:rsid w:val="004D15D4"/>
    <w:rsid w:val="004D798E"/>
    <w:rsid w:val="004E0290"/>
    <w:rsid w:val="004E5442"/>
    <w:rsid w:val="004E73CF"/>
    <w:rsid w:val="004F0EA0"/>
    <w:rsid w:val="004F6544"/>
    <w:rsid w:val="00500798"/>
    <w:rsid w:val="00507611"/>
    <w:rsid w:val="00512AC8"/>
    <w:rsid w:val="0051542B"/>
    <w:rsid w:val="00516844"/>
    <w:rsid w:val="005228A8"/>
    <w:rsid w:val="00530759"/>
    <w:rsid w:val="00531005"/>
    <w:rsid w:val="00531E48"/>
    <w:rsid w:val="00533926"/>
    <w:rsid w:val="00536EF8"/>
    <w:rsid w:val="00537EBA"/>
    <w:rsid w:val="00541E1D"/>
    <w:rsid w:val="0054350B"/>
    <w:rsid w:val="00544554"/>
    <w:rsid w:val="00547D80"/>
    <w:rsid w:val="00551185"/>
    <w:rsid w:val="005516E1"/>
    <w:rsid w:val="00553295"/>
    <w:rsid w:val="00556D88"/>
    <w:rsid w:val="00556EAD"/>
    <w:rsid w:val="005665E2"/>
    <w:rsid w:val="00584E2B"/>
    <w:rsid w:val="00586291"/>
    <w:rsid w:val="00593C12"/>
    <w:rsid w:val="005967B0"/>
    <w:rsid w:val="005A3205"/>
    <w:rsid w:val="005A4B0D"/>
    <w:rsid w:val="005A77F1"/>
    <w:rsid w:val="005B0953"/>
    <w:rsid w:val="005B0F82"/>
    <w:rsid w:val="005B7517"/>
    <w:rsid w:val="005B7792"/>
    <w:rsid w:val="005C06A4"/>
    <w:rsid w:val="005C16E6"/>
    <w:rsid w:val="005C2010"/>
    <w:rsid w:val="005C2402"/>
    <w:rsid w:val="005D1E9A"/>
    <w:rsid w:val="005D1F2A"/>
    <w:rsid w:val="005D214F"/>
    <w:rsid w:val="005D2E04"/>
    <w:rsid w:val="005D6C1F"/>
    <w:rsid w:val="005D6C71"/>
    <w:rsid w:val="005D73B6"/>
    <w:rsid w:val="005E26D7"/>
    <w:rsid w:val="005E34CA"/>
    <w:rsid w:val="005E7671"/>
    <w:rsid w:val="005F7C3A"/>
    <w:rsid w:val="00603609"/>
    <w:rsid w:val="0060588E"/>
    <w:rsid w:val="006064C2"/>
    <w:rsid w:val="00606F50"/>
    <w:rsid w:val="006102AC"/>
    <w:rsid w:val="00625E40"/>
    <w:rsid w:val="0063018D"/>
    <w:rsid w:val="00630754"/>
    <w:rsid w:val="00632076"/>
    <w:rsid w:val="00633F43"/>
    <w:rsid w:val="00636F8B"/>
    <w:rsid w:val="00641FDB"/>
    <w:rsid w:val="006425D4"/>
    <w:rsid w:val="006502E3"/>
    <w:rsid w:val="0066413D"/>
    <w:rsid w:val="00667313"/>
    <w:rsid w:val="00667F35"/>
    <w:rsid w:val="0067011D"/>
    <w:rsid w:val="0067300E"/>
    <w:rsid w:val="00673306"/>
    <w:rsid w:val="00673A9F"/>
    <w:rsid w:val="00673E2C"/>
    <w:rsid w:val="00674AC6"/>
    <w:rsid w:val="00676CA9"/>
    <w:rsid w:val="006772E6"/>
    <w:rsid w:val="006809DD"/>
    <w:rsid w:val="00686B09"/>
    <w:rsid w:val="00687E56"/>
    <w:rsid w:val="00691D26"/>
    <w:rsid w:val="00692721"/>
    <w:rsid w:val="00692CAC"/>
    <w:rsid w:val="00696FF6"/>
    <w:rsid w:val="006A38CE"/>
    <w:rsid w:val="006A6765"/>
    <w:rsid w:val="006A7C28"/>
    <w:rsid w:val="006B0784"/>
    <w:rsid w:val="006B56B5"/>
    <w:rsid w:val="006C039C"/>
    <w:rsid w:val="006C3BD1"/>
    <w:rsid w:val="006C73EA"/>
    <w:rsid w:val="006D55DA"/>
    <w:rsid w:val="006D5BB8"/>
    <w:rsid w:val="006E338F"/>
    <w:rsid w:val="006E639B"/>
    <w:rsid w:val="006F13C8"/>
    <w:rsid w:val="006F1C11"/>
    <w:rsid w:val="006F7ECC"/>
    <w:rsid w:val="007106F9"/>
    <w:rsid w:val="0071098F"/>
    <w:rsid w:val="007126BA"/>
    <w:rsid w:val="00715F88"/>
    <w:rsid w:val="007218DF"/>
    <w:rsid w:val="00726F8E"/>
    <w:rsid w:val="00731FA4"/>
    <w:rsid w:val="00737286"/>
    <w:rsid w:val="007377ED"/>
    <w:rsid w:val="00737D6E"/>
    <w:rsid w:val="0074176C"/>
    <w:rsid w:val="007426CE"/>
    <w:rsid w:val="00744FEC"/>
    <w:rsid w:val="0074654F"/>
    <w:rsid w:val="007477AF"/>
    <w:rsid w:val="00751C02"/>
    <w:rsid w:val="00754CB9"/>
    <w:rsid w:val="0076257A"/>
    <w:rsid w:val="00762FAB"/>
    <w:rsid w:val="00765F56"/>
    <w:rsid w:val="00767CAE"/>
    <w:rsid w:val="00774A66"/>
    <w:rsid w:val="00776ACD"/>
    <w:rsid w:val="007830F7"/>
    <w:rsid w:val="00787D9B"/>
    <w:rsid w:val="00791058"/>
    <w:rsid w:val="00792D5F"/>
    <w:rsid w:val="007A0870"/>
    <w:rsid w:val="007A4284"/>
    <w:rsid w:val="007A4291"/>
    <w:rsid w:val="007A4B37"/>
    <w:rsid w:val="007B0A48"/>
    <w:rsid w:val="007B4A41"/>
    <w:rsid w:val="007B6165"/>
    <w:rsid w:val="007C0537"/>
    <w:rsid w:val="007C37AE"/>
    <w:rsid w:val="007C3882"/>
    <w:rsid w:val="007C54BB"/>
    <w:rsid w:val="007D15BE"/>
    <w:rsid w:val="007D4EFA"/>
    <w:rsid w:val="007D76F8"/>
    <w:rsid w:val="007E5BD5"/>
    <w:rsid w:val="007F2220"/>
    <w:rsid w:val="007F4604"/>
    <w:rsid w:val="007F7A2A"/>
    <w:rsid w:val="00805A86"/>
    <w:rsid w:val="0080601A"/>
    <w:rsid w:val="0080614E"/>
    <w:rsid w:val="00813695"/>
    <w:rsid w:val="00813BF0"/>
    <w:rsid w:val="0082198A"/>
    <w:rsid w:val="0082301C"/>
    <w:rsid w:val="008231D8"/>
    <w:rsid w:val="00823DE5"/>
    <w:rsid w:val="00825235"/>
    <w:rsid w:val="00825BCB"/>
    <w:rsid w:val="008327A9"/>
    <w:rsid w:val="00836053"/>
    <w:rsid w:val="008437A2"/>
    <w:rsid w:val="00843E89"/>
    <w:rsid w:val="00851F95"/>
    <w:rsid w:val="00852B18"/>
    <w:rsid w:val="008534C2"/>
    <w:rsid w:val="008551DA"/>
    <w:rsid w:val="0085718B"/>
    <w:rsid w:val="00863E79"/>
    <w:rsid w:val="00864317"/>
    <w:rsid w:val="00867E58"/>
    <w:rsid w:val="008701BA"/>
    <w:rsid w:val="00870892"/>
    <w:rsid w:val="00870E2E"/>
    <w:rsid w:val="0087514E"/>
    <w:rsid w:val="0087734C"/>
    <w:rsid w:val="008835BE"/>
    <w:rsid w:val="00886B93"/>
    <w:rsid w:val="008908CC"/>
    <w:rsid w:val="00891E3C"/>
    <w:rsid w:val="00892319"/>
    <w:rsid w:val="00892B3A"/>
    <w:rsid w:val="00896293"/>
    <w:rsid w:val="00896C51"/>
    <w:rsid w:val="008B0282"/>
    <w:rsid w:val="008B0A67"/>
    <w:rsid w:val="008B271A"/>
    <w:rsid w:val="008B3273"/>
    <w:rsid w:val="008B3E57"/>
    <w:rsid w:val="008B48F8"/>
    <w:rsid w:val="008B6711"/>
    <w:rsid w:val="008B79D8"/>
    <w:rsid w:val="008C0B9C"/>
    <w:rsid w:val="008C145E"/>
    <w:rsid w:val="008C17AE"/>
    <w:rsid w:val="008C487A"/>
    <w:rsid w:val="008D0C14"/>
    <w:rsid w:val="008E168D"/>
    <w:rsid w:val="008E195F"/>
    <w:rsid w:val="008E31B0"/>
    <w:rsid w:val="008E4AF8"/>
    <w:rsid w:val="008E535D"/>
    <w:rsid w:val="008E546C"/>
    <w:rsid w:val="008F193C"/>
    <w:rsid w:val="008F3018"/>
    <w:rsid w:val="008F4B57"/>
    <w:rsid w:val="009052A7"/>
    <w:rsid w:val="00907247"/>
    <w:rsid w:val="0091545B"/>
    <w:rsid w:val="009176EB"/>
    <w:rsid w:val="00923E9E"/>
    <w:rsid w:val="00925433"/>
    <w:rsid w:val="0092571E"/>
    <w:rsid w:val="009263AA"/>
    <w:rsid w:val="00931337"/>
    <w:rsid w:val="00934702"/>
    <w:rsid w:val="00935556"/>
    <w:rsid w:val="00935912"/>
    <w:rsid w:val="00940FDF"/>
    <w:rsid w:val="00943049"/>
    <w:rsid w:val="009436C3"/>
    <w:rsid w:val="00944548"/>
    <w:rsid w:val="00950879"/>
    <w:rsid w:val="00951B99"/>
    <w:rsid w:val="009522DF"/>
    <w:rsid w:val="00953B72"/>
    <w:rsid w:val="00960528"/>
    <w:rsid w:val="00963E71"/>
    <w:rsid w:val="0096474A"/>
    <w:rsid w:val="00964F03"/>
    <w:rsid w:val="00974646"/>
    <w:rsid w:val="00976C81"/>
    <w:rsid w:val="00977E7C"/>
    <w:rsid w:val="009800CE"/>
    <w:rsid w:val="009817E0"/>
    <w:rsid w:val="00982016"/>
    <w:rsid w:val="009825F8"/>
    <w:rsid w:val="009900FD"/>
    <w:rsid w:val="0099270D"/>
    <w:rsid w:val="00992845"/>
    <w:rsid w:val="00995B05"/>
    <w:rsid w:val="009A0C3F"/>
    <w:rsid w:val="009A21DA"/>
    <w:rsid w:val="009A6335"/>
    <w:rsid w:val="009B5426"/>
    <w:rsid w:val="009B6CA1"/>
    <w:rsid w:val="009B7F2C"/>
    <w:rsid w:val="009C2253"/>
    <w:rsid w:val="009C3E6C"/>
    <w:rsid w:val="009C59B2"/>
    <w:rsid w:val="009D0057"/>
    <w:rsid w:val="009D0574"/>
    <w:rsid w:val="009D4BFB"/>
    <w:rsid w:val="009E7E15"/>
    <w:rsid w:val="009F2833"/>
    <w:rsid w:val="009F424A"/>
    <w:rsid w:val="009F57C1"/>
    <w:rsid w:val="009F6E84"/>
    <w:rsid w:val="009F7D0C"/>
    <w:rsid w:val="00A00900"/>
    <w:rsid w:val="00A02C56"/>
    <w:rsid w:val="00A04798"/>
    <w:rsid w:val="00A07790"/>
    <w:rsid w:val="00A1017C"/>
    <w:rsid w:val="00A1132A"/>
    <w:rsid w:val="00A12673"/>
    <w:rsid w:val="00A20A11"/>
    <w:rsid w:val="00A25E6A"/>
    <w:rsid w:val="00A27E7B"/>
    <w:rsid w:val="00A33EB4"/>
    <w:rsid w:val="00A346B0"/>
    <w:rsid w:val="00A40BC0"/>
    <w:rsid w:val="00A431ED"/>
    <w:rsid w:val="00A45F3A"/>
    <w:rsid w:val="00A503C4"/>
    <w:rsid w:val="00A56AD4"/>
    <w:rsid w:val="00A61000"/>
    <w:rsid w:val="00A623E9"/>
    <w:rsid w:val="00A63BC0"/>
    <w:rsid w:val="00A66E94"/>
    <w:rsid w:val="00A83CC7"/>
    <w:rsid w:val="00A8659B"/>
    <w:rsid w:val="00A94766"/>
    <w:rsid w:val="00AA02CF"/>
    <w:rsid w:val="00AA0836"/>
    <w:rsid w:val="00AA2BBA"/>
    <w:rsid w:val="00AA3A6A"/>
    <w:rsid w:val="00AA5C55"/>
    <w:rsid w:val="00AA5E90"/>
    <w:rsid w:val="00AA78E8"/>
    <w:rsid w:val="00AB1B91"/>
    <w:rsid w:val="00AB36DA"/>
    <w:rsid w:val="00AB40AF"/>
    <w:rsid w:val="00AB4C4F"/>
    <w:rsid w:val="00AB65B2"/>
    <w:rsid w:val="00AB7382"/>
    <w:rsid w:val="00AB73E2"/>
    <w:rsid w:val="00AC1E66"/>
    <w:rsid w:val="00AC25DD"/>
    <w:rsid w:val="00AC3698"/>
    <w:rsid w:val="00AD5BC1"/>
    <w:rsid w:val="00AD7DFD"/>
    <w:rsid w:val="00AE50EE"/>
    <w:rsid w:val="00AF0026"/>
    <w:rsid w:val="00AF4E23"/>
    <w:rsid w:val="00AF5941"/>
    <w:rsid w:val="00AF7E14"/>
    <w:rsid w:val="00B0085C"/>
    <w:rsid w:val="00B02A92"/>
    <w:rsid w:val="00B03C99"/>
    <w:rsid w:val="00B048B4"/>
    <w:rsid w:val="00B057A3"/>
    <w:rsid w:val="00B10C3D"/>
    <w:rsid w:val="00B138E5"/>
    <w:rsid w:val="00B15CA2"/>
    <w:rsid w:val="00B17A79"/>
    <w:rsid w:val="00B236B5"/>
    <w:rsid w:val="00B30F06"/>
    <w:rsid w:val="00B321D4"/>
    <w:rsid w:val="00B33DA6"/>
    <w:rsid w:val="00B34210"/>
    <w:rsid w:val="00B366A8"/>
    <w:rsid w:val="00B4002D"/>
    <w:rsid w:val="00B44949"/>
    <w:rsid w:val="00B44E16"/>
    <w:rsid w:val="00B46DBA"/>
    <w:rsid w:val="00B542A4"/>
    <w:rsid w:val="00B66BDA"/>
    <w:rsid w:val="00B73730"/>
    <w:rsid w:val="00B81411"/>
    <w:rsid w:val="00B81482"/>
    <w:rsid w:val="00B820D9"/>
    <w:rsid w:val="00B8459A"/>
    <w:rsid w:val="00B90284"/>
    <w:rsid w:val="00B909B8"/>
    <w:rsid w:val="00B93461"/>
    <w:rsid w:val="00B96191"/>
    <w:rsid w:val="00B9689A"/>
    <w:rsid w:val="00BA052A"/>
    <w:rsid w:val="00BA7AC7"/>
    <w:rsid w:val="00BC1A23"/>
    <w:rsid w:val="00BC3803"/>
    <w:rsid w:val="00BD0167"/>
    <w:rsid w:val="00BD4BF2"/>
    <w:rsid w:val="00BD6175"/>
    <w:rsid w:val="00BE1C71"/>
    <w:rsid w:val="00BE2B53"/>
    <w:rsid w:val="00BE2EDF"/>
    <w:rsid w:val="00BF53B3"/>
    <w:rsid w:val="00BF6340"/>
    <w:rsid w:val="00BF6A09"/>
    <w:rsid w:val="00BF72CA"/>
    <w:rsid w:val="00C01CC0"/>
    <w:rsid w:val="00C02163"/>
    <w:rsid w:val="00C05826"/>
    <w:rsid w:val="00C10869"/>
    <w:rsid w:val="00C14D63"/>
    <w:rsid w:val="00C17600"/>
    <w:rsid w:val="00C1799C"/>
    <w:rsid w:val="00C23174"/>
    <w:rsid w:val="00C26FF5"/>
    <w:rsid w:val="00C31CF2"/>
    <w:rsid w:val="00C35A3F"/>
    <w:rsid w:val="00C420ED"/>
    <w:rsid w:val="00C47783"/>
    <w:rsid w:val="00C47B4D"/>
    <w:rsid w:val="00C56FDB"/>
    <w:rsid w:val="00C60FCC"/>
    <w:rsid w:val="00C63A26"/>
    <w:rsid w:val="00C63A54"/>
    <w:rsid w:val="00C73251"/>
    <w:rsid w:val="00C74583"/>
    <w:rsid w:val="00C7516F"/>
    <w:rsid w:val="00C82C7D"/>
    <w:rsid w:val="00C84CD9"/>
    <w:rsid w:val="00C851C8"/>
    <w:rsid w:val="00C860EB"/>
    <w:rsid w:val="00C936F2"/>
    <w:rsid w:val="00C93D67"/>
    <w:rsid w:val="00C940E2"/>
    <w:rsid w:val="00CA0003"/>
    <w:rsid w:val="00CA3781"/>
    <w:rsid w:val="00CA76F4"/>
    <w:rsid w:val="00CB210E"/>
    <w:rsid w:val="00CD2285"/>
    <w:rsid w:val="00CE1AA1"/>
    <w:rsid w:val="00CE1BEC"/>
    <w:rsid w:val="00CF02D1"/>
    <w:rsid w:val="00CF17E8"/>
    <w:rsid w:val="00CF2A43"/>
    <w:rsid w:val="00CF3F6F"/>
    <w:rsid w:val="00D03137"/>
    <w:rsid w:val="00D06C5A"/>
    <w:rsid w:val="00D12284"/>
    <w:rsid w:val="00D13829"/>
    <w:rsid w:val="00D1644B"/>
    <w:rsid w:val="00D20B13"/>
    <w:rsid w:val="00D26E92"/>
    <w:rsid w:val="00D31979"/>
    <w:rsid w:val="00D3348F"/>
    <w:rsid w:val="00D62A38"/>
    <w:rsid w:val="00D70FBA"/>
    <w:rsid w:val="00D72B68"/>
    <w:rsid w:val="00D74691"/>
    <w:rsid w:val="00D746A4"/>
    <w:rsid w:val="00D80C64"/>
    <w:rsid w:val="00D80FF6"/>
    <w:rsid w:val="00D82658"/>
    <w:rsid w:val="00D83971"/>
    <w:rsid w:val="00D86772"/>
    <w:rsid w:val="00D87B74"/>
    <w:rsid w:val="00D923C8"/>
    <w:rsid w:val="00D93DDA"/>
    <w:rsid w:val="00D957F4"/>
    <w:rsid w:val="00D975DC"/>
    <w:rsid w:val="00DA2A0C"/>
    <w:rsid w:val="00DA4C00"/>
    <w:rsid w:val="00DA730B"/>
    <w:rsid w:val="00DB1A4B"/>
    <w:rsid w:val="00DB3FCD"/>
    <w:rsid w:val="00DB479E"/>
    <w:rsid w:val="00DB70CA"/>
    <w:rsid w:val="00DC030B"/>
    <w:rsid w:val="00DC3268"/>
    <w:rsid w:val="00DC4C6A"/>
    <w:rsid w:val="00DC607A"/>
    <w:rsid w:val="00DD5AC7"/>
    <w:rsid w:val="00DE2CFC"/>
    <w:rsid w:val="00DF57E1"/>
    <w:rsid w:val="00E07120"/>
    <w:rsid w:val="00E14203"/>
    <w:rsid w:val="00E213E1"/>
    <w:rsid w:val="00E25E59"/>
    <w:rsid w:val="00E300A9"/>
    <w:rsid w:val="00E3227F"/>
    <w:rsid w:val="00E339EA"/>
    <w:rsid w:val="00E368C5"/>
    <w:rsid w:val="00E468F6"/>
    <w:rsid w:val="00E52B65"/>
    <w:rsid w:val="00E531E8"/>
    <w:rsid w:val="00E56C47"/>
    <w:rsid w:val="00E56CDD"/>
    <w:rsid w:val="00E62DE7"/>
    <w:rsid w:val="00E738CD"/>
    <w:rsid w:val="00E82B2D"/>
    <w:rsid w:val="00E83373"/>
    <w:rsid w:val="00E85420"/>
    <w:rsid w:val="00E86916"/>
    <w:rsid w:val="00E869AF"/>
    <w:rsid w:val="00E90221"/>
    <w:rsid w:val="00E96AF9"/>
    <w:rsid w:val="00E976A7"/>
    <w:rsid w:val="00EA68F8"/>
    <w:rsid w:val="00EB5ACF"/>
    <w:rsid w:val="00EB67D7"/>
    <w:rsid w:val="00EC33DC"/>
    <w:rsid w:val="00EC52B3"/>
    <w:rsid w:val="00ED308C"/>
    <w:rsid w:val="00ED3B35"/>
    <w:rsid w:val="00ED6325"/>
    <w:rsid w:val="00EE180B"/>
    <w:rsid w:val="00EE1B7A"/>
    <w:rsid w:val="00EE2AE5"/>
    <w:rsid w:val="00EF0F78"/>
    <w:rsid w:val="00EF1DF0"/>
    <w:rsid w:val="00EF6FA3"/>
    <w:rsid w:val="00EF7078"/>
    <w:rsid w:val="00F00BCA"/>
    <w:rsid w:val="00F01D0D"/>
    <w:rsid w:val="00F02BA8"/>
    <w:rsid w:val="00F11488"/>
    <w:rsid w:val="00F1576E"/>
    <w:rsid w:val="00F23FD2"/>
    <w:rsid w:val="00F250AC"/>
    <w:rsid w:val="00F311D9"/>
    <w:rsid w:val="00F3702A"/>
    <w:rsid w:val="00F42C77"/>
    <w:rsid w:val="00F434F7"/>
    <w:rsid w:val="00F43D7B"/>
    <w:rsid w:val="00F44447"/>
    <w:rsid w:val="00F54341"/>
    <w:rsid w:val="00F60B13"/>
    <w:rsid w:val="00F642DC"/>
    <w:rsid w:val="00F664F3"/>
    <w:rsid w:val="00F67AB1"/>
    <w:rsid w:val="00F67F55"/>
    <w:rsid w:val="00F70153"/>
    <w:rsid w:val="00F71C67"/>
    <w:rsid w:val="00F7289C"/>
    <w:rsid w:val="00F763B2"/>
    <w:rsid w:val="00F77F14"/>
    <w:rsid w:val="00F87DCA"/>
    <w:rsid w:val="00F913D0"/>
    <w:rsid w:val="00FA09DA"/>
    <w:rsid w:val="00FA29C9"/>
    <w:rsid w:val="00FA366D"/>
    <w:rsid w:val="00FA46BC"/>
    <w:rsid w:val="00FA58F7"/>
    <w:rsid w:val="00FA6423"/>
    <w:rsid w:val="00FB176F"/>
    <w:rsid w:val="00FB220F"/>
    <w:rsid w:val="00FC0A81"/>
    <w:rsid w:val="00FC54F9"/>
    <w:rsid w:val="00FC6A9D"/>
    <w:rsid w:val="00FD12A2"/>
    <w:rsid w:val="00FD6AAF"/>
    <w:rsid w:val="00FD6AFD"/>
    <w:rsid w:val="00FE0160"/>
    <w:rsid w:val="00FE1A35"/>
    <w:rsid w:val="00FE2274"/>
    <w:rsid w:val="00FF11B9"/>
    <w:rsid w:val="00FF2DA6"/>
    <w:rsid w:val="0DA519E6"/>
    <w:rsid w:val="16A67E6E"/>
    <w:rsid w:val="22530CF5"/>
    <w:rsid w:val="23500A9C"/>
    <w:rsid w:val="252513B1"/>
    <w:rsid w:val="2A5504C7"/>
    <w:rsid w:val="43977B01"/>
    <w:rsid w:val="51FC292D"/>
    <w:rsid w:val="677F7A47"/>
    <w:rsid w:val="70E26561"/>
    <w:rsid w:val="7204219D"/>
    <w:rsid w:val="73A33735"/>
    <w:rsid w:val="79487106"/>
  </w:rsids>
  <m:mathPr>
    <m:mathFont m:val="Cambria Math"/>
    <m:brkBin m:val="before"/>
    <m:brkBinSub m:val="--"/>
    <m:smallFrac m:val="0"/>
    <m:dispDef/>
    <m:lMargin m:val="0"/>
    <m:rMargin m:val="0"/>
    <m:defJc m:val="centerGroup"/>
    <m:wrapIndent m:val="1440"/>
    <m:intLim m:val="subSup"/>
    <m:naryLim m:val="undOvr"/>
    <m:wrapRight m:val="1"/>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numPr>
        <w:ilvl w:val="4"/>
        <w:numId w:val="1"/>
      </w:numPr>
      <w:tabs>
        <w:tab w:val="left" w:pos="1080"/>
        <w:tab w:val="clear" w:pos="2660"/>
      </w:tabs>
      <w:outlineLvl w:val="0"/>
    </w:pPr>
    <w:rPr>
      <w:sz w:val="28"/>
    </w:rPr>
  </w:style>
  <w:style w:type="paragraph" w:styleId="3">
    <w:name w:val="heading 2"/>
    <w:basedOn w:val="1"/>
    <w:next w:val="1"/>
    <w:qFormat/>
    <w:uiPriority w:val="9"/>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48"/>
    <w:unhideWhenUsed/>
    <w:qFormat/>
    <w:uiPriority w:val="9"/>
    <w:pPr>
      <w:keepNext/>
      <w:keepLines/>
      <w:spacing w:before="260" w:after="260" w:line="416" w:lineRule="auto"/>
      <w:outlineLvl w:val="2"/>
    </w:pPr>
    <w:rPr>
      <w:b/>
      <w:bCs/>
      <w:sz w:val="32"/>
      <w:szCs w:val="32"/>
    </w:rPr>
  </w:style>
  <w:style w:type="paragraph" w:styleId="5">
    <w:name w:val="heading 4"/>
    <w:basedOn w:val="1"/>
    <w:next w:val="6"/>
    <w:qFormat/>
    <w:uiPriority w:val="9"/>
    <w:pPr>
      <w:keepNext/>
      <w:numPr>
        <w:ilvl w:val="0"/>
        <w:numId w:val="2"/>
      </w:numPr>
      <w:tabs>
        <w:tab w:val="left" w:pos="420"/>
        <w:tab w:val="clear" w:pos="1280"/>
      </w:tabs>
      <w:jc w:val="left"/>
      <w:outlineLvl w:val="3"/>
    </w:pPr>
    <w:rPr>
      <w:rFonts w:ascii="仿宋_GB2312" w:eastAsia="仿宋_GB2312"/>
      <w:kern w:val="0"/>
      <w:sz w:val="28"/>
    </w:rPr>
  </w:style>
  <w:style w:type="paragraph" w:styleId="7">
    <w:name w:val="heading 5"/>
    <w:basedOn w:val="1"/>
    <w:next w:val="6"/>
    <w:qFormat/>
    <w:uiPriority w:val="9"/>
    <w:pPr>
      <w:numPr>
        <w:ilvl w:val="0"/>
        <w:numId w:val="3"/>
      </w:numPr>
      <w:tabs>
        <w:tab w:val="left" w:pos="425"/>
        <w:tab w:val="left" w:pos="7781"/>
        <w:tab w:val="clear" w:pos="1280"/>
      </w:tabs>
      <w:autoSpaceDE w:val="0"/>
      <w:autoSpaceDN w:val="0"/>
      <w:adjustRightInd w:val="0"/>
      <w:spacing w:line="300" w:lineRule="auto"/>
      <w:ind w:right="6"/>
      <w:textAlignment w:val="baseline"/>
      <w:outlineLvl w:val="4"/>
    </w:pPr>
    <w:rPr>
      <w:kern w:val="0"/>
      <w:sz w:val="28"/>
    </w:rPr>
  </w:style>
  <w:style w:type="paragraph" w:styleId="8">
    <w:name w:val="heading 6"/>
    <w:basedOn w:val="1"/>
    <w:next w:val="6"/>
    <w:qFormat/>
    <w:uiPriority w:val="9"/>
    <w:pPr>
      <w:numPr>
        <w:ilvl w:val="0"/>
        <w:numId w:val="4"/>
      </w:numPr>
      <w:tabs>
        <w:tab w:val="left" w:pos="251"/>
        <w:tab w:val="left" w:pos="7781"/>
        <w:tab w:val="clear" w:pos="1280"/>
      </w:tabs>
      <w:adjustRightInd w:val="0"/>
      <w:snapToGrid w:val="0"/>
      <w:spacing w:line="180" w:lineRule="auto"/>
      <w:outlineLvl w:val="5"/>
    </w:pPr>
    <w:rPr>
      <w:rFonts w:ascii="Arial" w:hAnsi="Arial" w:eastAsia="仿宋_GB2312"/>
      <w:snapToGrid w:val="0"/>
      <w:kern w:val="0"/>
      <w:sz w:val="28"/>
    </w:rPr>
  </w:style>
  <w:style w:type="paragraph" w:styleId="9">
    <w:name w:val="heading 7"/>
    <w:basedOn w:val="1"/>
    <w:next w:val="1"/>
    <w:qFormat/>
    <w:uiPriority w:val="9"/>
    <w:pPr>
      <w:keepNext/>
      <w:numPr>
        <w:ilvl w:val="1"/>
        <w:numId w:val="5"/>
      </w:numPr>
      <w:tabs>
        <w:tab w:val="left" w:pos="570"/>
        <w:tab w:val="left" w:pos="2340"/>
        <w:tab w:val="left" w:pos="2520"/>
        <w:tab w:val="left" w:pos="2700"/>
        <w:tab w:val="clear" w:pos="1400"/>
      </w:tabs>
      <w:ind w:left="570" w:hanging="475"/>
      <w:outlineLvl w:val="6"/>
    </w:pPr>
    <w:rPr>
      <w:rFonts w:ascii="仿宋_GB2312" w:eastAsia="仿宋_GB2312"/>
      <w:spacing w:val="-12"/>
      <w:sz w:val="28"/>
    </w:rPr>
  </w:style>
  <w:style w:type="character" w:default="1" w:styleId="28">
    <w:name w:val="Default Paragraph Font"/>
    <w:semiHidden/>
    <w:unhideWhenUsed/>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10">
    <w:name w:val="Body Text First Indent"/>
    <w:basedOn w:val="11"/>
    <w:qFormat/>
    <w:uiPriority w:val="0"/>
    <w:pPr>
      <w:ind w:firstLine="420" w:firstLineChars="100"/>
    </w:pPr>
  </w:style>
  <w:style w:type="paragraph" w:styleId="11">
    <w:name w:val="Body Text"/>
    <w:basedOn w:val="1"/>
    <w:link w:val="50"/>
    <w:qFormat/>
    <w:uiPriority w:val="0"/>
    <w:pPr>
      <w:spacing w:after="120"/>
    </w:pPr>
  </w:style>
  <w:style w:type="paragraph" w:styleId="12">
    <w:name w:val="caption"/>
    <w:basedOn w:val="1"/>
    <w:next w:val="1"/>
    <w:unhideWhenUsed/>
    <w:qFormat/>
    <w:uiPriority w:val="35"/>
    <w:rPr>
      <w:rFonts w:ascii="Cambria" w:hAnsi="Cambria" w:eastAsia="黑体"/>
      <w:sz w:val="20"/>
    </w:rPr>
  </w:style>
  <w:style w:type="paragraph" w:styleId="13">
    <w:name w:val="Document Map"/>
    <w:basedOn w:val="1"/>
    <w:qFormat/>
    <w:uiPriority w:val="0"/>
    <w:pPr>
      <w:shd w:val="clear" w:color="auto" w:fill="000080"/>
    </w:pPr>
  </w:style>
  <w:style w:type="paragraph" w:styleId="14">
    <w:name w:val="annotation text"/>
    <w:basedOn w:val="1"/>
    <w:qFormat/>
    <w:uiPriority w:val="0"/>
    <w:pPr>
      <w:jc w:val="left"/>
    </w:pPr>
    <w:rPr>
      <w:szCs w:val="24"/>
    </w:rPr>
  </w:style>
  <w:style w:type="paragraph" w:styleId="15">
    <w:name w:val="Body Text Indent"/>
    <w:basedOn w:val="1"/>
    <w:qFormat/>
    <w:uiPriority w:val="0"/>
    <w:pPr>
      <w:ind w:firstLine="403" w:firstLineChars="192"/>
    </w:pPr>
    <w:rPr>
      <w:sz w:val="28"/>
    </w:rPr>
  </w:style>
  <w:style w:type="paragraph" w:styleId="16">
    <w:name w:val="Block Text"/>
    <w:basedOn w:val="1"/>
    <w:qFormat/>
    <w:uiPriority w:val="0"/>
    <w:pPr>
      <w:spacing w:after="120"/>
      <w:ind w:left="1470" w:leftChars="700" w:right="1470" w:rightChars="700"/>
    </w:pPr>
  </w:style>
  <w:style w:type="paragraph" w:styleId="17">
    <w:name w:val="Plain Text"/>
    <w:basedOn w:val="1"/>
    <w:qFormat/>
    <w:uiPriority w:val="0"/>
    <w:rPr>
      <w:rFonts w:ascii="宋体" w:hAnsi="Courier New"/>
    </w:rPr>
  </w:style>
  <w:style w:type="paragraph" w:styleId="18">
    <w:name w:val="Date"/>
    <w:basedOn w:val="1"/>
    <w:next w:val="1"/>
    <w:qFormat/>
    <w:uiPriority w:val="0"/>
    <w:pPr>
      <w:ind w:left="5250" w:leftChars="2500"/>
    </w:pPr>
    <w:rPr>
      <w:sz w:val="28"/>
    </w:rPr>
  </w:style>
  <w:style w:type="paragraph" w:styleId="19">
    <w:name w:val="Body Text Indent 2"/>
    <w:basedOn w:val="1"/>
    <w:qFormat/>
    <w:uiPriority w:val="0"/>
    <w:pPr>
      <w:spacing w:line="480" w:lineRule="exact"/>
      <w:ind w:firstLine="556"/>
    </w:pPr>
    <w:rPr>
      <w:rFonts w:ascii="楷体_GB2312" w:eastAsia="楷体_GB2312"/>
      <w:sz w:val="28"/>
    </w:rPr>
  </w:style>
  <w:style w:type="paragraph" w:styleId="20">
    <w:name w:val="Balloon Text"/>
    <w:basedOn w:val="1"/>
    <w:qFormat/>
    <w:uiPriority w:val="0"/>
    <w:rPr>
      <w:sz w:val="18"/>
      <w:szCs w:val="18"/>
    </w:rPr>
  </w:style>
  <w:style w:type="paragraph" w:styleId="21">
    <w:name w:val="footer"/>
    <w:basedOn w:val="1"/>
    <w:link w:val="49"/>
    <w:qFormat/>
    <w:uiPriority w:val="99"/>
    <w:pPr>
      <w:tabs>
        <w:tab w:val="center" w:pos="4153"/>
        <w:tab w:val="right" w:pos="8306"/>
      </w:tabs>
      <w:snapToGrid w:val="0"/>
      <w:jc w:val="left"/>
    </w:pPr>
    <w:rPr>
      <w:sz w:val="18"/>
    </w:rPr>
  </w:style>
  <w:style w:type="paragraph" w:styleId="22">
    <w:name w:val="header"/>
    <w:basedOn w:val="1"/>
    <w:link w:val="46"/>
    <w:qFormat/>
    <w:uiPriority w:val="99"/>
    <w:pPr>
      <w:pBdr>
        <w:bottom w:val="single" w:color="auto" w:sz="6" w:space="1"/>
      </w:pBdr>
      <w:tabs>
        <w:tab w:val="center" w:pos="4153"/>
        <w:tab w:val="right" w:pos="8306"/>
      </w:tabs>
      <w:snapToGrid w:val="0"/>
      <w:jc w:val="center"/>
    </w:pPr>
    <w:rPr>
      <w:sz w:val="18"/>
    </w:rPr>
  </w:style>
  <w:style w:type="paragraph" w:styleId="23">
    <w:name w:val="toc 1"/>
    <w:basedOn w:val="1"/>
    <w:next w:val="1"/>
    <w:qFormat/>
    <w:uiPriority w:val="39"/>
  </w:style>
  <w:style w:type="paragraph" w:styleId="24">
    <w:name w:val="Body Text Indent 3"/>
    <w:basedOn w:val="1"/>
    <w:qFormat/>
    <w:uiPriority w:val="0"/>
    <w:pPr>
      <w:spacing w:after="120"/>
      <w:ind w:left="420" w:leftChars="200"/>
    </w:pPr>
    <w:rPr>
      <w:sz w:val="16"/>
      <w:szCs w:val="16"/>
    </w:rPr>
  </w:style>
  <w:style w:type="paragraph" w:styleId="25">
    <w:name w:val="toc 2"/>
    <w:basedOn w:val="1"/>
    <w:next w:val="1"/>
    <w:qFormat/>
    <w:uiPriority w:val="39"/>
    <w:pPr>
      <w:ind w:left="420" w:leftChars="200"/>
    </w:pPr>
  </w:style>
  <w:style w:type="paragraph" w:styleId="2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7">
    <w:name w:val="Normal (Web)"/>
    <w:basedOn w:val="1"/>
    <w:qFormat/>
    <w:uiPriority w:val="99"/>
    <w:pPr>
      <w:widowControl/>
      <w:spacing w:before="100" w:beforeAutospacing="1" w:after="100" w:afterAutospacing="1"/>
      <w:jc w:val="left"/>
    </w:pPr>
    <w:rPr>
      <w:rFonts w:ascii="宋体" w:hAnsi="宋体"/>
      <w:kern w:val="0"/>
      <w:sz w:val="24"/>
    </w:rPr>
  </w:style>
  <w:style w:type="character" w:styleId="29">
    <w:name w:val="Strong"/>
    <w:basedOn w:val="28"/>
    <w:qFormat/>
    <w:uiPriority w:val="22"/>
    <w:rPr>
      <w:b/>
      <w:bCs/>
    </w:rPr>
  </w:style>
  <w:style w:type="character" w:styleId="30">
    <w:name w:val="page number"/>
    <w:basedOn w:val="28"/>
    <w:qFormat/>
    <w:uiPriority w:val="0"/>
  </w:style>
  <w:style w:type="character" w:styleId="31">
    <w:name w:val="FollowedHyperlink"/>
    <w:basedOn w:val="28"/>
    <w:qFormat/>
    <w:uiPriority w:val="0"/>
    <w:rPr>
      <w:color w:val="606420"/>
      <w:u w:val="single"/>
    </w:rPr>
  </w:style>
  <w:style w:type="character" w:styleId="32">
    <w:name w:val="Hyperlink"/>
    <w:basedOn w:val="28"/>
    <w:qFormat/>
    <w:uiPriority w:val="0"/>
    <w:rPr>
      <w:color w:val="0000FF"/>
      <w:u w:val="single"/>
    </w:rPr>
  </w:style>
  <w:style w:type="table" w:styleId="34">
    <w:name w:val="Table Grid"/>
    <w:basedOn w:val="3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35">
    <w:name w:val="style101"/>
    <w:basedOn w:val="28"/>
    <w:qFormat/>
    <w:uiPriority w:val="0"/>
    <w:rPr>
      <w:sz w:val="24"/>
      <w:szCs w:val="24"/>
    </w:rPr>
  </w:style>
  <w:style w:type="paragraph" w:customStyle="1" w:styleId="36">
    <w:name w:val="Char"/>
    <w:basedOn w:val="1"/>
    <w:qFormat/>
    <w:uiPriority w:val="0"/>
  </w:style>
  <w:style w:type="paragraph" w:customStyle="1" w:styleId="37">
    <w:name w:val="3"/>
    <w:basedOn w:val="1"/>
    <w:next w:val="15"/>
    <w:qFormat/>
    <w:uiPriority w:val="0"/>
    <w:pPr>
      <w:ind w:firstLine="538" w:firstLineChars="192"/>
    </w:pPr>
    <w:rPr>
      <w:sz w:val="28"/>
    </w:rPr>
  </w:style>
  <w:style w:type="paragraph" w:customStyle="1" w:styleId="38">
    <w:name w:val="ST20_1"/>
    <w:basedOn w:val="1"/>
    <w:qFormat/>
    <w:uiPriority w:val="0"/>
    <w:pPr>
      <w:autoSpaceDE w:val="0"/>
      <w:autoSpaceDN w:val="0"/>
      <w:adjustRightInd w:val="0"/>
      <w:spacing w:line="500" w:lineRule="atLeast"/>
      <w:jc w:val="left"/>
      <w:textAlignment w:val="baseline"/>
    </w:pPr>
    <w:rPr>
      <w:rFonts w:ascii="昆仑仿宋" w:hAnsi="Tms Rmn" w:eastAsia="昆仑仿宋"/>
      <w:kern w:val="0"/>
      <w:sz w:val="28"/>
    </w:rPr>
  </w:style>
  <w:style w:type="paragraph" w:customStyle="1" w:styleId="39">
    <w:name w:val="样式3"/>
    <w:basedOn w:val="1"/>
    <w:qFormat/>
    <w:uiPriority w:val="0"/>
    <w:pPr>
      <w:spacing w:line="360" w:lineRule="auto"/>
      <w:jc w:val="center"/>
    </w:pPr>
    <w:rPr>
      <w:rFonts w:ascii="宋体"/>
      <w:spacing w:val="6"/>
    </w:rPr>
  </w:style>
  <w:style w:type="paragraph" w:customStyle="1" w:styleId="40">
    <w:name w:val="纯文本1"/>
    <w:basedOn w:val="1"/>
    <w:qFormat/>
    <w:uiPriority w:val="0"/>
    <w:pPr>
      <w:adjustRightInd w:val="0"/>
      <w:textAlignment w:val="baseline"/>
    </w:pPr>
    <w:rPr>
      <w:rFonts w:ascii="宋体"/>
      <w:kern w:val="0"/>
    </w:rPr>
  </w:style>
  <w:style w:type="paragraph" w:customStyle="1" w:styleId="41">
    <w:name w:val="默认段落字体 Para Char Char Char Char Char Char Char"/>
    <w:basedOn w:val="1"/>
    <w:qFormat/>
    <w:uiPriority w:val="0"/>
  </w:style>
  <w:style w:type="paragraph" w:customStyle="1" w:styleId="42">
    <w:name w:val="2"/>
    <w:basedOn w:val="1"/>
    <w:qFormat/>
    <w:uiPriority w:val="0"/>
    <w:pPr>
      <w:ind w:firstLine="403" w:firstLineChars="192"/>
    </w:pPr>
    <w:rPr>
      <w:sz w:val="28"/>
    </w:rPr>
  </w:style>
  <w:style w:type="paragraph" w:customStyle="1" w:styleId="43">
    <w:name w:val="编号—列表"/>
    <w:basedOn w:val="1"/>
    <w:next w:val="1"/>
    <w:qFormat/>
    <w:uiPriority w:val="0"/>
    <w:pPr>
      <w:spacing w:line="500" w:lineRule="exact"/>
      <w:jc w:val="center"/>
    </w:pPr>
    <w:rPr>
      <w:sz w:val="18"/>
    </w:rPr>
  </w:style>
  <w:style w:type="paragraph" w:customStyle="1" w:styleId="44">
    <w:name w:val="表格文字"/>
    <w:basedOn w:val="1"/>
    <w:qFormat/>
    <w:uiPriority w:val="0"/>
    <w:pPr>
      <w:jc w:val="center"/>
    </w:pPr>
    <w:rPr>
      <w:sz w:val="18"/>
      <w:szCs w:val="24"/>
    </w:rPr>
  </w:style>
  <w:style w:type="paragraph" w:customStyle="1" w:styleId="45">
    <w:name w:val="样式7"/>
    <w:basedOn w:val="1"/>
    <w:qFormat/>
    <w:uiPriority w:val="0"/>
    <w:pPr>
      <w:spacing w:line="360" w:lineRule="auto"/>
      <w:ind w:firstLine="567"/>
    </w:pPr>
    <w:rPr>
      <w:rFonts w:ascii="仿宋_GB2312" w:eastAsia="仿宋_GB2312"/>
      <w:sz w:val="28"/>
    </w:rPr>
  </w:style>
  <w:style w:type="character" w:customStyle="1" w:styleId="46">
    <w:name w:val="页眉 Char"/>
    <w:basedOn w:val="28"/>
    <w:link w:val="22"/>
    <w:qFormat/>
    <w:uiPriority w:val="99"/>
    <w:rPr>
      <w:kern w:val="2"/>
      <w:sz w:val="18"/>
    </w:rPr>
  </w:style>
  <w:style w:type="paragraph" w:customStyle="1" w:styleId="4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48">
    <w:name w:val="标题 3 Char"/>
    <w:basedOn w:val="28"/>
    <w:link w:val="4"/>
    <w:qFormat/>
    <w:uiPriority w:val="0"/>
    <w:rPr>
      <w:b/>
      <w:bCs/>
      <w:kern w:val="2"/>
      <w:sz w:val="32"/>
      <w:szCs w:val="32"/>
    </w:rPr>
  </w:style>
  <w:style w:type="character" w:customStyle="1" w:styleId="49">
    <w:name w:val="页脚 Char"/>
    <w:basedOn w:val="28"/>
    <w:link w:val="21"/>
    <w:qFormat/>
    <w:uiPriority w:val="99"/>
    <w:rPr>
      <w:kern w:val="2"/>
      <w:sz w:val="18"/>
    </w:rPr>
  </w:style>
  <w:style w:type="character" w:customStyle="1" w:styleId="50">
    <w:name w:val="正文文本 Char"/>
    <w:basedOn w:val="28"/>
    <w:link w:val="11"/>
    <w:qFormat/>
    <w:uiPriority w:val="0"/>
    <w:rPr>
      <w:kern w:val="2"/>
      <w:sz w:val="21"/>
    </w:rPr>
  </w:style>
  <w:style w:type="character" w:customStyle="1" w:styleId="51">
    <w:name w:val="正文文本 + MS Mincho"/>
    <w:basedOn w:val="50"/>
    <w:qFormat/>
    <w:uiPriority w:val="0"/>
    <w:rPr>
      <w:rFonts w:ascii="MS Mincho" w:eastAsia="MS Mincho" w:cs="MS Mincho"/>
      <w:spacing w:val="-10"/>
      <w:sz w:val="22"/>
      <w:szCs w:val="22"/>
      <w:lang w:val="en-US" w:eastAsia="en-US"/>
    </w:rPr>
  </w:style>
  <w:style w:type="character" w:customStyle="1" w:styleId="52">
    <w:name w:val="words-outer-wrap"/>
    <w:basedOn w:val="28"/>
    <w:qFormat/>
    <w:uiPriority w:val="0"/>
  </w:style>
  <w:style w:type="character" w:customStyle="1" w:styleId="53">
    <w:name w:val="split-word"/>
    <w:basedOn w:val="28"/>
    <w:qFormat/>
    <w:uiPriority w:val="0"/>
  </w:style>
  <w:style w:type="character" w:customStyle="1" w:styleId="54">
    <w:name w:val="apple-converted-space"/>
    <w:basedOn w:val="28"/>
    <w:qFormat/>
    <w:uiPriority w:val="0"/>
  </w:style>
  <w:style w:type="paragraph" w:customStyle="1" w:styleId="55">
    <w:name w:val="插图标题"/>
    <w:basedOn w:val="1"/>
    <w:qFormat/>
    <w:uiPriority w:val="0"/>
    <w:pPr>
      <w:spacing w:beforeLines="50" w:afterLines="50" w:line="360" w:lineRule="auto"/>
      <w:contextualSpacing/>
      <w:jc w:val="center"/>
    </w:pPr>
    <w:rPr>
      <w:b/>
      <w:bCs/>
      <w:szCs w:val="21"/>
    </w:rPr>
  </w:style>
  <w:style w:type="character" w:customStyle="1" w:styleId="56">
    <w:name w:val="15"/>
    <w:basedOn w:val="28"/>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F5D3D7-943F-40BF-B894-37AAB9BC1C7E}">
  <ds:schemaRefs/>
</ds:datastoreItem>
</file>

<file path=docProps/app.xml><?xml version="1.0" encoding="utf-8"?>
<Properties xmlns="http://schemas.openxmlformats.org/officeDocument/2006/extended-properties" xmlns:vt="http://schemas.openxmlformats.org/officeDocument/2006/docPropsVTypes">
  <Template>Normal</Template>
  <Company>hbyyh</Company>
  <Pages>14</Pages>
  <Words>963</Words>
  <Characters>5493</Characters>
  <Lines>45</Lines>
  <Paragraphs>12</Paragraphs>
  <TotalTime>19</TotalTime>
  <ScaleCrop>false</ScaleCrop>
  <LinksUpToDate>false</LinksUpToDate>
  <CharactersWithSpaces>6444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2017-09-30T06:45:00Z</dcterms:created>
  <dc:creator>lx</dc:creator>
  <cp:lastModifiedBy>古月明正</cp:lastModifiedBy>
  <cp:lastPrinted>2018-12-27T10:07:00Z</cp:lastPrinted>
  <dcterms:modified xsi:type="dcterms:W3CDTF">2019-01-07T03:01:57Z</dcterms:modified>
  <dc:title>房 地 产 估 价 报 告</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