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bidi w:val="0"/>
        <w:spacing w:line="540" w:lineRule="exact"/>
        <w:jc w:val="right"/>
        <w:rPr>
          <w:rFonts w:ascii="仿宋_GB2312" w:eastAsia="仿宋_GB2312"/>
          <w:color w:val="auto"/>
          <w:spacing w:val="0"/>
          <w:sz w:val="21"/>
          <w:szCs w:val="21"/>
        </w:rPr>
      </w:pPr>
    </w:p>
    <w:p>
      <w:pPr>
        <w:keepNext w:val="0"/>
        <w:keepLines w:val="0"/>
        <w:pageBreakBefore w:val="0"/>
        <w:kinsoku/>
        <w:overflowPunct/>
        <w:topLinePunct w:val="0"/>
        <w:bidi w:val="0"/>
        <w:spacing w:line="540" w:lineRule="exact"/>
        <w:jc w:val="right"/>
        <w:rPr>
          <w:rFonts w:ascii="仿宋_GB2312" w:eastAsia="仿宋_GB2312"/>
          <w:color w:val="auto"/>
          <w:spacing w:val="0"/>
          <w:sz w:val="21"/>
          <w:szCs w:val="21"/>
        </w:rPr>
      </w:pPr>
    </w:p>
    <w:p>
      <w:pPr>
        <w:keepNext w:val="0"/>
        <w:keepLines w:val="0"/>
        <w:pageBreakBefore w:val="0"/>
        <w:widowControl w:val="0"/>
        <w:kinsoku/>
        <w:wordWrap/>
        <w:overflowPunct/>
        <w:topLinePunct w:val="0"/>
        <w:autoSpaceDE/>
        <w:autoSpaceDN/>
        <w:bidi w:val="0"/>
        <w:adjustRightInd w:val="0"/>
        <w:snapToGrid/>
        <w:spacing w:line="680" w:lineRule="exact"/>
        <w:jc w:val="right"/>
        <w:textAlignment w:val="baseline"/>
        <w:outlineLvl w:val="9"/>
        <w:rPr>
          <w:rFonts w:ascii="仿宋_GB2312" w:eastAsia="仿宋_GB2312"/>
          <w:color w:val="auto"/>
          <w:spacing w:val="0"/>
          <w:sz w:val="21"/>
          <w:szCs w:val="21"/>
        </w:rPr>
      </w:pPr>
    </w:p>
    <w:p>
      <w:pPr>
        <w:keepNext w:val="0"/>
        <w:keepLines w:val="0"/>
        <w:pageBreakBefore w:val="0"/>
        <w:widowControl w:val="0"/>
        <w:kinsoku/>
        <w:wordWrap/>
        <w:overflowPunct/>
        <w:topLinePunct w:val="0"/>
        <w:autoSpaceDE/>
        <w:autoSpaceDN/>
        <w:bidi w:val="0"/>
        <w:adjustRightInd w:val="0"/>
        <w:snapToGrid/>
        <w:spacing w:before="209" w:beforeLines="50" w:after="209" w:afterLines="50" w:line="680" w:lineRule="exact"/>
        <w:jc w:val="center"/>
        <w:textAlignment w:val="baseline"/>
        <w:outlineLvl w:val="9"/>
        <w:rPr>
          <w:rFonts w:ascii="仿宋_GB2312" w:hAnsi="宋体" w:eastAsia="仿宋_GB2312"/>
          <w:b/>
          <w:bCs/>
          <w:color w:val="auto"/>
          <w:spacing w:val="0"/>
          <w:sz w:val="48"/>
          <w:szCs w:val="48"/>
        </w:rPr>
      </w:pPr>
      <w:r>
        <w:rPr>
          <w:rFonts w:hint="eastAsia" w:ascii="仿宋_GB2312" w:hAnsi="宋体" w:eastAsia="仿宋_GB2312"/>
          <w:b/>
          <w:bCs/>
          <w:color w:val="auto"/>
          <w:spacing w:val="0"/>
          <w:sz w:val="72"/>
          <w:szCs w:val="72"/>
        </w:rPr>
        <w:t>房地产司法鉴定估价报告</w:t>
      </w:r>
    </w:p>
    <w:p>
      <w:pPr>
        <w:keepNext w:val="0"/>
        <w:keepLines w:val="0"/>
        <w:pageBreakBefore w:val="0"/>
        <w:widowControl w:val="0"/>
        <w:kinsoku/>
        <w:wordWrap/>
        <w:overflowPunct/>
        <w:topLinePunct w:val="0"/>
        <w:autoSpaceDE/>
        <w:autoSpaceDN/>
        <w:bidi w:val="0"/>
        <w:adjustRightInd w:val="0"/>
        <w:snapToGrid/>
        <w:spacing w:line="680" w:lineRule="exact"/>
        <w:jc w:val="center"/>
        <w:textAlignment w:val="baseline"/>
        <w:outlineLvl w:val="9"/>
        <w:rPr>
          <w:rFonts w:hint="eastAsia" w:ascii="仿宋_GB2312" w:eastAsia="仿宋_GB2312"/>
          <w:color w:val="auto"/>
          <w:spacing w:val="0"/>
          <w:lang w:val="en-US" w:eastAsia="zh-CN"/>
        </w:rPr>
      </w:pPr>
      <w:r>
        <w:rPr>
          <w:rFonts w:hint="eastAsia" w:ascii="仿宋_GB2312" w:hAnsi="宋体" w:eastAsia="仿宋_GB2312"/>
          <w:b/>
          <w:color w:val="auto"/>
          <w:spacing w:val="0"/>
          <w:sz w:val="28"/>
          <w:szCs w:val="28"/>
        </w:rPr>
        <w:t>估价报告编号：[201</w:t>
      </w:r>
      <w:r>
        <w:rPr>
          <w:rFonts w:hint="eastAsia" w:ascii="仿宋_GB2312" w:hAnsi="宋体" w:eastAsia="仿宋_GB2312"/>
          <w:b/>
          <w:color w:val="auto"/>
          <w:spacing w:val="0"/>
          <w:sz w:val="28"/>
          <w:szCs w:val="28"/>
          <w:lang w:val="en-US" w:eastAsia="zh-CN"/>
        </w:rPr>
        <w:t>9</w:t>
      </w:r>
      <w:r>
        <w:rPr>
          <w:rFonts w:hint="eastAsia" w:ascii="仿宋_GB2312" w:hAnsi="宋体" w:eastAsia="仿宋_GB2312"/>
          <w:b/>
          <w:color w:val="auto"/>
          <w:spacing w:val="0"/>
          <w:sz w:val="28"/>
          <w:szCs w:val="28"/>
        </w:rPr>
        <w:t xml:space="preserve"> ]明嘉正德</w:t>
      </w:r>
      <w:r>
        <w:rPr>
          <w:rFonts w:hint="eastAsia" w:ascii="仿宋_GB2312" w:hAnsi="宋体" w:eastAsia="仿宋_GB2312"/>
          <w:b/>
          <w:color w:val="auto"/>
          <w:spacing w:val="0"/>
          <w:sz w:val="28"/>
          <w:szCs w:val="28"/>
          <w:lang w:eastAsia="zh-CN"/>
        </w:rPr>
        <w:t>第</w:t>
      </w:r>
      <w:r>
        <w:rPr>
          <w:rFonts w:hint="eastAsia" w:ascii="仿宋_GB2312" w:hAnsi="宋体" w:eastAsia="仿宋_GB2312"/>
          <w:b/>
          <w:color w:val="auto"/>
          <w:spacing w:val="0"/>
          <w:sz w:val="28"/>
          <w:szCs w:val="28"/>
        </w:rPr>
        <w:t>（</w:t>
      </w:r>
      <w:r>
        <w:rPr>
          <w:rFonts w:hint="eastAsia" w:ascii="仿宋_GB2312" w:hAnsi="宋体" w:eastAsia="仿宋_GB2312"/>
          <w:b/>
          <w:color w:val="auto"/>
          <w:spacing w:val="0"/>
          <w:sz w:val="28"/>
          <w:szCs w:val="28"/>
          <w:lang w:val="en-US" w:eastAsia="zh-CN"/>
        </w:rPr>
        <w:t>C005</w:t>
      </w:r>
      <w:r>
        <w:rPr>
          <w:rFonts w:hint="eastAsia" w:ascii="仿宋_GB2312" w:hAnsi="宋体" w:eastAsia="仿宋_GB2312"/>
          <w:b/>
          <w:color w:val="auto"/>
          <w:spacing w:val="0"/>
          <w:sz w:val="28"/>
          <w:szCs w:val="28"/>
        </w:rPr>
        <w:t>）号</w:t>
      </w:r>
    </w:p>
    <w:p>
      <w:pPr>
        <w:keepNext w:val="0"/>
        <w:keepLines w:val="0"/>
        <w:pageBreakBefore w:val="0"/>
        <w:widowControl w:val="0"/>
        <w:kinsoku/>
        <w:wordWrap/>
        <w:overflowPunct/>
        <w:topLinePunct w:val="0"/>
        <w:autoSpaceDE/>
        <w:autoSpaceDN/>
        <w:bidi w:val="0"/>
        <w:adjustRightInd w:val="0"/>
        <w:snapToGrid/>
        <w:spacing w:line="680" w:lineRule="exact"/>
        <w:textAlignment w:val="baseline"/>
        <w:outlineLvl w:val="9"/>
        <w:rPr>
          <w:rFonts w:ascii="仿宋_GB2312" w:eastAsia="仿宋_GB2312"/>
          <w:color w:val="auto"/>
          <w:spacing w:val="0"/>
        </w:rPr>
      </w:pPr>
    </w:p>
    <w:p>
      <w:pPr>
        <w:keepNext w:val="0"/>
        <w:keepLines w:val="0"/>
        <w:pageBreakBefore w:val="0"/>
        <w:widowControl w:val="0"/>
        <w:kinsoku/>
        <w:wordWrap/>
        <w:overflowPunct/>
        <w:topLinePunct w:val="0"/>
        <w:autoSpaceDE/>
        <w:autoSpaceDN/>
        <w:bidi w:val="0"/>
        <w:adjustRightInd w:val="0"/>
        <w:snapToGrid/>
        <w:spacing w:line="680" w:lineRule="exact"/>
        <w:jc w:val="center"/>
        <w:textAlignment w:val="baseline"/>
        <w:outlineLvl w:val="9"/>
        <w:rPr>
          <w:rFonts w:ascii="仿宋_GB2312" w:eastAsia="仿宋_GB2312"/>
          <w:color w:val="auto"/>
        </w:rPr>
      </w:pPr>
    </w:p>
    <w:p>
      <w:pPr>
        <w:keepNext w:val="0"/>
        <w:keepLines w:val="0"/>
        <w:pageBreakBefore w:val="0"/>
        <w:widowControl w:val="0"/>
        <w:kinsoku/>
        <w:wordWrap/>
        <w:overflowPunct/>
        <w:topLinePunct w:val="0"/>
        <w:autoSpaceDE/>
        <w:autoSpaceDN/>
        <w:bidi w:val="0"/>
        <w:adjustRightInd w:val="0"/>
        <w:snapToGrid/>
        <w:spacing w:line="680" w:lineRule="exact"/>
        <w:jc w:val="center"/>
        <w:textAlignment w:val="baseline"/>
        <w:outlineLvl w:val="9"/>
        <w:rPr>
          <w:rFonts w:ascii="仿宋_GB2312" w:eastAsia="仿宋_GB2312"/>
          <w:color w:val="auto"/>
        </w:rPr>
      </w:pPr>
    </w:p>
    <w:p>
      <w:pPr>
        <w:keepNext w:val="0"/>
        <w:keepLines w:val="0"/>
        <w:pageBreakBefore w:val="0"/>
        <w:widowControl w:val="0"/>
        <w:kinsoku/>
        <w:wordWrap/>
        <w:overflowPunct/>
        <w:topLinePunct w:val="0"/>
        <w:autoSpaceDE/>
        <w:autoSpaceDN/>
        <w:bidi w:val="0"/>
        <w:adjustRightInd w:val="0"/>
        <w:snapToGrid/>
        <w:spacing w:line="680" w:lineRule="exact"/>
        <w:jc w:val="center"/>
        <w:textAlignment w:val="baseline"/>
        <w:outlineLvl w:val="9"/>
        <w:rPr>
          <w:rFonts w:ascii="仿宋_GB2312" w:eastAsia="仿宋_GB2312"/>
          <w:color w:val="auto"/>
        </w:rPr>
      </w:pPr>
    </w:p>
    <w:p>
      <w:pPr>
        <w:keepNext w:val="0"/>
        <w:keepLines w:val="0"/>
        <w:pageBreakBefore w:val="0"/>
        <w:widowControl w:val="0"/>
        <w:kinsoku/>
        <w:wordWrap/>
        <w:overflowPunct/>
        <w:topLinePunct w:val="0"/>
        <w:autoSpaceDE/>
        <w:autoSpaceDN/>
        <w:bidi w:val="0"/>
        <w:adjustRightInd w:val="0"/>
        <w:snapToGrid/>
        <w:spacing w:line="680" w:lineRule="exact"/>
        <w:ind w:left="2017" w:hanging="2024" w:hangingChars="720"/>
        <w:textAlignment w:val="baseline"/>
        <w:outlineLvl w:val="9"/>
        <w:rPr>
          <w:rFonts w:hint="eastAsia" w:ascii="仿宋_GB2312" w:eastAsia="仿宋_GB2312"/>
          <w:b/>
          <w:color w:val="auto"/>
          <w:lang w:eastAsia="zh-CN"/>
        </w:rPr>
      </w:pPr>
      <w:r>
        <w:rPr>
          <w:rFonts w:hint="eastAsia" w:ascii="仿宋_GB2312" w:hAnsi="宋体" w:eastAsia="仿宋_GB2312"/>
          <w:b/>
          <w:color w:val="auto"/>
          <w:spacing w:val="0"/>
          <w:szCs w:val="28"/>
        </w:rPr>
        <w:t>估价项目名称：</w:t>
      </w:r>
      <w:r>
        <w:rPr>
          <w:rFonts w:hint="eastAsia" w:ascii="仿宋_GB2312" w:eastAsia="仿宋_GB2312"/>
          <w:b/>
          <w:color w:val="auto"/>
          <w:lang w:eastAsia="zh-CN"/>
        </w:rPr>
        <w:t>李军</w:t>
      </w:r>
      <w:r>
        <w:rPr>
          <w:rFonts w:hint="eastAsia" w:ascii="仿宋_GB2312" w:eastAsia="仿宋_GB2312"/>
          <w:b/>
          <w:color w:val="auto"/>
        </w:rPr>
        <w:t>所属</w:t>
      </w:r>
      <w:r>
        <w:rPr>
          <w:rFonts w:hint="eastAsia" w:ascii="仿宋_GB2312" w:eastAsia="仿宋_GB2312"/>
          <w:b/>
          <w:color w:val="auto"/>
          <w:lang w:eastAsia="zh-CN"/>
        </w:rPr>
        <w:t>位于高青县中心路西侧一处商住</w:t>
      </w:r>
    </w:p>
    <w:p>
      <w:pPr>
        <w:keepNext w:val="0"/>
        <w:keepLines w:val="0"/>
        <w:pageBreakBefore w:val="0"/>
        <w:widowControl w:val="0"/>
        <w:kinsoku/>
        <w:wordWrap/>
        <w:overflowPunct/>
        <w:topLinePunct w:val="0"/>
        <w:autoSpaceDE/>
        <w:autoSpaceDN/>
        <w:bidi w:val="0"/>
        <w:adjustRightInd w:val="0"/>
        <w:snapToGrid/>
        <w:spacing w:line="680" w:lineRule="exact"/>
        <w:ind w:left="2015" w:leftChars="654" w:hanging="53" w:hangingChars="19"/>
        <w:textAlignment w:val="baseline"/>
        <w:outlineLvl w:val="9"/>
        <w:rPr>
          <w:rFonts w:ascii="仿宋_GB2312" w:eastAsia="仿宋_GB2312"/>
          <w:b/>
          <w:color w:val="auto"/>
        </w:rPr>
      </w:pPr>
      <w:r>
        <w:rPr>
          <w:rFonts w:hint="eastAsia" w:ascii="仿宋_GB2312" w:hAnsi="宋体" w:eastAsia="仿宋_GB2312"/>
          <w:b/>
          <w:color w:val="auto"/>
          <w:spacing w:val="0"/>
          <w:szCs w:val="28"/>
        </w:rPr>
        <w:t>市场价值评估</w:t>
      </w:r>
    </w:p>
    <w:p>
      <w:pPr>
        <w:keepNext w:val="0"/>
        <w:keepLines w:val="0"/>
        <w:pageBreakBefore w:val="0"/>
        <w:widowControl w:val="0"/>
        <w:kinsoku/>
        <w:wordWrap/>
        <w:overflowPunct/>
        <w:topLinePunct w:val="0"/>
        <w:autoSpaceDE/>
        <w:autoSpaceDN/>
        <w:bidi w:val="0"/>
        <w:adjustRightInd w:val="0"/>
        <w:snapToGrid/>
        <w:spacing w:line="680" w:lineRule="exact"/>
        <w:textAlignment w:val="baseline"/>
        <w:outlineLvl w:val="9"/>
        <w:rPr>
          <w:rFonts w:ascii="仿宋_GB2312" w:hAnsi="宋体" w:eastAsia="仿宋_GB2312"/>
          <w:b/>
          <w:color w:val="auto"/>
          <w:spacing w:val="0"/>
          <w:szCs w:val="28"/>
        </w:rPr>
      </w:pPr>
      <w:r>
        <w:rPr>
          <w:rFonts w:hint="eastAsia" w:ascii="仿宋_GB2312" w:hAnsi="宋体" w:eastAsia="仿宋_GB2312"/>
          <w:b/>
          <w:color w:val="auto"/>
          <w:spacing w:val="0"/>
          <w:szCs w:val="28"/>
        </w:rPr>
        <w:t>估价委托人：高青县人民法院司法技术和装备管理局</w:t>
      </w:r>
    </w:p>
    <w:p>
      <w:pPr>
        <w:keepNext w:val="0"/>
        <w:keepLines w:val="0"/>
        <w:pageBreakBefore w:val="0"/>
        <w:widowControl w:val="0"/>
        <w:kinsoku/>
        <w:wordWrap/>
        <w:overflowPunct/>
        <w:topLinePunct w:val="0"/>
        <w:autoSpaceDE/>
        <w:autoSpaceDN/>
        <w:bidi w:val="0"/>
        <w:adjustRightInd w:val="0"/>
        <w:snapToGrid/>
        <w:spacing w:line="680" w:lineRule="exact"/>
        <w:textAlignment w:val="baseline"/>
        <w:outlineLvl w:val="9"/>
        <w:rPr>
          <w:rFonts w:ascii="仿宋_GB2312" w:hAnsi="宋体" w:eastAsia="仿宋_GB2312"/>
          <w:b/>
          <w:color w:val="auto"/>
          <w:spacing w:val="0"/>
          <w:szCs w:val="28"/>
        </w:rPr>
      </w:pPr>
      <w:r>
        <w:rPr>
          <w:rFonts w:hint="eastAsia" w:ascii="仿宋_GB2312" w:hAnsi="宋体" w:eastAsia="仿宋_GB2312"/>
          <w:b/>
          <w:color w:val="auto"/>
          <w:spacing w:val="0"/>
          <w:szCs w:val="28"/>
        </w:rPr>
        <w:t>房地产估价机构：山东明嘉正德土地房地产评估有限公司</w:t>
      </w:r>
    </w:p>
    <w:p>
      <w:pPr>
        <w:keepNext w:val="0"/>
        <w:keepLines w:val="0"/>
        <w:pageBreakBefore w:val="0"/>
        <w:widowControl w:val="0"/>
        <w:kinsoku/>
        <w:wordWrap/>
        <w:overflowPunct/>
        <w:topLinePunct w:val="0"/>
        <w:autoSpaceDE/>
        <w:autoSpaceDN/>
        <w:bidi w:val="0"/>
        <w:adjustRightInd w:val="0"/>
        <w:snapToGrid/>
        <w:spacing w:line="680" w:lineRule="exact"/>
        <w:textAlignment w:val="baseline"/>
        <w:outlineLvl w:val="9"/>
        <w:rPr>
          <w:rFonts w:hint="eastAsia" w:ascii="仿宋_GB2312" w:hAnsi="宋体" w:eastAsia="仿宋_GB2312"/>
          <w:color w:val="auto"/>
          <w:sz w:val="24"/>
          <w:szCs w:val="24"/>
          <w:lang w:eastAsia="zh-CN"/>
        </w:rPr>
      </w:pPr>
      <w:r>
        <w:rPr>
          <w:rFonts w:hint="eastAsia" w:ascii="仿宋_GB2312" w:hAnsi="宋体" w:eastAsia="仿宋_GB2312"/>
          <w:b/>
          <w:color w:val="auto"/>
          <w:spacing w:val="0"/>
          <w:szCs w:val="28"/>
        </w:rPr>
        <w:t>注册房地产估价师：韩颖、</w:t>
      </w:r>
      <w:r>
        <w:rPr>
          <w:rFonts w:hint="eastAsia" w:ascii="仿宋_GB2312" w:hAnsi="宋体" w:eastAsia="仿宋_GB2312"/>
          <w:b/>
          <w:color w:val="auto"/>
          <w:spacing w:val="0"/>
          <w:szCs w:val="28"/>
          <w:lang w:eastAsia="zh-CN"/>
        </w:rPr>
        <w:t>王健</w:t>
      </w:r>
    </w:p>
    <w:p>
      <w:pPr>
        <w:keepNext w:val="0"/>
        <w:keepLines w:val="0"/>
        <w:pageBreakBefore w:val="0"/>
        <w:widowControl w:val="0"/>
        <w:kinsoku/>
        <w:wordWrap/>
        <w:overflowPunct/>
        <w:topLinePunct w:val="0"/>
        <w:autoSpaceDE/>
        <w:autoSpaceDN/>
        <w:bidi w:val="0"/>
        <w:adjustRightInd w:val="0"/>
        <w:snapToGrid/>
        <w:spacing w:line="680" w:lineRule="exact"/>
        <w:textAlignment w:val="baseline"/>
        <w:outlineLvl w:val="9"/>
        <w:rPr>
          <w:rFonts w:hint="eastAsia" w:ascii="仿宋_GB2312" w:hAnsi="宋体" w:eastAsia="仿宋_GB2312"/>
          <w:b/>
          <w:color w:val="auto"/>
          <w:spacing w:val="0"/>
          <w:szCs w:val="28"/>
          <w:lang w:eastAsia="zh-CN"/>
        </w:rPr>
      </w:pPr>
      <w:r>
        <w:rPr>
          <w:rFonts w:hint="eastAsia" w:ascii="仿宋_GB2312" w:hAnsi="宋体" w:eastAsia="仿宋_GB2312"/>
          <w:b/>
          <w:color w:val="auto"/>
          <w:spacing w:val="0"/>
          <w:szCs w:val="28"/>
        </w:rPr>
        <w:t xml:space="preserve">估价报告出具日期： </w:t>
      </w:r>
      <w:r>
        <w:rPr>
          <w:rFonts w:hint="eastAsia" w:ascii="仿宋_GB2312" w:hAnsi="宋体" w:eastAsia="仿宋_GB2312"/>
          <w:b/>
          <w:color w:val="auto"/>
          <w:spacing w:val="0"/>
          <w:szCs w:val="28"/>
          <w:lang w:eastAsia="zh-CN"/>
        </w:rPr>
        <w:t>2019年1月28日</w:t>
      </w:r>
    </w:p>
    <w:p>
      <w:pPr>
        <w:keepNext w:val="0"/>
        <w:keepLines w:val="0"/>
        <w:pageBreakBefore w:val="0"/>
        <w:kinsoku/>
        <w:overflowPunct/>
        <w:topLinePunct w:val="0"/>
        <w:bidi w:val="0"/>
        <w:spacing w:line="540" w:lineRule="exact"/>
        <w:ind w:firstLine="425"/>
        <w:jc w:val="center"/>
        <w:rPr>
          <w:rFonts w:ascii="仿宋_GB2312" w:hAnsi="宋体" w:eastAsia="仿宋_GB2312"/>
          <w:b/>
          <w:bCs/>
          <w:color w:val="auto"/>
          <w:spacing w:val="0"/>
          <w:sz w:val="44"/>
        </w:rPr>
      </w:pPr>
      <w:r>
        <w:rPr>
          <w:rFonts w:hint="eastAsia" w:ascii="仿宋_GB2312" w:hAnsi="宋体" w:eastAsia="仿宋_GB2312"/>
          <w:color w:val="auto"/>
          <w:spacing w:val="0"/>
          <w:szCs w:val="28"/>
        </w:rPr>
        <w:br w:type="page"/>
      </w:r>
      <w:bookmarkStart w:id="0" w:name="_Toc403995606"/>
      <w:bookmarkStart w:id="1" w:name="_Toc403995605"/>
      <w:r>
        <w:rPr>
          <w:rFonts w:hint="eastAsia" w:ascii="仿宋_GB2312" w:hAnsi="宋体" w:eastAsia="仿宋_GB2312"/>
          <w:b/>
          <w:bCs/>
          <w:color w:val="auto"/>
          <w:spacing w:val="0"/>
          <w:sz w:val="44"/>
        </w:rPr>
        <w:t>致估价委托人函</w:t>
      </w:r>
      <w:bookmarkEnd w:id="0"/>
    </w:p>
    <w:p>
      <w:pPr>
        <w:pStyle w:val="40"/>
        <w:keepNext w:val="0"/>
        <w:keepLines w:val="0"/>
        <w:pageBreakBefore w:val="0"/>
        <w:kinsoku/>
        <w:overflowPunct/>
        <w:topLinePunct w:val="0"/>
        <w:autoSpaceDE/>
        <w:autoSpaceDN/>
        <w:bidi w:val="0"/>
        <w:spacing w:line="540" w:lineRule="exact"/>
        <w:jc w:val="both"/>
        <w:rPr>
          <w:rFonts w:ascii="仿宋_GB2312" w:hAnsi="宋体" w:eastAsia="仿宋_GB2312"/>
          <w:color w:val="auto"/>
          <w:kern w:val="2"/>
          <w:szCs w:val="28"/>
        </w:rPr>
      </w:pPr>
      <w:r>
        <w:rPr>
          <w:rFonts w:hint="eastAsia" w:ascii="仿宋_GB2312" w:hAnsi="宋体" w:eastAsia="仿宋_GB2312"/>
          <w:b/>
          <w:color w:val="auto"/>
          <w:szCs w:val="28"/>
        </w:rPr>
        <w:t>高青县人民法院司法技术和装备管理局</w:t>
      </w:r>
      <w:r>
        <w:rPr>
          <w:rFonts w:hint="eastAsia" w:ascii="仿宋_GB2312" w:hAnsi="宋体" w:eastAsia="仿宋_GB2312"/>
          <w:color w:val="auto"/>
          <w:kern w:val="2"/>
          <w:szCs w:val="28"/>
        </w:rPr>
        <w:t>：</w:t>
      </w:r>
    </w:p>
    <w:p>
      <w:pPr>
        <w:keepNext w:val="0"/>
        <w:keepLines w:val="0"/>
        <w:pageBreakBefore w:val="0"/>
        <w:tabs>
          <w:tab w:val="left" w:pos="7797"/>
        </w:tabs>
        <w:kinsoku/>
        <w:overflowPunct/>
        <w:topLinePunct w:val="0"/>
        <w:bidi w:val="0"/>
        <w:spacing w:line="540" w:lineRule="exact"/>
        <w:ind w:firstLine="560" w:firstLineChars="200"/>
        <w:rPr>
          <w:rFonts w:ascii="仿宋_GB2312" w:hAnsi="宋体" w:eastAsia="仿宋_GB2312"/>
          <w:color w:val="auto"/>
          <w:spacing w:val="0"/>
          <w:szCs w:val="28"/>
        </w:rPr>
      </w:pPr>
      <w:r>
        <w:rPr>
          <w:rFonts w:hint="eastAsia" w:ascii="仿宋_GB2312" w:hAnsi="宋体" w:eastAsia="仿宋_GB2312"/>
          <w:color w:val="auto"/>
          <w:spacing w:val="0"/>
          <w:szCs w:val="28"/>
        </w:rPr>
        <w:t>受贵单位委托，我公司对</w:t>
      </w:r>
      <w:r>
        <w:rPr>
          <w:rFonts w:hint="eastAsia" w:ascii="仿宋_GB2312" w:eastAsia="仿宋_GB2312"/>
          <w:color w:val="auto"/>
          <w:lang w:eastAsia="zh-CN"/>
        </w:rPr>
        <w:t>李军</w:t>
      </w:r>
      <w:r>
        <w:rPr>
          <w:rFonts w:hint="eastAsia" w:ascii="仿宋_GB2312" w:eastAsia="仿宋_GB2312"/>
          <w:color w:val="auto"/>
        </w:rPr>
        <w:t>所属</w:t>
      </w:r>
      <w:r>
        <w:rPr>
          <w:rFonts w:hint="eastAsia" w:ascii="仿宋_GB2312" w:eastAsia="仿宋_GB2312"/>
          <w:color w:val="auto"/>
          <w:lang w:eastAsia="zh-CN"/>
        </w:rPr>
        <w:t>位于高青县中心路西侧一处商住房地产</w:t>
      </w:r>
      <w:r>
        <w:rPr>
          <w:rFonts w:hint="eastAsia" w:ascii="仿宋_GB2312" w:hAnsi="宋体" w:eastAsia="仿宋_GB2312"/>
          <w:color w:val="auto"/>
          <w:spacing w:val="0"/>
          <w:szCs w:val="28"/>
        </w:rPr>
        <w:t>的客观合理的价值进行了评估。</w:t>
      </w:r>
    </w:p>
    <w:p>
      <w:pPr>
        <w:keepNext w:val="0"/>
        <w:keepLines w:val="0"/>
        <w:pageBreakBefore w:val="0"/>
        <w:kinsoku/>
        <w:overflowPunct/>
        <w:topLinePunct w:val="0"/>
        <w:bidi w:val="0"/>
        <w:spacing w:line="540" w:lineRule="exact"/>
        <w:ind w:firstLine="600" w:firstLineChars="200"/>
        <w:rPr>
          <w:rFonts w:ascii="仿宋_GB2312" w:hAnsi="宋体" w:eastAsia="仿宋_GB2312"/>
          <w:color w:val="auto"/>
          <w:spacing w:val="0"/>
          <w:szCs w:val="28"/>
        </w:rPr>
      </w:pPr>
      <w:r>
        <w:rPr>
          <w:rFonts w:hint="eastAsia" w:ascii="仿宋_GB2312" w:eastAsia="仿宋_GB2312"/>
          <w:color w:val="auto"/>
        </w:rPr>
        <w:t>注册房地产估价师</w:t>
      </w:r>
      <w:r>
        <w:rPr>
          <w:rFonts w:hint="eastAsia" w:ascii="仿宋_GB2312" w:hAnsi="宋体" w:eastAsia="仿宋_GB2312"/>
          <w:color w:val="auto"/>
          <w:spacing w:val="0"/>
          <w:szCs w:val="28"/>
        </w:rPr>
        <w:t>根据估价目的、遵循估价原则、按照估价工作程序、利用科学的评估方法，在认真分析现有资料的基础上，经过周密准确的测算，并结合估价经验，详细考虑了影响房地产价格的各项因素，在估价委托人的配合下，对估价对象进行了实地查勘和估价资料的收集，同时进行了必要的调研，在此基础上形成了房地产估价报告。估价结果如下：</w:t>
      </w:r>
    </w:p>
    <w:p>
      <w:pPr>
        <w:keepNext w:val="0"/>
        <w:keepLines w:val="0"/>
        <w:pageBreakBefore w:val="0"/>
        <w:tabs>
          <w:tab w:val="left" w:pos="7797"/>
        </w:tabs>
        <w:kinsoku/>
        <w:overflowPunct/>
        <w:topLinePunct w:val="0"/>
        <w:bidi w:val="0"/>
        <w:spacing w:line="540" w:lineRule="exact"/>
        <w:ind w:firstLine="562" w:firstLineChars="200"/>
        <w:rPr>
          <w:rFonts w:ascii="仿宋_GB2312" w:hAnsi="宋体" w:eastAsia="仿宋_GB2312"/>
          <w:color w:val="auto"/>
          <w:szCs w:val="28"/>
        </w:rPr>
      </w:pPr>
      <w:r>
        <w:rPr>
          <w:rFonts w:hint="eastAsia" w:ascii="仿宋_GB2312" w:hAnsi="宋体" w:eastAsia="仿宋_GB2312"/>
          <w:b/>
          <w:color w:val="auto"/>
          <w:spacing w:val="0"/>
          <w:szCs w:val="28"/>
          <w:shd w:val="clear" w:color="auto" w:fill="auto"/>
        </w:rPr>
        <w:t>估价对象</w:t>
      </w:r>
      <w:r>
        <w:rPr>
          <w:rFonts w:hint="eastAsia" w:ascii="仿宋_GB2312" w:hAnsi="宋体" w:eastAsia="仿宋_GB2312"/>
          <w:b/>
          <w:color w:val="auto"/>
          <w:spacing w:val="0"/>
          <w:szCs w:val="28"/>
          <w:lang w:eastAsia="zh-CN"/>
        </w:rPr>
        <w:t>：</w:t>
      </w:r>
      <w:r>
        <w:rPr>
          <w:rFonts w:hint="eastAsia" w:ascii="仿宋_GB2312" w:hAnsi="宋体" w:eastAsia="仿宋_GB2312"/>
          <w:color w:val="auto"/>
          <w:spacing w:val="0"/>
          <w:szCs w:val="28"/>
          <w:lang w:eastAsia="zh-CN"/>
        </w:rPr>
        <w:t>估价对象</w:t>
      </w:r>
      <w:r>
        <w:rPr>
          <w:rFonts w:hint="eastAsia" w:ascii="仿宋_GB2312" w:hAnsi="宋体" w:eastAsia="仿宋_GB2312"/>
          <w:color w:val="auto"/>
          <w:spacing w:val="0"/>
          <w:szCs w:val="28"/>
        </w:rPr>
        <w:t>为位于</w:t>
      </w:r>
      <w:r>
        <w:rPr>
          <w:rFonts w:hint="eastAsia" w:ascii="仿宋_GB2312" w:eastAsia="仿宋_GB2312"/>
          <w:color w:val="auto"/>
          <w:lang w:eastAsia="zh-CN"/>
        </w:rPr>
        <w:t>高青县中心路西侧一处商住房地产</w:t>
      </w:r>
      <w:r>
        <w:rPr>
          <w:rFonts w:hint="eastAsia" w:ascii="仿宋_GB2312" w:eastAsia="仿宋_GB2312"/>
          <w:color w:val="auto"/>
        </w:rPr>
        <w:t>。详细情况见下表：</w:t>
      </w:r>
    </w:p>
    <w:tbl>
      <w:tblPr>
        <w:tblStyle w:val="36"/>
        <w:tblW w:w="9951" w:type="dxa"/>
        <w:jc w:val="center"/>
        <w:tblInd w:w="-669"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4"/>
        <w:gridCol w:w="1808"/>
        <w:gridCol w:w="780"/>
        <w:gridCol w:w="2565"/>
        <w:gridCol w:w="243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jc w:val="center"/>
        </w:trPr>
        <w:tc>
          <w:tcPr>
            <w:tcW w:w="236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before="100" w:beforeAutospacing="0" w:line="300" w:lineRule="exact"/>
              <w:jc w:val="center"/>
              <w:textAlignment w:val="baseline"/>
              <w:outlineLvl w:val="9"/>
              <w:rPr>
                <w:rFonts w:hint="eastAsia" w:ascii="仿宋_GB2312" w:hAnsi="宋体" w:eastAsia="仿宋_GB2312" w:cs="宋体"/>
                <w:color w:val="auto"/>
                <w:sz w:val="24"/>
                <w:szCs w:val="24"/>
                <w:lang w:eastAsia="zh-CN"/>
              </w:rPr>
            </w:pPr>
            <w:r>
              <w:rPr>
                <w:rFonts w:hint="eastAsia" w:ascii="仿宋_GB2312" w:hAnsi="宋体" w:eastAsia="仿宋_GB2312" w:cs="宋体"/>
                <w:color w:val="auto"/>
                <w:sz w:val="24"/>
                <w:szCs w:val="24"/>
                <w:lang w:eastAsia="zh-CN"/>
              </w:rPr>
              <w:t>房屋产权证号</w:t>
            </w:r>
          </w:p>
        </w:tc>
        <w:tc>
          <w:tcPr>
            <w:tcW w:w="180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before="100" w:beforeAutospacing="0" w:line="300" w:lineRule="exact"/>
              <w:jc w:val="center"/>
              <w:textAlignment w:val="baseline"/>
              <w:outlineLvl w:val="9"/>
              <w:rPr>
                <w:rFonts w:hint="eastAsia" w:ascii="仿宋_GB2312" w:hAnsi="宋体" w:eastAsia="仿宋_GB2312" w:cs="宋体"/>
                <w:color w:val="auto"/>
                <w:sz w:val="24"/>
                <w:szCs w:val="24"/>
                <w:lang w:val="en-US" w:eastAsia="zh-CN"/>
              </w:rPr>
            </w:pPr>
            <w:r>
              <w:rPr>
                <w:rFonts w:hint="eastAsia" w:ascii="仿宋_GB2312" w:hAnsi="宋体" w:eastAsia="仿宋_GB2312" w:cs="宋体"/>
                <w:color w:val="auto"/>
                <w:sz w:val="24"/>
                <w:szCs w:val="24"/>
                <w:lang w:val="en-US" w:eastAsia="zh-CN"/>
              </w:rPr>
              <w:t>09-0002898</w:t>
            </w:r>
          </w:p>
        </w:tc>
        <w:tc>
          <w:tcPr>
            <w:tcW w:w="3345"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before="100" w:beforeAutospacing="0" w:line="300" w:lineRule="exact"/>
              <w:jc w:val="center"/>
              <w:textAlignment w:val="baseline"/>
              <w:outlineLvl w:val="9"/>
              <w:rPr>
                <w:rFonts w:hint="eastAsia" w:ascii="仿宋_GB2312" w:hAnsi="宋体" w:eastAsia="仿宋_GB2312" w:cs="宋体"/>
                <w:color w:val="auto"/>
                <w:sz w:val="24"/>
                <w:szCs w:val="24"/>
                <w:lang w:val="en-US" w:eastAsia="zh-CN"/>
              </w:rPr>
            </w:pPr>
            <w:r>
              <w:rPr>
                <w:rFonts w:hint="eastAsia" w:ascii="仿宋_GB2312" w:hAnsi="宋体" w:eastAsia="仿宋_GB2312" w:cs="宋体"/>
                <w:color w:val="auto"/>
                <w:sz w:val="24"/>
                <w:szCs w:val="24"/>
                <w:lang w:val="en-US" w:eastAsia="zh-CN"/>
              </w:rPr>
              <w:t>证载建筑面积（㎡）</w:t>
            </w:r>
          </w:p>
        </w:tc>
        <w:tc>
          <w:tcPr>
            <w:tcW w:w="24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before="100" w:beforeAutospacing="0" w:line="300" w:lineRule="exact"/>
              <w:jc w:val="center"/>
              <w:textAlignment w:val="baseline"/>
              <w:outlineLvl w:val="9"/>
              <w:rPr>
                <w:rFonts w:hint="eastAsia" w:ascii="仿宋_GB2312" w:hAnsi="宋体" w:eastAsia="仿宋_GB2312" w:cs="宋体"/>
                <w:color w:val="auto"/>
                <w:sz w:val="24"/>
                <w:szCs w:val="24"/>
                <w:lang w:val="en-US" w:eastAsia="zh-CN"/>
              </w:rPr>
            </w:pPr>
            <w:r>
              <w:rPr>
                <w:rFonts w:hint="eastAsia" w:ascii="仿宋_GB2312" w:hAnsi="宋体" w:eastAsia="仿宋_GB2312" w:cs="宋体"/>
                <w:color w:val="auto"/>
                <w:sz w:val="24"/>
                <w:szCs w:val="24"/>
                <w:lang w:val="en-US" w:eastAsia="zh-CN"/>
              </w:rPr>
              <w:t>576.45</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jc w:val="center"/>
        </w:trPr>
        <w:tc>
          <w:tcPr>
            <w:tcW w:w="236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before="100" w:beforeAutospacing="0" w:line="300" w:lineRule="exact"/>
              <w:jc w:val="center"/>
              <w:textAlignment w:val="baseline"/>
              <w:outlineLvl w:val="9"/>
              <w:rPr>
                <w:rFonts w:ascii="仿宋_GB2312" w:hAnsi="宋体" w:eastAsia="仿宋_GB2312" w:cs="宋体"/>
                <w:color w:val="auto"/>
                <w:sz w:val="24"/>
                <w:szCs w:val="24"/>
              </w:rPr>
            </w:pPr>
            <w:r>
              <w:rPr>
                <w:rFonts w:hint="eastAsia" w:ascii="仿宋_GB2312" w:hAnsi="宋体" w:eastAsia="仿宋_GB2312" w:cs="宋体"/>
                <w:color w:val="auto"/>
                <w:sz w:val="24"/>
                <w:szCs w:val="24"/>
              </w:rPr>
              <w:t>房屋所有权人</w:t>
            </w:r>
          </w:p>
        </w:tc>
        <w:tc>
          <w:tcPr>
            <w:tcW w:w="180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before="100" w:beforeAutospacing="0" w:line="300" w:lineRule="exact"/>
              <w:jc w:val="center"/>
              <w:textAlignment w:val="baseline"/>
              <w:outlineLvl w:val="9"/>
              <w:rPr>
                <w:rFonts w:hint="eastAsia" w:ascii="仿宋_GB2312" w:hAnsi="宋体" w:eastAsia="仿宋_GB2312" w:cs="宋体"/>
                <w:color w:val="auto"/>
                <w:sz w:val="24"/>
                <w:szCs w:val="24"/>
                <w:lang w:eastAsia="zh-CN"/>
              </w:rPr>
            </w:pPr>
            <w:r>
              <w:rPr>
                <w:rFonts w:hint="eastAsia" w:ascii="仿宋_GB2312" w:eastAsia="仿宋_GB2312"/>
                <w:color w:val="auto"/>
                <w:sz w:val="24"/>
                <w:szCs w:val="24"/>
                <w:lang w:eastAsia="zh-CN"/>
              </w:rPr>
              <w:t>李军</w:t>
            </w:r>
          </w:p>
        </w:tc>
        <w:tc>
          <w:tcPr>
            <w:tcW w:w="3345"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before="100" w:beforeAutospacing="0" w:line="300" w:lineRule="exact"/>
              <w:jc w:val="center"/>
              <w:textAlignment w:val="baseline"/>
              <w:outlineLvl w:val="9"/>
              <w:rPr>
                <w:rFonts w:ascii="仿宋_GB2312" w:hAnsi="宋体" w:eastAsia="仿宋_GB2312" w:cs="宋体"/>
                <w:color w:val="auto"/>
                <w:sz w:val="24"/>
                <w:szCs w:val="24"/>
              </w:rPr>
            </w:pPr>
            <w:r>
              <w:rPr>
                <w:rFonts w:hint="eastAsia" w:ascii="仿宋_GB2312" w:hAnsi="宋体" w:eastAsia="仿宋_GB2312" w:cs="宋体"/>
                <w:color w:val="auto"/>
                <w:sz w:val="24"/>
                <w:szCs w:val="24"/>
              </w:rPr>
              <w:t>身份证号</w:t>
            </w:r>
          </w:p>
        </w:tc>
        <w:tc>
          <w:tcPr>
            <w:tcW w:w="24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before="100" w:beforeAutospacing="0" w:line="300" w:lineRule="exact"/>
              <w:jc w:val="center"/>
              <w:textAlignment w:val="baseline"/>
              <w:outlineLvl w:val="9"/>
              <w:rPr>
                <w:rFonts w:hint="eastAsia" w:ascii="仿宋_GB2312" w:hAnsi="宋体" w:eastAsia="仿宋_GB2312" w:cs="宋体"/>
                <w:color w:val="auto"/>
                <w:sz w:val="24"/>
                <w:szCs w:val="24"/>
                <w:lang w:val="en-US" w:eastAsia="zh-CN"/>
              </w:rPr>
            </w:pPr>
            <w:r>
              <w:rPr>
                <w:rFonts w:hint="eastAsia" w:ascii="仿宋_GB2312" w:hAnsi="宋体" w:eastAsia="仿宋_GB2312" w:cs="宋体"/>
                <w:color w:val="auto"/>
                <w:sz w:val="24"/>
                <w:szCs w:val="24"/>
                <w:lang w:val="en-US" w:eastAsia="zh-CN"/>
              </w:rPr>
              <w:t>372331580918003</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jc w:val="center"/>
        </w:trPr>
        <w:tc>
          <w:tcPr>
            <w:tcW w:w="236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before="100" w:beforeAutospacing="0" w:line="300" w:lineRule="exact"/>
              <w:jc w:val="center"/>
              <w:textAlignment w:val="baseline"/>
              <w:outlineLvl w:val="9"/>
              <w:rPr>
                <w:rFonts w:ascii="仿宋_GB2312" w:hAnsi="宋体" w:eastAsia="仿宋_GB2312" w:cs="宋体"/>
                <w:color w:val="auto"/>
                <w:sz w:val="24"/>
                <w:szCs w:val="24"/>
              </w:rPr>
            </w:pPr>
            <w:r>
              <w:rPr>
                <w:rFonts w:hint="eastAsia" w:ascii="仿宋_GB2312" w:hAnsi="宋体" w:eastAsia="仿宋_GB2312" w:cs="宋体"/>
                <w:color w:val="auto"/>
                <w:sz w:val="24"/>
                <w:szCs w:val="24"/>
              </w:rPr>
              <w:t>结构</w:t>
            </w:r>
          </w:p>
        </w:tc>
        <w:tc>
          <w:tcPr>
            <w:tcW w:w="180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before="100" w:beforeAutospacing="0" w:line="300" w:lineRule="exact"/>
              <w:jc w:val="center"/>
              <w:textAlignment w:val="baseline"/>
              <w:outlineLvl w:val="9"/>
              <w:rPr>
                <w:rFonts w:hint="eastAsia" w:ascii="仿宋_GB2312" w:hAnsi="宋体" w:eastAsia="仿宋_GB2312" w:cs="宋体"/>
                <w:color w:val="auto"/>
                <w:sz w:val="24"/>
                <w:szCs w:val="24"/>
                <w:lang w:eastAsia="zh-CN"/>
              </w:rPr>
            </w:pPr>
            <w:r>
              <w:rPr>
                <w:rFonts w:hint="eastAsia" w:ascii="仿宋_GB2312" w:hAnsi="宋体" w:eastAsia="仿宋_GB2312" w:cs="宋体"/>
                <w:color w:val="auto"/>
                <w:sz w:val="24"/>
                <w:szCs w:val="24"/>
                <w:lang w:eastAsia="zh-CN"/>
              </w:rPr>
              <w:t>混合</w:t>
            </w:r>
          </w:p>
        </w:tc>
        <w:tc>
          <w:tcPr>
            <w:tcW w:w="3345"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before="100" w:beforeAutospacing="0" w:line="300" w:lineRule="exact"/>
              <w:jc w:val="center"/>
              <w:textAlignment w:val="baseline"/>
              <w:outlineLvl w:val="9"/>
              <w:rPr>
                <w:rFonts w:hint="eastAsia" w:ascii="仿宋_GB2312" w:hAnsi="宋体" w:eastAsia="仿宋_GB2312" w:cs="宋体"/>
                <w:color w:val="auto"/>
                <w:sz w:val="24"/>
                <w:szCs w:val="24"/>
                <w:lang w:val="en-US" w:eastAsia="zh-CN"/>
              </w:rPr>
            </w:pPr>
            <w:r>
              <w:rPr>
                <w:rFonts w:hint="eastAsia" w:ascii="仿宋_GB2312" w:hAnsi="宋体" w:eastAsia="仿宋_GB2312" w:cs="宋体"/>
                <w:color w:val="auto"/>
                <w:sz w:val="24"/>
                <w:szCs w:val="24"/>
                <w:lang w:eastAsia="zh-CN"/>
              </w:rPr>
              <w:t>房屋所在</w:t>
            </w:r>
            <w:r>
              <w:rPr>
                <w:rFonts w:hint="eastAsia" w:ascii="仿宋_GB2312" w:hAnsi="宋体" w:eastAsia="仿宋_GB2312" w:cs="宋体"/>
                <w:color w:val="auto"/>
                <w:sz w:val="24"/>
                <w:szCs w:val="24"/>
              </w:rPr>
              <w:t>楼层</w:t>
            </w:r>
            <w:r>
              <w:rPr>
                <w:rFonts w:hint="eastAsia" w:ascii="仿宋_GB2312" w:hAnsi="宋体" w:eastAsia="仿宋_GB2312" w:cs="宋体"/>
                <w:color w:val="auto"/>
                <w:sz w:val="24"/>
                <w:szCs w:val="24"/>
                <w:lang w:val="en-US" w:eastAsia="zh-CN"/>
              </w:rPr>
              <w:t>/房屋总楼层</w:t>
            </w:r>
          </w:p>
        </w:tc>
        <w:tc>
          <w:tcPr>
            <w:tcW w:w="24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before="100" w:beforeAutospacing="0" w:line="300" w:lineRule="exact"/>
              <w:jc w:val="center"/>
              <w:textAlignment w:val="baseline"/>
              <w:outlineLvl w:val="9"/>
              <w:rPr>
                <w:rFonts w:hint="eastAsia" w:ascii="仿宋_GB2312" w:hAnsi="宋体" w:eastAsia="仿宋_GB2312" w:cs="宋体"/>
                <w:color w:val="auto"/>
                <w:sz w:val="24"/>
                <w:szCs w:val="24"/>
                <w:lang w:val="en-US" w:eastAsia="zh-CN"/>
              </w:rPr>
            </w:pPr>
            <w:r>
              <w:rPr>
                <w:rFonts w:hint="eastAsia" w:ascii="仿宋_GB2312" w:hAnsi="宋体" w:eastAsia="仿宋_GB2312" w:cs="宋体"/>
                <w:color w:val="auto"/>
                <w:sz w:val="24"/>
                <w:szCs w:val="24"/>
                <w:lang w:val="en-US" w:eastAsia="zh-CN"/>
              </w:rPr>
              <w:t>1-3/3</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236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before="100" w:beforeAutospacing="0" w:line="300" w:lineRule="exact"/>
              <w:jc w:val="center"/>
              <w:textAlignment w:val="baseline"/>
              <w:outlineLvl w:val="9"/>
              <w:rPr>
                <w:rFonts w:ascii="仿宋_GB2312" w:hAnsi="宋体" w:eastAsia="仿宋_GB2312" w:cs="宋体"/>
                <w:color w:val="auto"/>
                <w:sz w:val="24"/>
                <w:szCs w:val="24"/>
              </w:rPr>
            </w:pPr>
            <w:r>
              <w:rPr>
                <w:rFonts w:hint="eastAsia" w:ascii="仿宋_GB2312" w:hAnsi="宋体" w:eastAsia="仿宋_GB2312" w:cs="宋体"/>
                <w:color w:val="auto"/>
                <w:sz w:val="24"/>
                <w:szCs w:val="24"/>
              </w:rPr>
              <w:t>建成年代</w:t>
            </w:r>
          </w:p>
        </w:tc>
        <w:tc>
          <w:tcPr>
            <w:tcW w:w="2588"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before="100" w:beforeAutospacing="0" w:line="300" w:lineRule="exact"/>
              <w:jc w:val="center"/>
              <w:textAlignment w:val="baseline"/>
              <w:outlineLvl w:val="9"/>
              <w:rPr>
                <w:rFonts w:hint="eastAsia" w:ascii="仿宋_GB2312" w:hAnsi="宋体" w:eastAsia="仿宋_GB2312" w:cs="宋体"/>
                <w:color w:val="auto"/>
                <w:sz w:val="24"/>
                <w:szCs w:val="24"/>
                <w:lang w:val="en-US" w:eastAsia="zh-CN"/>
              </w:rPr>
            </w:pPr>
            <w:r>
              <w:rPr>
                <w:rFonts w:hint="eastAsia" w:ascii="仿宋_GB2312" w:hAnsi="宋体" w:eastAsia="仿宋_GB2312" w:cs="宋体"/>
                <w:color w:val="auto"/>
                <w:sz w:val="24"/>
                <w:szCs w:val="24"/>
                <w:lang w:val="en-US" w:eastAsia="zh-CN"/>
              </w:rPr>
              <w:t>2000</w:t>
            </w:r>
          </w:p>
        </w:tc>
        <w:tc>
          <w:tcPr>
            <w:tcW w:w="256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beforeAutospacing="0" w:line="300" w:lineRule="exact"/>
              <w:jc w:val="center"/>
              <w:textAlignment w:val="baseline"/>
              <w:outlineLvl w:val="9"/>
              <w:rPr>
                <w:rFonts w:ascii="仿宋_GB2312" w:hAnsi="宋体" w:eastAsia="仿宋_GB2312" w:cs="宋体"/>
                <w:color w:val="auto"/>
                <w:sz w:val="24"/>
                <w:szCs w:val="24"/>
              </w:rPr>
            </w:pPr>
            <w:r>
              <w:rPr>
                <w:rFonts w:hint="eastAsia" w:ascii="仿宋_GB2312" w:eastAsia="仿宋_GB2312"/>
                <w:color w:val="auto"/>
                <w:sz w:val="24"/>
                <w:szCs w:val="24"/>
              </w:rPr>
              <w:t>规划用途</w:t>
            </w:r>
          </w:p>
        </w:tc>
        <w:tc>
          <w:tcPr>
            <w:tcW w:w="24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beforeAutospacing="0" w:line="300" w:lineRule="exact"/>
              <w:jc w:val="center"/>
              <w:textAlignment w:val="baseline"/>
              <w:outlineLvl w:val="9"/>
              <w:rPr>
                <w:rFonts w:hint="eastAsia" w:ascii="仿宋_GB2312" w:hAnsi="宋体" w:eastAsia="仿宋_GB2312" w:cs="宋体"/>
                <w:color w:val="auto"/>
                <w:sz w:val="24"/>
                <w:szCs w:val="24"/>
                <w:lang w:eastAsia="zh-CN"/>
              </w:rPr>
            </w:pPr>
            <w:r>
              <w:rPr>
                <w:rFonts w:hint="eastAsia" w:ascii="仿宋_GB2312" w:eastAsia="仿宋_GB2312"/>
                <w:color w:val="auto"/>
                <w:sz w:val="24"/>
                <w:szCs w:val="24"/>
                <w:lang w:eastAsia="zh-CN"/>
              </w:rPr>
              <w:t>商住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4952"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before="100" w:beforeAutospacing="0" w:line="300" w:lineRule="exact"/>
              <w:jc w:val="center"/>
              <w:textAlignment w:val="baseline"/>
              <w:outlineLvl w:val="9"/>
              <w:rPr>
                <w:rFonts w:hint="eastAsia" w:ascii="仿宋_GB2312" w:hAnsi="宋体" w:eastAsia="仿宋_GB2312" w:cs="宋体"/>
                <w:color w:val="auto"/>
                <w:sz w:val="24"/>
                <w:szCs w:val="24"/>
                <w:lang w:val="en-US" w:eastAsia="zh-CN"/>
              </w:rPr>
            </w:pPr>
            <w:r>
              <w:rPr>
                <w:rFonts w:hint="eastAsia" w:ascii="仿宋_GB2312" w:hAnsi="宋体" w:eastAsia="仿宋_GB2312" w:cs="宋体"/>
                <w:color w:val="auto"/>
                <w:sz w:val="24"/>
                <w:szCs w:val="24"/>
                <w:lang w:eastAsia="zh-CN"/>
              </w:rPr>
              <w:t>国有土地使用权证号</w:t>
            </w:r>
          </w:p>
        </w:tc>
        <w:tc>
          <w:tcPr>
            <w:tcW w:w="4999"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beforeAutospacing="0" w:line="300" w:lineRule="exact"/>
              <w:jc w:val="center"/>
              <w:textAlignment w:val="baseline"/>
              <w:outlineLvl w:val="9"/>
              <w:rPr>
                <w:rFonts w:hint="eastAsia" w:ascii="仿宋_GB2312" w:eastAsia="仿宋_GB2312"/>
                <w:color w:val="auto"/>
                <w:sz w:val="24"/>
                <w:szCs w:val="24"/>
                <w:lang w:eastAsia="zh-CN"/>
              </w:rPr>
            </w:pPr>
            <w:r>
              <w:rPr>
                <w:rFonts w:hint="eastAsia" w:ascii="仿宋_GB2312" w:hAnsi="宋体" w:eastAsia="仿宋_GB2312" w:cs="宋体"/>
                <w:color w:val="auto"/>
                <w:sz w:val="24"/>
                <w:szCs w:val="24"/>
                <w:lang w:val="en-US" w:eastAsia="zh-CN"/>
              </w:rPr>
              <w:t>高国用（2000）字第0030号</w:t>
            </w:r>
          </w:p>
        </w:tc>
      </w:tr>
    </w:tbl>
    <w:p>
      <w:pPr>
        <w:keepNext w:val="0"/>
        <w:keepLines w:val="0"/>
        <w:pageBreakBefore w:val="0"/>
        <w:tabs>
          <w:tab w:val="left" w:pos="7797"/>
        </w:tabs>
        <w:kinsoku/>
        <w:overflowPunct/>
        <w:topLinePunct w:val="0"/>
        <w:bidi w:val="0"/>
        <w:spacing w:line="540" w:lineRule="exact"/>
        <w:ind w:firstLine="562" w:firstLineChars="200"/>
        <w:rPr>
          <w:rFonts w:ascii="仿宋_GB2312" w:hAnsi="宋体" w:eastAsia="仿宋_GB2312"/>
          <w:color w:val="auto"/>
          <w:spacing w:val="0"/>
          <w:szCs w:val="28"/>
        </w:rPr>
      </w:pPr>
      <w:r>
        <w:rPr>
          <w:rFonts w:hint="eastAsia" w:ascii="仿宋_GB2312" w:hAnsi="宋体" w:eastAsia="仿宋_GB2312"/>
          <w:b/>
          <w:color w:val="auto"/>
          <w:spacing w:val="0"/>
          <w:szCs w:val="28"/>
          <w:shd w:val="clear" w:color="auto" w:fill="auto"/>
        </w:rPr>
        <w:t>估价目的</w:t>
      </w:r>
      <w:r>
        <w:rPr>
          <w:rFonts w:hint="eastAsia" w:ascii="仿宋_GB2312" w:hAnsi="宋体" w:eastAsia="仿宋_GB2312"/>
          <w:b/>
          <w:color w:val="auto"/>
          <w:spacing w:val="0"/>
          <w:szCs w:val="28"/>
          <w:lang w:eastAsia="zh-CN"/>
        </w:rPr>
        <w:t>：</w:t>
      </w:r>
      <w:r>
        <w:rPr>
          <w:rFonts w:hint="eastAsia" w:ascii="仿宋_GB2312" w:hAnsi="宋体" w:eastAsia="仿宋_GB2312"/>
          <w:color w:val="auto"/>
          <w:spacing w:val="0"/>
          <w:szCs w:val="28"/>
        </w:rPr>
        <w:t>为委托方执行涉及估价对象的司法裁决提供价值鉴定意见而评估房地产的市场价值。</w:t>
      </w:r>
    </w:p>
    <w:p>
      <w:pPr>
        <w:keepNext w:val="0"/>
        <w:keepLines w:val="0"/>
        <w:pageBreakBefore w:val="0"/>
        <w:tabs>
          <w:tab w:val="left" w:pos="7797"/>
        </w:tabs>
        <w:kinsoku/>
        <w:overflowPunct/>
        <w:topLinePunct w:val="0"/>
        <w:bidi w:val="0"/>
        <w:spacing w:line="540" w:lineRule="exact"/>
        <w:ind w:firstLine="562" w:firstLineChars="200"/>
        <w:rPr>
          <w:rFonts w:ascii="仿宋_GB2312" w:hAnsi="宋体" w:eastAsia="仿宋_GB2312"/>
          <w:color w:val="auto"/>
          <w:szCs w:val="28"/>
        </w:rPr>
      </w:pPr>
      <w:r>
        <w:rPr>
          <w:rFonts w:hint="eastAsia" w:ascii="仿宋_GB2312" w:hAnsi="宋体" w:eastAsia="仿宋_GB2312"/>
          <w:b/>
          <w:color w:val="auto"/>
          <w:spacing w:val="0"/>
          <w:szCs w:val="28"/>
          <w:shd w:val="clear" w:color="auto" w:fill="auto"/>
        </w:rPr>
        <w:t>价值时点</w:t>
      </w:r>
      <w:r>
        <w:rPr>
          <w:rFonts w:hint="eastAsia" w:ascii="仿宋_GB2312" w:hAnsi="宋体" w:eastAsia="仿宋_GB2312"/>
          <w:b/>
          <w:color w:val="auto"/>
          <w:spacing w:val="0"/>
          <w:szCs w:val="28"/>
          <w:lang w:eastAsia="zh-CN"/>
        </w:rPr>
        <w:t>：</w:t>
      </w:r>
      <w:r>
        <w:rPr>
          <w:rFonts w:hint="eastAsia" w:ascii="仿宋_GB2312" w:hAnsi="宋体" w:eastAsia="仿宋_GB2312"/>
          <w:color w:val="auto"/>
          <w:spacing w:val="0"/>
          <w:szCs w:val="28"/>
        </w:rPr>
        <w:t>经委托方同意，以估价师现场勘查日</w:t>
      </w:r>
      <w:r>
        <w:rPr>
          <w:rFonts w:hint="eastAsia" w:ascii="仿宋_GB2312" w:hAnsi="宋体" w:eastAsia="仿宋_GB2312"/>
          <w:color w:val="auto"/>
          <w:spacing w:val="0"/>
          <w:szCs w:val="28"/>
          <w:lang w:eastAsia="zh-CN"/>
        </w:rPr>
        <w:t>2019年1月24日</w:t>
      </w:r>
      <w:r>
        <w:rPr>
          <w:rFonts w:hint="eastAsia" w:ascii="仿宋_GB2312" w:hAnsi="宋体" w:eastAsia="仿宋_GB2312"/>
          <w:color w:val="auto"/>
          <w:spacing w:val="0"/>
          <w:szCs w:val="28"/>
        </w:rPr>
        <w:t>为价值时点。</w:t>
      </w:r>
    </w:p>
    <w:p>
      <w:pPr>
        <w:pStyle w:val="11"/>
        <w:keepNext w:val="0"/>
        <w:keepLines w:val="0"/>
        <w:pageBreakBefore w:val="0"/>
        <w:kinsoku/>
        <w:overflowPunct/>
        <w:topLinePunct w:val="0"/>
        <w:bidi w:val="0"/>
        <w:spacing w:after="0" w:line="540" w:lineRule="exact"/>
        <w:ind w:firstLine="562" w:firstLineChars="200"/>
        <w:rPr>
          <w:rFonts w:ascii="仿宋_GB2312" w:eastAsia="仿宋_GB2312"/>
          <w:color w:val="auto"/>
          <w:sz w:val="28"/>
          <w:szCs w:val="28"/>
        </w:rPr>
      </w:pPr>
      <w:r>
        <w:rPr>
          <w:rFonts w:hint="eastAsia" w:ascii="仿宋_GB2312" w:hAnsi="宋体" w:eastAsia="仿宋_GB2312"/>
          <w:b/>
          <w:color w:val="auto"/>
          <w:sz w:val="28"/>
          <w:szCs w:val="28"/>
          <w:shd w:val="clear" w:color="auto" w:fill="auto"/>
        </w:rPr>
        <w:t>价值定义</w:t>
      </w:r>
      <w:r>
        <w:rPr>
          <w:rFonts w:hint="eastAsia" w:ascii="仿宋_GB2312" w:eastAsia="仿宋_GB2312"/>
          <w:b/>
          <w:color w:val="auto"/>
          <w:lang w:eastAsia="zh-CN"/>
        </w:rPr>
        <w:t>：</w:t>
      </w:r>
      <w:r>
        <w:rPr>
          <w:rFonts w:hint="eastAsia" w:ascii="仿宋_GB2312" w:eastAsia="仿宋_GB2312"/>
          <w:color w:val="auto"/>
          <w:sz w:val="28"/>
          <w:szCs w:val="28"/>
        </w:rPr>
        <w:t>本次估价采用公开市场价值标准，市场价值是估价对象在</w:t>
      </w:r>
      <w:r>
        <w:rPr>
          <w:rFonts w:hint="eastAsia" w:ascii="仿宋_GB2312" w:eastAsia="仿宋_GB2312"/>
          <w:color w:val="auto"/>
          <w:sz w:val="28"/>
          <w:szCs w:val="28"/>
          <w:lang w:eastAsia="zh-CN"/>
        </w:rPr>
        <w:t>2019年1月24日</w:t>
      </w:r>
      <w:r>
        <w:rPr>
          <w:rFonts w:hint="eastAsia" w:ascii="仿宋_GB2312" w:eastAsia="仿宋_GB2312"/>
          <w:color w:val="auto"/>
          <w:sz w:val="28"/>
          <w:szCs w:val="28"/>
        </w:rPr>
        <w:t>，在满足本次估价的假设前提等特定条件下的客观合理价值；</w:t>
      </w:r>
    </w:p>
    <w:p>
      <w:pPr>
        <w:pStyle w:val="11"/>
        <w:keepNext w:val="0"/>
        <w:keepLines w:val="0"/>
        <w:pageBreakBefore w:val="0"/>
        <w:kinsoku/>
        <w:overflowPunct/>
        <w:topLinePunct w:val="0"/>
        <w:bidi w:val="0"/>
        <w:spacing w:after="0" w:line="540" w:lineRule="exact"/>
        <w:ind w:firstLine="560" w:firstLineChars="200"/>
        <w:rPr>
          <w:rFonts w:ascii="仿宋_GB2312" w:hAnsi="宋体" w:eastAsia="仿宋_GB2312"/>
          <w:color w:val="auto"/>
          <w:sz w:val="28"/>
          <w:szCs w:val="28"/>
        </w:rPr>
      </w:pPr>
      <w:r>
        <w:rPr>
          <w:rFonts w:hint="eastAsia" w:ascii="仿宋_GB2312" w:eastAsia="仿宋_GB2312"/>
          <w:color w:val="auto"/>
          <w:sz w:val="28"/>
          <w:szCs w:val="28"/>
        </w:rPr>
        <w:t>本次评估包含了</w:t>
      </w:r>
      <w:r>
        <w:rPr>
          <w:rFonts w:hint="eastAsia" w:ascii="仿宋_GB2312" w:eastAsia="仿宋_GB2312"/>
          <w:color w:val="auto"/>
          <w:sz w:val="28"/>
          <w:szCs w:val="28"/>
          <w:lang w:eastAsia="zh-CN"/>
        </w:rPr>
        <w:t>高青县中心路西侧一处商住房地产</w:t>
      </w:r>
      <w:r>
        <w:rPr>
          <w:rFonts w:hint="eastAsia" w:ascii="仿宋_GB2312" w:hAnsi="宋体" w:eastAsia="仿宋_GB2312"/>
          <w:color w:val="auto"/>
          <w:sz w:val="28"/>
          <w:szCs w:val="28"/>
        </w:rPr>
        <w:t>、附属设施及应分摊的土地使用权；</w:t>
      </w:r>
    </w:p>
    <w:p>
      <w:pPr>
        <w:pStyle w:val="11"/>
        <w:keepNext w:val="0"/>
        <w:keepLines w:val="0"/>
        <w:pageBreakBefore w:val="0"/>
        <w:kinsoku/>
        <w:overflowPunct/>
        <w:topLinePunct w:val="0"/>
        <w:bidi w:val="0"/>
        <w:spacing w:after="0" w:line="540" w:lineRule="exact"/>
        <w:ind w:firstLine="562" w:firstLineChars="200"/>
        <w:rPr>
          <w:rFonts w:ascii="仿宋_GB2312" w:eastAsia="仿宋_GB2312"/>
          <w:color w:val="auto"/>
          <w:sz w:val="28"/>
          <w:szCs w:val="28"/>
        </w:rPr>
      </w:pPr>
      <w:r>
        <w:rPr>
          <w:rFonts w:hint="eastAsia" w:ascii="仿宋_GB2312" w:hAnsi="宋体" w:eastAsia="仿宋_GB2312"/>
          <w:b/>
          <w:color w:val="auto"/>
          <w:sz w:val="28"/>
          <w:szCs w:val="28"/>
          <w:shd w:val="clear" w:color="auto" w:fill="auto"/>
        </w:rPr>
        <w:t>估价方法：</w:t>
      </w:r>
      <w:r>
        <w:rPr>
          <w:rFonts w:hint="eastAsia" w:ascii="仿宋_GB2312" w:eastAsia="仿宋_GB2312"/>
          <w:color w:val="auto"/>
          <w:sz w:val="28"/>
          <w:szCs w:val="28"/>
          <w:shd w:val="clear" w:color="auto" w:fill="auto"/>
        </w:rPr>
        <w:t>本</w:t>
      </w:r>
      <w:r>
        <w:rPr>
          <w:rFonts w:hint="eastAsia" w:ascii="仿宋_GB2312" w:eastAsia="仿宋_GB2312"/>
          <w:color w:val="auto"/>
          <w:sz w:val="28"/>
          <w:szCs w:val="28"/>
        </w:rPr>
        <w:t>次评估选用</w:t>
      </w:r>
      <w:r>
        <w:rPr>
          <w:rFonts w:hint="eastAsia" w:ascii="仿宋_GB2312" w:eastAsia="仿宋_GB2312"/>
          <w:color w:val="auto"/>
          <w:sz w:val="28"/>
          <w:szCs w:val="28"/>
          <w:lang w:eastAsia="zh-CN"/>
        </w:rPr>
        <w:t>市场</w:t>
      </w:r>
      <w:r>
        <w:rPr>
          <w:rFonts w:hint="eastAsia" w:ascii="仿宋_GB2312" w:eastAsia="仿宋_GB2312"/>
          <w:color w:val="auto"/>
          <w:sz w:val="28"/>
          <w:szCs w:val="28"/>
        </w:rPr>
        <w:t>比较法</w:t>
      </w:r>
      <w:r>
        <w:rPr>
          <w:rFonts w:hint="eastAsia" w:ascii="仿宋_GB2312" w:eastAsia="仿宋_GB2312"/>
          <w:color w:val="auto"/>
          <w:sz w:val="28"/>
          <w:szCs w:val="28"/>
          <w:lang w:eastAsia="zh-CN"/>
        </w:rPr>
        <w:t>和收益法</w:t>
      </w:r>
      <w:r>
        <w:rPr>
          <w:rFonts w:hint="eastAsia" w:ascii="仿宋_GB2312" w:eastAsia="仿宋_GB2312"/>
          <w:color w:val="auto"/>
          <w:sz w:val="28"/>
          <w:szCs w:val="28"/>
        </w:rPr>
        <w:t>。</w:t>
      </w:r>
    </w:p>
    <w:p>
      <w:pPr>
        <w:keepNext w:val="0"/>
        <w:keepLines w:val="0"/>
        <w:pageBreakBefore w:val="0"/>
        <w:kinsoku/>
        <w:overflowPunct/>
        <w:topLinePunct w:val="0"/>
        <w:autoSpaceDE w:val="0"/>
        <w:autoSpaceDN w:val="0"/>
        <w:bidi w:val="0"/>
        <w:spacing w:line="540" w:lineRule="exact"/>
        <w:ind w:firstLine="562" w:firstLineChars="200"/>
        <w:rPr>
          <w:rFonts w:hint="eastAsia" w:ascii="仿宋_GB2312" w:eastAsia="仿宋_GB2312"/>
          <w:color w:val="auto"/>
          <w:szCs w:val="28"/>
        </w:rPr>
      </w:pPr>
      <w:r>
        <w:rPr>
          <w:rFonts w:hint="eastAsia" w:ascii="仿宋_GB2312" w:hAnsi="宋体" w:eastAsia="仿宋_GB2312"/>
          <w:b/>
          <w:color w:val="auto"/>
          <w:spacing w:val="0"/>
          <w:szCs w:val="28"/>
          <w:shd w:val="clear" w:color="auto" w:fill="auto"/>
        </w:rPr>
        <w:t>估价结果</w:t>
      </w:r>
      <w:r>
        <w:rPr>
          <w:rFonts w:hint="eastAsia" w:ascii="仿宋_GB2312" w:hAnsi="宋体" w:eastAsia="仿宋_GB2312"/>
          <w:color w:val="auto"/>
          <w:spacing w:val="0"/>
          <w:szCs w:val="28"/>
          <w:lang w:eastAsia="zh-CN"/>
        </w:rPr>
        <w:t>：</w:t>
      </w:r>
      <w:r>
        <w:rPr>
          <w:rFonts w:hint="eastAsia" w:ascii="仿宋_GB2312" w:hAnsi="宋体" w:eastAsia="仿宋_GB2312"/>
          <w:color w:val="auto"/>
          <w:spacing w:val="0"/>
          <w:szCs w:val="28"/>
        </w:rPr>
        <w:t>估价对象</w:t>
      </w:r>
      <w:r>
        <w:rPr>
          <w:rFonts w:hint="eastAsia" w:ascii="仿宋_GB2312" w:hAnsi="宋体" w:eastAsia="仿宋_GB2312"/>
          <w:color w:val="auto"/>
          <w:spacing w:val="0"/>
          <w:szCs w:val="28"/>
          <w:lang w:eastAsia="zh-CN"/>
        </w:rPr>
        <w:t>在</w:t>
      </w:r>
      <w:r>
        <w:rPr>
          <w:rFonts w:hint="eastAsia" w:ascii="仿宋_GB2312" w:hAnsi="宋体" w:eastAsia="仿宋_GB2312"/>
          <w:color w:val="auto"/>
          <w:spacing w:val="0"/>
          <w:szCs w:val="28"/>
        </w:rPr>
        <w:t>价值时点的</w:t>
      </w:r>
      <w:r>
        <w:rPr>
          <w:rFonts w:hint="eastAsia" w:ascii="仿宋_GB2312" w:eastAsia="仿宋_GB2312"/>
          <w:color w:val="auto"/>
          <w:szCs w:val="28"/>
        </w:rPr>
        <w:t>房地产评估</w:t>
      </w:r>
      <w:r>
        <w:rPr>
          <w:rFonts w:hint="eastAsia" w:ascii="仿宋_GB2312" w:eastAsia="仿宋_GB2312"/>
          <w:color w:val="auto"/>
          <w:szCs w:val="28"/>
          <w:lang w:eastAsia="zh-CN"/>
        </w:rPr>
        <w:t>总</w:t>
      </w:r>
      <w:r>
        <w:rPr>
          <w:rFonts w:hint="eastAsia" w:ascii="仿宋_GB2312" w:eastAsia="仿宋_GB2312"/>
          <w:color w:val="auto"/>
          <w:szCs w:val="28"/>
        </w:rPr>
        <w:t>价值为</w:t>
      </w:r>
      <w:r>
        <w:rPr>
          <w:rFonts w:hint="eastAsia" w:ascii="仿宋_GB2312" w:eastAsia="仿宋_GB2312"/>
          <w:color w:val="auto"/>
          <w:szCs w:val="28"/>
          <w:lang w:val="en-US" w:eastAsia="zh-CN"/>
        </w:rPr>
        <w:t>255.56</w:t>
      </w:r>
      <w:r>
        <w:rPr>
          <w:rFonts w:hint="eastAsia" w:ascii="仿宋_GB2312" w:eastAsia="仿宋_GB2312"/>
          <w:color w:val="auto"/>
          <w:szCs w:val="28"/>
        </w:rPr>
        <w:t>万元，大写金额为人民币</w:t>
      </w:r>
      <w:r>
        <w:rPr>
          <w:rFonts w:hint="eastAsia" w:ascii="仿宋_GB2312" w:eastAsia="仿宋_GB2312"/>
          <w:color w:val="auto"/>
          <w:szCs w:val="28"/>
        </w:rPr>
        <w:fldChar w:fldCharType="begin"/>
      </w:r>
      <w:r>
        <w:rPr>
          <w:rFonts w:hint="eastAsia" w:ascii="仿宋_GB2312" w:eastAsia="仿宋_GB2312"/>
          <w:color w:val="auto"/>
          <w:szCs w:val="28"/>
        </w:rPr>
        <w:instrText xml:space="preserve"> = 2555600 \* CHINESENUM2 \* MERGEFORMAT </w:instrText>
      </w:r>
      <w:r>
        <w:rPr>
          <w:rFonts w:hint="eastAsia" w:ascii="仿宋_GB2312" w:eastAsia="仿宋_GB2312"/>
          <w:color w:val="auto"/>
          <w:szCs w:val="28"/>
        </w:rPr>
        <w:fldChar w:fldCharType="separate"/>
      </w:r>
      <w:r>
        <w:rPr>
          <w:rFonts w:hint="eastAsia" w:ascii="仿宋_GB2312" w:eastAsia="仿宋_GB2312"/>
          <w:color w:val="auto"/>
          <w:szCs w:val="28"/>
        </w:rPr>
        <w:t>贰佰伍拾伍万伍仟陆佰</w:t>
      </w:r>
      <w:r>
        <w:rPr>
          <w:rFonts w:hint="eastAsia" w:ascii="仿宋_GB2312" w:eastAsia="仿宋_GB2312"/>
          <w:color w:val="auto"/>
          <w:szCs w:val="28"/>
        </w:rPr>
        <w:fldChar w:fldCharType="end"/>
      </w:r>
      <w:r>
        <w:rPr>
          <w:rFonts w:hint="eastAsia" w:ascii="仿宋_GB2312" w:eastAsia="仿宋_GB2312"/>
          <w:color w:val="auto"/>
          <w:szCs w:val="28"/>
        </w:rPr>
        <w:t>元整。</w:t>
      </w:r>
    </w:p>
    <w:p>
      <w:pPr>
        <w:keepNext w:val="0"/>
        <w:keepLines w:val="0"/>
        <w:pageBreakBefore w:val="0"/>
        <w:kinsoku/>
        <w:overflowPunct/>
        <w:topLinePunct w:val="0"/>
        <w:autoSpaceDE w:val="0"/>
        <w:autoSpaceDN w:val="0"/>
        <w:bidi w:val="0"/>
        <w:spacing w:line="540" w:lineRule="exact"/>
        <w:ind w:firstLine="600" w:firstLineChars="200"/>
        <w:rPr>
          <w:rFonts w:ascii="仿宋_GB2312" w:hAnsi="宋体" w:eastAsia="仿宋_GB2312"/>
          <w:color w:val="auto"/>
          <w:spacing w:val="0"/>
          <w:sz w:val="24"/>
          <w:szCs w:val="24"/>
        </w:rPr>
      </w:pPr>
      <w:r>
        <w:rPr>
          <w:rFonts w:ascii="仿宋_GB2312" w:eastAsia="仿宋_GB2312"/>
          <w:color w:val="auto"/>
          <w:szCs w:val="28"/>
        </w:rPr>
        <w:t>以上内容摘</w:t>
      </w:r>
      <w:r>
        <w:rPr>
          <w:rFonts w:hint="eastAsia" w:ascii="仿宋_GB2312" w:hAnsi="宋体" w:eastAsia="仿宋_GB2312"/>
          <w:color w:val="auto"/>
          <w:spacing w:val="0"/>
          <w:sz w:val="24"/>
          <w:szCs w:val="24"/>
        </w:rPr>
        <w:t>[</w:t>
      </w:r>
      <w:r>
        <w:rPr>
          <w:rFonts w:hint="eastAsia" w:ascii="仿宋_GB2312" w:hAnsi="宋体" w:eastAsia="仿宋_GB2312"/>
          <w:color w:val="auto"/>
          <w:spacing w:val="0"/>
          <w:szCs w:val="28"/>
        </w:rPr>
        <w:t>201</w:t>
      </w:r>
      <w:r>
        <w:rPr>
          <w:rFonts w:hint="eastAsia" w:ascii="仿宋_GB2312" w:hAnsi="宋体" w:eastAsia="仿宋_GB2312"/>
          <w:color w:val="auto"/>
          <w:spacing w:val="0"/>
          <w:szCs w:val="28"/>
          <w:lang w:val="en-US" w:eastAsia="zh-CN"/>
        </w:rPr>
        <w:t>9</w:t>
      </w:r>
      <w:r>
        <w:rPr>
          <w:rFonts w:hint="eastAsia" w:ascii="仿宋_GB2312" w:hAnsi="宋体" w:eastAsia="仿宋_GB2312"/>
          <w:color w:val="auto"/>
          <w:spacing w:val="0"/>
          <w:szCs w:val="28"/>
        </w:rPr>
        <w:t>]明嘉正德</w:t>
      </w:r>
      <w:r>
        <w:rPr>
          <w:rFonts w:hint="eastAsia" w:ascii="仿宋_GB2312" w:hAnsi="宋体" w:eastAsia="仿宋_GB2312"/>
          <w:color w:val="auto"/>
          <w:spacing w:val="0"/>
          <w:szCs w:val="28"/>
          <w:lang w:eastAsia="zh-CN"/>
        </w:rPr>
        <w:t>第</w:t>
      </w:r>
      <w:r>
        <w:rPr>
          <w:rFonts w:hint="eastAsia" w:ascii="仿宋_GB2312" w:hAnsi="宋体" w:eastAsia="仿宋_GB2312"/>
          <w:color w:val="auto"/>
          <w:spacing w:val="0"/>
          <w:szCs w:val="28"/>
        </w:rPr>
        <w:t>（</w:t>
      </w:r>
      <w:r>
        <w:rPr>
          <w:rFonts w:hint="eastAsia" w:ascii="仿宋_GB2312" w:hAnsi="宋体" w:eastAsia="仿宋_GB2312"/>
          <w:color w:val="auto"/>
          <w:spacing w:val="0"/>
          <w:szCs w:val="28"/>
          <w:lang w:val="en-US" w:eastAsia="zh-CN"/>
        </w:rPr>
        <w:t>C005</w:t>
      </w:r>
      <w:r>
        <w:rPr>
          <w:rFonts w:hint="eastAsia" w:ascii="仿宋_GB2312" w:hAnsi="宋体" w:eastAsia="仿宋_GB2312"/>
          <w:color w:val="auto"/>
          <w:spacing w:val="0"/>
          <w:szCs w:val="28"/>
        </w:rPr>
        <w:t>）号估价报告</w:t>
      </w:r>
    </w:p>
    <w:p>
      <w:pPr>
        <w:keepNext w:val="0"/>
        <w:keepLines w:val="0"/>
        <w:pageBreakBefore w:val="0"/>
        <w:tabs>
          <w:tab w:val="left" w:pos="3234"/>
          <w:tab w:val="left" w:pos="7797"/>
        </w:tabs>
        <w:kinsoku/>
        <w:overflowPunct/>
        <w:topLinePunct w:val="0"/>
        <w:bidi w:val="0"/>
        <w:spacing w:line="540" w:lineRule="exact"/>
        <w:ind w:firstLine="600" w:firstLineChars="200"/>
        <w:rPr>
          <w:rFonts w:ascii="仿宋_GB2312" w:eastAsia="仿宋_GB2312"/>
          <w:color w:val="auto"/>
          <w:szCs w:val="28"/>
        </w:rPr>
      </w:pPr>
    </w:p>
    <w:p>
      <w:pPr>
        <w:keepNext w:val="0"/>
        <w:keepLines w:val="0"/>
        <w:pageBreakBefore w:val="0"/>
        <w:tabs>
          <w:tab w:val="left" w:pos="3234"/>
          <w:tab w:val="left" w:pos="7797"/>
        </w:tabs>
        <w:kinsoku/>
        <w:overflowPunct/>
        <w:topLinePunct w:val="0"/>
        <w:bidi w:val="0"/>
        <w:spacing w:line="540" w:lineRule="exact"/>
        <w:ind w:firstLine="2520" w:firstLineChars="900"/>
        <w:jc w:val="right"/>
        <w:rPr>
          <w:rFonts w:hint="eastAsia" w:ascii="仿宋_GB2312" w:hAnsi="宋体" w:eastAsia="仿宋_GB2312"/>
          <w:color w:val="auto"/>
          <w:spacing w:val="0"/>
          <w:szCs w:val="28"/>
        </w:rPr>
      </w:pPr>
    </w:p>
    <w:p>
      <w:pPr>
        <w:keepNext w:val="0"/>
        <w:keepLines w:val="0"/>
        <w:pageBreakBefore w:val="0"/>
        <w:tabs>
          <w:tab w:val="left" w:pos="3234"/>
          <w:tab w:val="left" w:pos="7797"/>
        </w:tabs>
        <w:kinsoku/>
        <w:overflowPunct/>
        <w:topLinePunct w:val="0"/>
        <w:bidi w:val="0"/>
        <w:spacing w:line="540" w:lineRule="exact"/>
        <w:ind w:firstLine="2520" w:firstLineChars="900"/>
        <w:jc w:val="right"/>
        <w:rPr>
          <w:rFonts w:hint="eastAsia" w:ascii="仿宋_GB2312" w:hAnsi="宋体" w:eastAsia="仿宋_GB2312"/>
          <w:color w:val="auto"/>
          <w:spacing w:val="0"/>
          <w:szCs w:val="28"/>
        </w:rPr>
      </w:pPr>
      <w:r>
        <w:rPr>
          <w:rFonts w:hint="eastAsia" w:ascii="仿宋_GB2312" w:hAnsi="宋体" w:eastAsia="仿宋_GB2312"/>
          <w:color w:val="auto"/>
          <w:spacing w:val="0"/>
          <w:szCs w:val="28"/>
        </w:rPr>
        <w:t>山东明嘉正德土地房地产评估有限公司</w:t>
      </w:r>
    </w:p>
    <w:p>
      <w:pPr>
        <w:keepNext w:val="0"/>
        <w:keepLines w:val="0"/>
        <w:pageBreakBefore w:val="0"/>
        <w:tabs>
          <w:tab w:val="left" w:pos="3234"/>
          <w:tab w:val="left" w:pos="7797"/>
        </w:tabs>
        <w:kinsoku/>
        <w:overflowPunct/>
        <w:topLinePunct w:val="0"/>
        <w:bidi w:val="0"/>
        <w:spacing w:line="540" w:lineRule="exact"/>
        <w:ind w:firstLine="2520" w:firstLineChars="900"/>
        <w:jc w:val="right"/>
        <w:rPr>
          <w:rFonts w:hint="eastAsia" w:ascii="仿宋_GB2312" w:hAnsi="宋体" w:eastAsia="仿宋_GB2312"/>
          <w:color w:val="auto"/>
          <w:spacing w:val="0"/>
          <w:szCs w:val="28"/>
        </w:rPr>
      </w:pPr>
      <w:r>
        <w:rPr>
          <w:rFonts w:hint="eastAsia" w:ascii="仿宋_GB2312" w:hAnsi="宋体" w:eastAsia="仿宋_GB2312"/>
          <w:color w:val="auto"/>
          <w:spacing w:val="0"/>
          <w:szCs w:val="28"/>
        </w:rPr>
        <w:t>法定代表人签章</w:t>
      </w:r>
    </w:p>
    <w:p>
      <w:pPr>
        <w:keepNext w:val="0"/>
        <w:keepLines w:val="0"/>
        <w:pageBreakBefore w:val="0"/>
        <w:tabs>
          <w:tab w:val="left" w:pos="3234"/>
          <w:tab w:val="left" w:pos="7797"/>
        </w:tabs>
        <w:kinsoku/>
        <w:overflowPunct/>
        <w:topLinePunct w:val="0"/>
        <w:bidi w:val="0"/>
        <w:spacing w:line="540" w:lineRule="exact"/>
        <w:ind w:firstLine="2520" w:firstLineChars="900"/>
        <w:jc w:val="right"/>
        <w:rPr>
          <w:rFonts w:hint="eastAsia" w:ascii="仿宋_GB2312" w:hAnsi="宋体" w:eastAsia="仿宋_GB2312"/>
          <w:color w:val="auto"/>
          <w:spacing w:val="0"/>
          <w:szCs w:val="28"/>
          <w:lang w:eastAsia="zh-CN"/>
        </w:rPr>
      </w:pPr>
      <w:r>
        <w:rPr>
          <w:rFonts w:hint="eastAsia" w:ascii="仿宋_GB2312" w:hAnsi="宋体" w:eastAsia="仿宋_GB2312"/>
          <w:color w:val="auto"/>
          <w:spacing w:val="0"/>
          <w:szCs w:val="28"/>
          <w:lang w:eastAsia="zh-CN"/>
        </w:rPr>
        <w:t>二零一九年一月二十八日</w:t>
      </w:r>
    </w:p>
    <w:p>
      <w:pPr>
        <w:keepNext w:val="0"/>
        <w:keepLines w:val="0"/>
        <w:pageBreakBefore w:val="0"/>
        <w:kinsoku/>
        <w:overflowPunct/>
        <w:topLinePunct w:val="0"/>
        <w:bidi w:val="0"/>
        <w:spacing w:beforeLines="50" w:line="540" w:lineRule="exact"/>
        <w:jc w:val="center"/>
        <w:rPr>
          <w:rFonts w:hint="eastAsia" w:ascii="仿宋_GB2312" w:eastAsia="仿宋_GB2312"/>
          <w:b/>
          <w:color w:val="auto"/>
          <w:sz w:val="44"/>
          <w:szCs w:val="44"/>
        </w:rPr>
      </w:pPr>
    </w:p>
    <w:p>
      <w:pPr>
        <w:keepNext w:val="0"/>
        <w:keepLines w:val="0"/>
        <w:pageBreakBefore w:val="0"/>
        <w:kinsoku/>
        <w:overflowPunct/>
        <w:topLinePunct w:val="0"/>
        <w:bidi w:val="0"/>
        <w:spacing w:beforeLines="50" w:line="540" w:lineRule="exact"/>
        <w:jc w:val="center"/>
        <w:rPr>
          <w:rFonts w:hint="eastAsia" w:ascii="仿宋_GB2312" w:eastAsia="仿宋_GB2312"/>
          <w:b/>
          <w:color w:val="auto"/>
          <w:sz w:val="44"/>
          <w:szCs w:val="44"/>
        </w:rPr>
      </w:pPr>
    </w:p>
    <w:p>
      <w:pPr>
        <w:keepNext w:val="0"/>
        <w:keepLines w:val="0"/>
        <w:pageBreakBefore w:val="0"/>
        <w:kinsoku/>
        <w:overflowPunct/>
        <w:topLinePunct w:val="0"/>
        <w:bidi w:val="0"/>
        <w:spacing w:beforeLines="50" w:line="540" w:lineRule="exact"/>
        <w:jc w:val="center"/>
        <w:rPr>
          <w:rFonts w:hint="eastAsia" w:ascii="仿宋_GB2312" w:eastAsia="仿宋_GB2312"/>
          <w:b/>
          <w:color w:val="auto"/>
          <w:sz w:val="44"/>
          <w:szCs w:val="44"/>
        </w:rPr>
      </w:pPr>
    </w:p>
    <w:p>
      <w:pPr>
        <w:keepNext w:val="0"/>
        <w:keepLines w:val="0"/>
        <w:pageBreakBefore w:val="0"/>
        <w:kinsoku/>
        <w:overflowPunct/>
        <w:topLinePunct w:val="0"/>
        <w:bidi w:val="0"/>
        <w:spacing w:beforeLines="50" w:line="540" w:lineRule="exact"/>
        <w:jc w:val="center"/>
        <w:rPr>
          <w:rFonts w:hint="eastAsia" w:ascii="仿宋_GB2312" w:eastAsia="仿宋_GB2312"/>
          <w:b/>
          <w:color w:val="auto"/>
          <w:sz w:val="44"/>
          <w:szCs w:val="44"/>
        </w:rPr>
      </w:pPr>
    </w:p>
    <w:p>
      <w:pPr>
        <w:keepNext w:val="0"/>
        <w:keepLines w:val="0"/>
        <w:pageBreakBefore w:val="0"/>
        <w:kinsoku/>
        <w:overflowPunct/>
        <w:topLinePunct w:val="0"/>
        <w:bidi w:val="0"/>
        <w:spacing w:beforeLines="50" w:line="360" w:lineRule="auto"/>
        <w:jc w:val="both"/>
        <w:rPr>
          <w:rFonts w:hint="eastAsia" w:asciiTheme="minorEastAsia" w:hAnsiTheme="minorEastAsia" w:eastAsiaTheme="minorEastAsia" w:cstheme="minorEastAsia"/>
          <w:b/>
          <w:color w:val="auto"/>
          <w:sz w:val="44"/>
          <w:szCs w:val="44"/>
        </w:rPr>
      </w:pPr>
    </w:p>
    <w:p>
      <w:pPr>
        <w:keepNext w:val="0"/>
        <w:keepLines w:val="0"/>
        <w:pageBreakBefore w:val="0"/>
        <w:kinsoku/>
        <w:overflowPunct/>
        <w:topLinePunct w:val="0"/>
        <w:bidi w:val="0"/>
        <w:spacing w:beforeLines="50" w:line="360" w:lineRule="auto"/>
        <w:jc w:val="both"/>
        <w:rPr>
          <w:rFonts w:hint="eastAsia" w:asciiTheme="minorEastAsia" w:hAnsiTheme="minorEastAsia" w:eastAsiaTheme="minorEastAsia" w:cstheme="minorEastAsia"/>
          <w:b/>
          <w:color w:val="auto"/>
          <w:sz w:val="44"/>
          <w:szCs w:val="44"/>
        </w:rPr>
      </w:pPr>
    </w:p>
    <w:p>
      <w:pPr>
        <w:keepNext w:val="0"/>
        <w:keepLines w:val="0"/>
        <w:pageBreakBefore w:val="0"/>
        <w:kinsoku/>
        <w:overflowPunct/>
        <w:topLinePunct w:val="0"/>
        <w:bidi w:val="0"/>
        <w:spacing w:beforeLines="50" w:line="360" w:lineRule="auto"/>
        <w:jc w:val="both"/>
        <w:rPr>
          <w:rFonts w:hint="eastAsia" w:asciiTheme="minorEastAsia" w:hAnsiTheme="minorEastAsia" w:eastAsiaTheme="minorEastAsia" w:cstheme="minorEastAsia"/>
          <w:b/>
          <w:color w:val="auto"/>
          <w:sz w:val="44"/>
          <w:szCs w:val="44"/>
        </w:rPr>
      </w:pPr>
    </w:p>
    <w:p>
      <w:pPr>
        <w:keepNext w:val="0"/>
        <w:keepLines w:val="0"/>
        <w:pageBreakBefore w:val="0"/>
        <w:kinsoku/>
        <w:overflowPunct/>
        <w:topLinePunct w:val="0"/>
        <w:bidi w:val="0"/>
        <w:spacing w:beforeLines="50" w:line="360" w:lineRule="auto"/>
        <w:jc w:val="both"/>
        <w:rPr>
          <w:rFonts w:hint="eastAsia" w:asciiTheme="minorEastAsia" w:hAnsiTheme="minorEastAsia" w:eastAsiaTheme="minorEastAsia" w:cstheme="minorEastAsia"/>
          <w:b/>
          <w:color w:val="auto"/>
          <w:sz w:val="44"/>
          <w:szCs w:val="44"/>
        </w:rPr>
      </w:pPr>
    </w:p>
    <w:p>
      <w:pPr>
        <w:keepNext w:val="0"/>
        <w:keepLines w:val="0"/>
        <w:pageBreakBefore w:val="0"/>
        <w:kinsoku/>
        <w:overflowPunct/>
        <w:topLinePunct w:val="0"/>
        <w:bidi w:val="0"/>
        <w:spacing w:beforeLines="50" w:line="360" w:lineRule="auto"/>
        <w:jc w:val="both"/>
        <w:rPr>
          <w:rFonts w:hint="eastAsia" w:asciiTheme="minorEastAsia" w:hAnsiTheme="minorEastAsia" w:eastAsiaTheme="minorEastAsia" w:cstheme="minorEastAsia"/>
          <w:b/>
          <w:color w:val="auto"/>
          <w:sz w:val="44"/>
          <w:szCs w:val="44"/>
        </w:rPr>
      </w:pPr>
    </w:p>
    <w:p>
      <w:pPr>
        <w:keepNext w:val="0"/>
        <w:keepLines w:val="0"/>
        <w:pageBreakBefore w:val="0"/>
        <w:kinsoku/>
        <w:overflowPunct/>
        <w:topLinePunct w:val="0"/>
        <w:bidi w:val="0"/>
        <w:spacing w:beforeLines="50" w:line="360" w:lineRule="auto"/>
        <w:ind w:firstLine="702" w:firstLineChars="152"/>
        <w:jc w:val="center"/>
        <w:rPr>
          <w:rFonts w:hint="eastAsia" w:ascii="仿宋_GB2312" w:hAnsi="Times New Roman" w:eastAsia="仿宋_GB2312" w:cs="Times New Roman"/>
          <w:color w:val="auto"/>
          <w:spacing w:val="10"/>
          <w:kern w:val="2"/>
          <w:sz w:val="28"/>
          <w:lang w:val="en-US" w:eastAsia="zh-CN" w:bidi="ar-SA"/>
        </w:rPr>
      </w:pPr>
      <w:r>
        <w:rPr>
          <w:rFonts w:hint="eastAsia" w:asciiTheme="minorEastAsia" w:hAnsiTheme="minorEastAsia" w:eastAsiaTheme="minorEastAsia" w:cstheme="minorEastAsia"/>
          <w:b/>
          <w:color w:val="auto"/>
          <w:sz w:val="44"/>
          <w:szCs w:val="44"/>
        </w:rPr>
        <w:t>目     录</w:t>
      </w:r>
      <w:bookmarkEnd w:id="1"/>
      <w:r>
        <w:rPr>
          <w:rFonts w:hint="eastAsia" w:ascii="仿宋_GB2312" w:eastAsia="仿宋_GB2312"/>
          <w:color w:val="auto"/>
          <w:szCs w:val="28"/>
        </w:rPr>
        <w:fldChar w:fldCharType="begin"/>
      </w:r>
      <w:r>
        <w:rPr>
          <w:rFonts w:hint="eastAsia" w:ascii="仿宋_GB2312" w:eastAsia="仿宋_GB2312"/>
          <w:color w:val="auto"/>
          <w:szCs w:val="28"/>
        </w:rPr>
        <w:instrText xml:space="preserve"> TOC \o "1-3" \h \z \u </w:instrText>
      </w:r>
      <w:r>
        <w:rPr>
          <w:rFonts w:hint="eastAsia" w:ascii="仿宋_GB2312" w:eastAsia="仿宋_GB2312"/>
          <w:color w:val="auto"/>
          <w:szCs w:val="28"/>
        </w:rPr>
        <w:fldChar w:fldCharType="separate"/>
      </w:r>
    </w:p>
    <w:p>
      <w:pPr>
        <w:pStyle w:val="23"/>
        <w:tabs>
          <w:tab w:val="right" w:leader="dot" w:pos="8220"/>
          <w:tab w:val="clear" w:pos="8210"/>
        </w:tabs>
        <w:spacing w:line="360" w:lineRule="auto"/>
        <w:rPr>
          <w:rFonts w:hint="eastAsia" w:asciiTheme="minorEastAsia" w:hAnsiTheme="minorEastAsia" w:eastAsiaTheme="minorEastAsia" w:cstheme="minorEastAsia"/>
          <w:b w:val="0"/>
          <w:bCs w:val="0"/>
          <w:color w:val="auto"/>
        </w:rPr>
      </w:pPr>
      <w:r>
        <w:rPr>
          <w:rFonts w:hint="eastAsia" w:asciiTheme="minorEastAsia" w:hAnsiTheme="minorEastAsia" w:eastAsiaTheme="minorEastAsia" w:cstheme="minorEastAsia"/>
          <w:b w:val="0"/>
          <w:bCs w:val="0"/>
          <w:color w:val="auto"/>
        </w:rPr>
        <w:fldChar w:fldCharType="begin"/>
      </w:r>
      <w:r>
        <w:rPr>
          <w:rFonts w:hint="eastAsia" w:asciiTheme="minorEastAsia" w:hAnsiTheme="minorEastAsia" w:eastAsiaTheme="minorEastAsia" w:cstheme="minorEastAsia"/>
          <w:b w:val="0"/>
          <w:bCs w:val="0"/>
          <w:color w:val="auto"/>
        </w:rPr>
        <w:instrText xml:space="preserve"> HYPERLINK \l _Toc26251 </w:instrText>
      </w:r>
      <w:r>
        <w:rPr>
          <w:rFonts w:hint="eastAsia" w:asciiTheme="minorEastAsia" w:hAnsiTheme="minorEastAsia" w:eastAsiaTheme="minorEastAsia" w:cstheme="minorEastAsia"/>
          <w:b w:val="0"/>
          <w:bCs w:val="0"/>
          <w:color w:val="auto"/>
        </w:rPr>
        <w:fldChar w:fldCharType="separate"/>
      </w:r>
      <w:r>
        <w:rPr>
          <w:rFonts w:hint="eastAsia" w:asciiTheme="minorEastAsia" w:hAnsiTheme="minorEastAsia" w:eastAsiaTheme="minorEastAsia" w:cstheme="minorEastAsia"/>
          <w:b w:val="0"/>
          <w:bCs w:val="0"/>
          <w:color w:val="auto"/>
          <w:lang w:eastAsia="zh-CN"/>
        </w:rPr>
        <w:t>一、估价师声明</w:t>
      </w:r>
      <w:r>
        <w:rPr>
          <w:rFonts w:hint="eastAsia" w:asciiTheme="minorEastAsia" w:hAnsiTheme="minorEastAsia" w:eastAsiaTheme="minorEastAsia" w:cstheme="minorEastAsia"/>
          <w:b w:val="0"/>
          <w:bCs w:val="0"/>
          <w:color w:val="auto"/>
        </w:rPr>
        <w:tab/>
      </w:r>
      <w:r>
        <w:rPr>
          <w:rFonts w:hint="eastAsia" w:asciiTheme="minorEastAsia" w:hAnsiTheme="minorEastAsia" w:eastAsiaTheme="minorEastAsia" w:cstheme="minorEastAsia"/>
          <w:b w:val="0"/>
          <w:bCs w:val="0"/>
          <w:color w:val="auto"/>
        </w:rPr>
        <w:fldChar w:fldCharType="begin"/>
      </w:r>
      <w:r>
        <w:rPr>
          <w:rFonts w:hint="eastAsia" w:asciiTheme="minorEastAsia" w:hAnsiTheme="minorEastAsia" w:eastAsiaTheme="minorEastAsia" w:cstheme="minorEastAsia"/>
          <w:b w:val="0"/>
          <w:bCs w:val="0"/>
          <w:color w:val="auto"/>
        </w:rPr>
        <w:instrText xml:space="preserve"> PAGEREF _Toc26251 </w:instrText>
      </w:r>
      <w:r>
        <w:rPr>
          <w:rFonts w:hint="eastAsia" w:asciiTheme="minorEastAsia" w:hAnsiTheme="minorEastAsia" w:eastAsiaTheme="minorEastAsia" w:cstheme="minorEastAsia"/>
          <w:b w:val="0"/>
          <w:bCs w:val="0"/>
          <w:color w:val="auto"/>
        </w:rPr>
        <w:fldChar w:fldCharType="separate"/>
      </w:r>
      <w:r>
        <w:rPr>
          <w:rFonts w:hint="eastAsia" w:asciiTheme="minorEastAsia" w:hAnsiTheme="minorEastAsia" w:eastAsiaTheme="minorEastAsia" w:cstheme="minorEastAsia"/>
          <w:b w:val="0"/>
          <w:bCs w:val="0"/>
          <w:color w:val="auto"/>
        </w:rPr>
        <w:t>5</w:t>
      </w:r>
      <w:r>
        <w:rPr>
          <w:rFonts w:hint="eastAsia" w:asciiTheme="minorEastAsia" w:hAnsiTheme="minorEastAsia" w:eastAsiaTheme="minorEastAsia" w:cstheme="minorEastAsia"/>
          <w:b w:val="0"/>
          <w:bCs w:val="0"/>
          <w:color w:val="auto"/>
        </w:rPr>
        <w:fldChar w:fldCharType="end"/>
      </w:r>
      <w:r>
        <w:rPr>
          <w:rFonts w:hint="eastAsia" w:asciiTheme="minorEastAsia" w:hAnsiTheme="minorEastAsia" w:eastAsiaTheme="minorEastAsia" w:cstheme="minorEastAsia"/>
          <w:b w:val="0"/>
          <w:bCs w:val="0"/>
          <w:color w:val="auto"/>
        </w:rPr>
        <w:fldChar w:fldCharType="end"/>
      </w:r>
    </w:p>
    <w:p>
      <w:pPr>
        <w:pStyle w:val="23"/>
        <w:tabs>
          <w:tab w:val="right" w:leader="dot" w:pos="8220"/>
          <w:tab w:val="clear" w:pos="8210"/>
        </w:tabs>
        <w:spacing w:line="360" w:lineRule="auto"/>
        <w:rPr>
          <w:rFonts w:hint="eastAsia" w:asciiTheme="minorEastAsia" w:hAnsiTheme="minorEastAsia" w:eastAsiaTheme="minorEastAsia" w:cstheme="minorEastAsia"/>
          <w:b w:val="0"/>
          <w:bCs w:val="0"/>
          <w:color w:val="auto"/>
        </w:rPr>
      </w:pPr>
      <w:r>
        <w:rPr>
          <w:rFonts w:hint="eastAsia" w:asciiTheme="minorEastAsia" w:hAnsiTheme="minorEastAsia" w:eastAsiaTheme="minorEastAsia" w:cstheme="minorEastAsia"/>
          <w:b w:val="0"/>
          <w:bCs w:val="0"/>
          <w:color w:val="auto"/>
        </w:rPr>
        <w:fldChar w:fldCharType="begin"/>
      </w:r>
      <w:r>
        <w:rPr>
          <w:rFonts w:hint="eastAsia" w:asciiTheme="minorEastAsia" w:hAnsiTheme="minorEastAsia" w:eastAsiaTheme="minorEastAsia" w:cstheme="minorEastAsia"/>
          <w:b w:val="0"/>
          <w:bCs w:val="0"/>
          <w:color w:val="auto"/>
        </w:rPr>
        <w:instrText xml:space="preserve"> HYPERLINK \l _Toc26251 </w:instrText>
      </w:r>
      <w:r>
        <w:rPr>
          <w:rFonts w:hint="eastAsia" w:asciiTheme="minorEastAsia" w:hAnsiTheme="minorEastAsia" w:eastAsiaTheme="minorEastAsia" w:cstheme="minorEastAsia"/>
          <w:b w:val="0"/>
          <w:bCs w:val="0"/>
          <w:color w:val="auto"/>
        </w:rPr>
        <w:fldChar w:fldCharType="separate"/>
      </w:r>
      <w:r>
        <w:rPr>
          <w:rFonts w:hint="eastAsia" w:asciiTheme="minorEastAsia" w:hAnsiTheme="minorEastAsia" w:eastAsiaTheme="minorEastAsia" w:cstheme="minorEastAsia"/>
          <w:b w:val="0"/>
          <w:bCs w:val="0"/>
          <w:color w:val="auto"/>
          <w:lang w:eastAsia="zh-CN"/>
        </w:rPr>
        <w:t>二、</w:t>
      </w:r>
      <w:r>
        <w:rPr>
          <w:rFonts w:hint="eastAsia" w:asciiTheme="minorEastAsia" w:hAnsiTheme="minorEastAsia" w:eastAsiaTheme="minorEastAsia" w:cstheme="minorEastAsia"/>
          <w:b w:val="0"/>
          <w:bCs w:val="0"/>
          <w:color w:val="auto"/>
        </w:rPr>
        <w:t>估价假设和限制条件</w:t>
      </w:r>
      <w:r>
        <w:rPr>
          <w:rFonts w:hint="eastAsia" w:asciiTheme="minorEastAsia" w:hAnsiTheme="minorEastAsia" w:eastAsiaTheme="minorEastAsia" w:cstheme="minorEastAsia"/>
          <w:b w:val="0"/>
          <w:bCs w:val="0"/>
          <w:color w:val="auto"/>
        </w:rPr>
        <w:tab/>
      </w:r>
      <w:r>
        <w:rPr>
          <w:rFonts w:hint="eastAsia" w:asciiTheme="minorEastAsia" w:hAnsiTheme="minorEastAsia" w:eastAsiaTheme="minorEastAsia" w:cstheme="minorEastAsia"/>
          <w:b w:val="0"/>
          <w:bCs w:val="0"/>
          <w:color w:val="auto"/>
        </w:rPr>
        <w:fldChar w:fldCharType="begin"/>
      </w:r>
      <w:r>
        <w:rPr>
          <w:rFonts w:hint="eastAsia" w:asciiTheme="minorEastAsia" w:hAnsiTheme="minorEastAsia" w:eastAsiaTheme="minorEastAsia" w:cstheme="minorEastAsia"/>
          <w:b w:val="0"/>
          <w:bCs w:val="0"/>
          <w:color w:val="auto"/>
        </w:rPr>
        <w:instrText xml:space="preserve"> PAGEREF _Toc26251 </w:instrText>
      </w:r>
      <w:r>
        <w:rPr>
          <w:rFonts w:hint="eastAsia" w:asciiTheme="minorEastAsia" w:hAnsiTheme="minorEastAsia" w:eastAsiaTheme="minorEastAsia" w:cstheme="minorEastAsia"/>
          <w:b w:val="0"/>
          <w:bCs w:val="0"/>
          <w:color w:val="auto"/>
        </w:rPr>
        <w:fldChar w:fldCharType="separate"/>
      </w:r>
      <w:r>
        <w:rPr>
          <w:rFonts w:hint="eastAsia" w:asciiTheme="minorEastAsia" w:hAnsiTheme="minorEastAsia" w:eastAsiaTheme="minorEastAsia" w:cstheme="minorEastAsia"/>
          <w:b w:val="0"/>
          <w:bCs w:val="0"/>
          <w:color w:val="auto"/>
        </w:rPr>
        <w:t>5</w:t>
      </w:r>
      <w:r>
        <w:rPr>
          <w:rFonts w:hint="eastAsia" w:asciiTheme="minorEastAsia" w:hAnsiTheme="minorEastAsia" w:eastAsiaTheme="minorEastAsia" w:cstheme="minorEastAsia"/>
          <w:b w:val="0"/>
          <w:bCs w:val="0"/>
          <w:color w:val="auto"/>
        </w:rPr>
        <w:fldChar w:fldCharType="end"/>
      </w:r>
      <w:r>
        <w:rPr>
          <w:rFonts w:hint="eastAsia" w:asciiTheme="minorEastAsia" w:hAnsiTheme="minorEastAsia" w:eastAsiaTheme="minorEastAsia" w:cstheme="minorEastAsia"/>
          <w:b w:val="0"/>
          <w:bCs w:val="0"/>
          <w:color w:val="auto"/>
        </w:rPr>
        <w:fldChar w:fldCharType="end"/>
      </w:r>
    </w:p>
    <w:p>
      <w:pPr>
        <w:pStyle w:val="23"/>
        <w:tabs>
          <w:tab w:val="right" w:leader="dot" w:pos="8220"/>
          <w:tab w:val="clear" w:pos="8210"/>
        </w:tabs>
        <w:spacing w:line="360" w:lineRule="auto"/>
        <w:rPr>
          <w:rFonts w:hint="eastAsia" w:asciiTheme="minorEastAsia" w:hAnsiTheme="minorEastAsia" w:eastAsiaTheme="minorEastAsia" w:cstheme="minorEastAsia"/>
          <w:b w:val="0"/>
          <w:bCs w:val="0"/>
          <w:color w:val="auto"/>
        </w:rPr>
      </w:pPr>
      <w:r>
        <w:rPr>
          <w:rFonts w:hint="eastAsia" w:asciiTheme="minorEastAsia" w:hAnsiTheme="minorEastAsia" w:eastAsiaTheme="minorEastAsia" w:cstheme="minorEastAsia"/>
          <w:b w:val="0"/>
          <w:bCs w:val="0"/>
          <w:color w:val="auto"/>
        </w:rPr>
        <w:fldChar w:fldCharType="begin"/>
      </w:r>
      <w:r>
        <w:rPr>
          <w:rFonts w:hint="eastAsia" w:asciiTheme="minorEastAsia" w:hAnsiTheme="minorEastAsia" w:eastAsiaTheme="minorEastAsia" w:cstheme="minorEastAsia"/>
          <w:b w:val="0"/>
          <w:bCs w:val="0"/>
          <w:color w:val="auto"/>
        </w:rPr>
        <w:instrText xml:space="preserve"> HYPERLINK \l _Toc4510 </w:instrText>
      </w:r>
      <w:r>
        <w:rPr>
          <w:rFonts w:hint="eastAsia" w:asciiTheme="minorEastAsia" w:hAnsiTheme="minorEastAsia" w:eastAsiaTheme="minorEastAsia" w:cstheme="minorEastAsia"/>
          <w:b w:val="0"/>
          <w:bCs w:val="0"/>
          <w:color w:val="auto"/>
        </w:rPr>
        <w:fldChar w:fldCharType="separate"/>
      </w:r>
      <w:r>
        <w:rPr>
          <w:rFonts w:hint="eastAsia" w:asciiTheme="minorEastAsia" w:hAnsiTheme="minorEastAsia" w:eastAsiaTheme="minorEastAsia" w:cstheme="minorEastAsia"/>
          <w:b w:val="0"/>
          <w:bCs w:val="0"/>
          <w:color w:val="auto"/>
          <w:lang w:eastAsia="zh-CN"/>
        </w:rPr>
        <w:t>三、</w:t>
      </w:r>
      <w:r>
        <w:rPr>
          <w:rFonts w:hint="eastAsia" w:asciiTheme="minorEastAsia" w:hAnsiTheme="minorEastAsia" w:eastAsiaTheme="minorEastAsia" w:cstheme="minorEastAsia"/>
          <w:b w:val="0"/>
          <w:bCs w:val="0"/>
          <w:color w:val="auto"/>
        </w:rPr>
        <w:t>估价结果报告</w:t>
      </w:r>
      <w:r>
        <w:rPr>
          <w:rFonts w:hint="eastAsia" w:asciiTheme="minorEastAsia" w:hAnsiTheme="minorEastAsia" w:eastAsiaTheme="minorEastAsia" w:cstheme="minorEastAsia"/>
          <w:b w:val="0"/>
          <w:bCs w:val="0"/>
          <w:color w:val="auto"/>
        </w:rPr>
        <w:tab/>
      </w:r>
      <w:r>
        <w:rPr>
          <w:rFonts w:hint="eastAsia" w:asciiTheme="minorEastAsia" w:hAnsiTheme="minorEastAsia" w:eastAsiaTheme="minorEastAsia" w:cstheme="minorEastAsia"/>
          <w:b w:val="0"/>
          <w:bCs w:val="0"/>
          <w:color w:val="auto"/>
        </w:rPr>
        <w:fldChar w:fldCharType="begin"/>
      </w:r>
      <w:r>
        <w:rPr>
          <w:rFonts w:hint="eastAsia" w:asciiTheme="minorEastAsia" w:hAnsiTheme="minorEastAsia" w:eastAsiaTheme="minorEastAsia" w:cstheme="minorEastAsia"/>
          <w:b w:val="0"/>
          <w:bCs w:val="0"/>
          <w:color w:val="auto"/>
        </w:rPr>
        <w:instrText xml:space="preserve"> PAGEREF _Toc4510 </w:instrText>
      </w:r>
      <w:r>
        <w:rPr>
          <w:rFonts w:hint="eastAsia" w:asciiTheme="minorEastAsia" w:hAnsiTheme="minorEastAsia" w:eastAsiaTheme="minorEastAsia" w:cstheme="minorEastAsia"/>
          <w:b w:val="0"/>
          <w:bCs w:val="0"/>
          <w:color w:val="auto"/>
        </w:rPr>
        <w:fldChar w:fldCharType="separate"/>
      </w:r>
      <w:r>
        <w:rPr>
          <w:rFonts w:hint="eastAsia" w:asciiTheme="minorEastAsia" w:hAnsiTheme="minorEastAsia" w:eastAsiaTheme="minorEastAsia" w:cstheme="minorEastAsia"/>
          <w:b w:val="0"/>
          <w:bCs w:val="0"/>
          <w:color w:val="auto"/>
        </w:rPr>
        <w:t>7</w:t>
      </w:r>
      <w:r>
        <w:rPr>
          <w:rFonts w:hint="eastAsia" w:asciiTheme="minorEastAsia" w:hAnsiTheme="minorEastAsia" w:eastAsiaTheme="minorEastAsia" w:cstheme="minorEastAsia"/>
          <w:b w:val="0"/>
          <w:bCs w:val="0"/>
          <w:color w:val="auto"/>
        </w:rPr>
        <w:fldChar w:fldCharType="end"/>
      </w:r>
      <w:r>
        <w:rPr>
          <w:rFonts w:hint="eastAsia" w:asciiTheme="minorEastAsia" w:hAnsiTheme="minorEastAsia" w:eastAsiaTheme="minorEastAsia" w:cstheme="minorEastAsia"/>
          <w:b w:val="0"/>
          <w:bCs w:val="0"/>
          <w:color w:val="auto"/>
        </w:rPr>
        <w:fldChar w:fldCharType="end"/>
      </w:r>
    </w:p>
    <w:p>
      <w:pPr>
        <w:pStyle w:val="26"/>
        <w:tabs>
          <w:tab w:val="right" w:leader="dot" w:pos="8220"/>
        </w:tabs>
        <w:spacing w:line="360" w:lineRule="auto"/>
        <w:rPr>
          <w:rFonts w:hint="eastAsia" w:asciiTheme="minorEastAsia" w:hAnsiTheme="minorEastAsia" w:eastAsiaTheme="minorEastAsia" w:cstheme="minorEastAsia"/>
          <w:b w:val="0"/>
          <w:bCs w:val="0"/>
          <w:color w:val="auto"/>
        </w:rPr>
      </w:pPr>
      <w:r>
        <w:rPr>
          <w:rFonts w:hint="eastAsia" w:asciiTheme="minorEastAsia" w:hAnsiTheme="minorEastAsia" w:eastAsiaTheme="minorEastAsia" w:cstheme="minorEastAsia"/>
          <w:b w:val="0"/>
          <w:bCs w:val="0"/>
          <w:color w:val="auto"/>
        </w:rPr>
        <w:fldChar w:fldCharType="begin"/>
      </w:r>
      <w:r>
        <w:rPr>
          <w:rFonts w:hint="eastAsia" w:asciiTheme="minorEastAsia" w:hAnsiTheme="minorEastAsia" w:eastAsiaTheme="minorEastAsia" w:cstheme="minorEastAsia"/>
          <w:b w:val="0"/>
          <w:bCs w:val="0"/>
          <w:color w:val="auto"/>
        </w:rPr>
        <w:instrText xml:space="preserve"> HYPERLINK \l _Toc28706 </w:instrText>
      </w:r>
      <w:r>
        <w:rPr>
          <w:rFonts w:hint="eastAsia" w:asciiTheme="minorEastAsia" w:hAnsiTheme="minorEastAsia" w:eastAsiaTheme="minorEastAsia" w:cstheme="minorEastAsia"/>
          <w:b w:val="0"/>
          <w:bCs w:val="0"/>
          <w:color w:val="auto"/>
        </w:rPr>
        <w:fldChar w:fldCharType="separate"/>
      </w:r>
      <w:r>
        <w:rPr>
          <w:rFonts w:hint="eastAsia" w:asciiTheme="minorEastAsia" w:hAnsiTheme="minorEastAsia" w:eastAsiaTheme="minorEastAsia" w:cstheme="minorEastAsia"/>
          <w:b w:val="0"/>
          <w:bCs w:val="0"/>
          <w:color w:val="auto"/>
        </w:rPr>
        <w:t>一、估价委托人</w:t>
      </w:r>
      <w:r>
        <w:rPr>
          <w:rFonts w:hint="eastAsia" w:asciiTheme="minorEastAsia" w:hAnsiTheme="minorEastAsia" w:eastAsiaTheme="minorEastAsia" w:cstheme="minorEastAsia"/>
          <w:b w:val="0"/>
          <w:bCs w:val="0"/>
          <w:color w:val="auto"/>
        </w:rPr>
        <w:tab/>
      </w:r>
      <w:r>
        <w:rPr>
          <w:rFonts w:hint="eastAsia" w:asciiTheme="minorEastAsia" w:hAnsiTheme="minorEastAsia" w:eastAsiaTheme="minorEastAsia" w:cstheme="minorEastAsia"/>
          <w:b w:val="0"/>
          <w:bCs w:val="0"/>
          <w:color w:val="auto"/>
        </w:rPr>
        <w:fldChar w:fldCharType="begin"/>
      </w:r>
      <w:r>
        <w:rPr>
          <w:rFonts w:hint="eastAsia" w:asciiTheme="minorEastAsia" w:hAnsiTheme="minorEastAsia" w:eastAsiaTheme="minorEastAsia" w:cstheme="minorEastAsia"/>
          <w:b w:val="0"/>
          <w:bCs w:val="0"/>
          <w:color w:val="auto"/>
        </w:rPr>
        <w:instrText xml:space="preserve"> PAGEREF _Toc28706 </w:instrText>
      </w:r>
      <w:r>
        <w:rPr>
          <w:rFonts w:hint="eastAsia" w:asciiTheme="minorEastAsia" w:hAnsiTheme="minorEastAsia" w:eastAsiaTheme="minorEastAsia" w:cstheme="minorEastAsia"/>
          <w:b w:val="0"/>
          <w:bCs w:val="0"/>
          <w:color w:val="auto"/>
        </w:rPr>
        <w:fldChar w:fldCharType="separate"/>
      </w:r>
      <w:r>
        <w:rPr>
          <w:rFonts w:hint="eastAsia" w:asciiTheme="minorEastAsia" w:hAnsiTheme="minorEastAsia" w:eastAsiaTheme="minorEastAsia" w:cstheme="minorEastAsia"/>
          <w:b w:val="0"/>
          <w:bCs w:val="0"/>
          <w:color w:val="auto"/>
        </w:rPr>
        <w:t>7</w:t>
      </w:r>
      <w:r>
        <w:rPr>
          <w:rFonts w:hint="eastAsia" w:asciiTheme="minorEastAsia" w:hAnsiTheme="minorEastAsia" w:eastAsiaTheme="minorEastAsia" w:cstheme="minorEastAsia"/>
          <w:b w:val="0"/>
          <w:bCs w:val="0"/>
          <w:color w:val="auto"/>
        </w:rPr>
        <w:fldChar w:fldCharType="end"/>
      </w:r>
      <w:r>
        <w:rPr>
          <w:rFonts w:hint="eastAsia" w:asciiTheme="minorEastAsia" w:hAnsiTheme="minorEastAsia" w:eastAsiaTheme="minorEastAsia" w:cstheme="minorEastAsia"/>
          <w:b w:val="0"/>
          <w:bCs w:val="0"/>
          <w:color w:val="auto"/>
        </w:rPr>
        <w:fldChar w:fldCharType="end"/>
      </w:r>
    </w:p>
    <w:p>
      <w:pPr>
        <w:pStyle w:val="26"/>
        <w:tabs>
          <w:tab w:val="right" w:leader="dot" w:pos="8220"/>
        </w:tabs>
        <w:spacing w:line="360" w:lineRule="auto"/>
        <w:rPr>
          <w:rFonts w:hint="eastAsia" w:asciiTheme="minorEastAsia" w:hAnsiTheme="minorEastAsia" w:eastAsiaTheme="minorEastAsia" w:cstheme="minorEastAsia"/>
          <w:b w:val="0"/>
          <w:bCs w:val="0"/>
          <w:color w:val="auto"/>
        </w:rPr>
      </w:pPr>
      <w:r>
        <w:rPr>
          <w:rFonts w:hint="eastAsia" w:asciiTheme="minorEastAsia" w:hAnsiTheme="minorEastAsia" w:eastAsiaTheme="minorEastAsia" w:cstheme="minorEastAsia"/>
          <w:b w:val="0"/>
          <w:bCs w:val="0"/>
          <w:color w:val="auto"/>
        </w:rPr>
        <w:fldChar w:fldCharType="begin"/>
      </w:r>
      <w:r>
        <w:rPr>
          <w:rFonts w:hint="eastAsia" w:asciiTheme="minorEastAsia" w:hAnsiTheme="minorEastAsia" w:eastAsiaTheme="minorEastAsia" w:cstheme="minorEastAsia"/>
          <w:b w:val="0"/>
          <w:bCs w:val="0"/>
          <w:color w:val="auto"/>
        </w:rPr>
        <w:instrText xml:space="preserve"> HYPERLINK \l _Toc2251 </w:instrText>
      </w:r>
      <w:r>
        <w:rPr>
          <w:rFonts w:hint="eastAsia" w:asciiTheme="minorEastAsia" w:hAnsiTheme="minorEastAsia" w:eastAsiaTheme="minorEastAsia" w:cstheme="minorEastAsia"/>
          <w:b w:val="0"/>
          <w:bCs w:val="0"/>
          <w:color w:val="auto"/>
        </w:rPr>
        <w:fldChar w:fldCharType="separate"/>
      </w:r>
      <w:r>
        <w:rPr>
          <w:rFonts w:hint="eastAsia" w:asciiTheme="minorEastAsia" w:hAnsiTheme="minorEastAsia" w:eastAsiaTheme="minorEastAsia" w:cstheme="minorEastAsia"/>
          <w:b w:val="0"/>
          <w:bCs w:val="0"/>
          <w:color w:val="auto"/>
          <w:spacing w:val="0"/>
          <w:szCs w:val="28"/>
        </w:rPr>
        <w:t>二、</w:t>
      </w:r>
      <w:r>
        <w:rPr>
          <w:rFonts w:hint="eastAsia" w:asciiTheme="minorEastAsia" w:hAnsiTheme="minorEastAsia" w:eastAsiaTheme="minorEastAsia" w:cstheme="minorEastAsia"/>
          <w:b w:val="0"/>
          <w:bCs w:val="0"/>
          <w:color w:val="auto"/>
        </w:rPr>
        <w:t>房地产估价机</w:t>
      </w:r>
      <w:r>
        <w:rPr>
          <w:rFonts w:hint="eastAsia" w:asciiTheme="minorEastAsia" w:hAnsiTheme="minorEastAsia" w:eastAsiaTheme="minorEastAsia" w:cstheme="minorEastAsia"/>
          <w:b w:val="0"/>
          <w:bCs w:val="0"/>
          <w:color w:val="auto"/>
          <w:lang w:eastAsia="zh-CN"/>
        </w:rPr>
        <w:t>构</w:t>
      </w:r>
      <w:r>
        <w:rPr>
          <w:rFonts w:hint="eastAsia" w:asciiTheme="minorEastAsia" w:hAnsiTheme="minorEastAsia" w:eastAsiaTheme="minorEastAsia" w:cstheme="minorEastAsia"/>
          <w:b w:val="0"/>
          <w:bCs w:val="0"/>
          <w:color w:val="auto"/>
        </w:rPr>
        <w:tab/>
      </w:r>
      <w:r>
        <w:rPr>
          <w:rFonts w:hint="eastAsia" w:asciiTheme="minorEastAsia" w:hAnsiTheme="minorEastAsia" w:eastAsiaTheme="minorEastAsia" w:cstheme="minorEastAsia"/>
          <w:b w:val="0"/>
          <w:bCs w:val="0"/>
          <w:color w:val="auto"/>
        </w:rPr>
        <w:fldChar w:fldCharType="begin"/>
      </w:r>
      <w:r>
        <w:rPr>
          <w:rFonts w:hint="eastAsia" w:asciiTheme="minorEastAsia" w:hAnsiTheme="minorEastAsia" w:eastAsiaTheme="minorEastAsia" w:cstheme="minorEastAsia"/>
          <w:b w:val="0"/>
          <w:bCs w:val="0"/>
          <w:color w:val="auto"/>
        </w:rPr>
        <w:instrText xml:space="preserve"> PAGEREF _Toc2251 </w:instrText>
      </w:r>
      <w:r>
        <w:rPr>
          <w:rFonts w:hint="eastAsia" w:asciiTheme="minorEastAsia" w:hAnsiTheme="minorEastAsia" w:eastAsiaTheme="minorEastAsia" w:cstheme="minorEastAsia"/>
          <w:b w:val="0"/>
          <w:bCs w:val="0"/>
          <w:color w:val="auto"/>
        </w:rPr>
        <w:fldChar w:fldCharType="separate"/>
      </w:r>
      <w:r>
        <w:rPr>
          <w:rFonts w:hint="eastAsia" w:asciiTheme="minorEastAsia" w:hAnsiTheme="minorEastAsia" w:eastAsiaTheme="minorEastAsia" w:cstheme="minorEastAsia"/>
          <w:b w:val="0"/>
          <w:bCs w:val="0"/>
          <w:color w:val="auto"/>
        </w:rPr>
        <w:t>7</w:t>
      </w:r>
      <w:r>
        <w:rPr>
          <w:rFonts w:hint="eastAsia" w:asciiTheme="minorEastAsia" w:hAnsiTheme="minorEastAsia" w:eastAsiaTheme="minorEastAsia" w:cstheme="minorEastAsia"/>
          <w:b w:val="0"/>
          <w:bCs w:val="0"/>
          <w:color w:val="auto"/>
        </w:rPr>
        <w:fldChar w:fldCharType="end"/>
      </w:r>
      <w:r>
        <w:rPr>
          <w:rFonts w:hint="eastAsia" w:asciiTheme="minorEastAsia" w:hAnsiTheme="minorEastAsia" w:eastAsiaTheme="minorEastAsia" w:cstheme="minorEastAsia"/>
          <w:b w:val="0"/>
          <w:bCs w:val="0"/>
          <w:color w:val="auto"/>
        </w:rPr>
        <w:fldChar w:fldCharType="end"/>
      </w:r>
    </w:p>
    <w:p>
      <w:pPr>
        <w:pStyle w:val="26"/>
        <w:tabs>
          <w:tab w:val="right" w:leader="dot" w:pos="8220"/>
        </w:tabs>
        <w:spacing w:line="360" w:lineRule="auto"/>
        <w:rPr>
          <w:rFonts w:hint="eastAsia" w:asciiTheme="minorEastAsia" w:hAnsiTheme="minorEastAsia" w:eastAsiaTheme="minorEastAsia" w:cstheme="minorEastAsia"/>
          <w:b w:val="0"/>
          <w:bCs w:val="0"/>
          <w:color w:val="auto"/>
        </w:rPr>
      </w:pPr>
      <w:r>
        <w:rPr>
          <w:rFonts w:hint="eastAsia" w:asciiTheme="minorEastAsia" w:hAnsiTheme="minorEastAsia" w:eastAsiaTheme="minorEastAsia" w:cstheme="minorEastAsia"/>
          <w:b w:val="0"/>
          <w:bCs w:val="0"/>
          <w:color w:val="auto"/>
        </w:rPr>
        <w:fldChar w:fldCharType="begin"/>
      </w:r>
      <w:r>
        <w:rPr>
          <w:rFonts w:hint="eastAsia" w:asciiTheme="minorEastAsia" w:hAnsiTheme="minorEastAsia" w:eastAsiaTheme="minorEastAsia" w:cstheme="minorEastAsia"/>
          <w:b w:val="0"/>
          <w:bCs w:val="0"/>
          <w:color w:val="auto"/>
        </w:rPr>
        <w:instrText xml:space="preserve"> HYPERLINK \l _Toc15972 </w:instrText>
      </w:r>
      <w:r>
        <w:rPr>
          <w:rFonts w:hint="eastAsia" w:asciiTheme="minorEastAsia" w:hAnsiTheme="minorEastAsia" w:eastAsiaTheme="minorEastAsia" w:cstheme="minorEastAsia"/>
          <w:b w:val="0"/>
          <w:bCs w:val="0"/>
          <w:color w:val="auto"/>
        </w:rPr>
        <w:fldChar w:fldCharType="separate"/>
      </w:r>
      <w:r>
        <w:rPr>
          <w:rFonts w:hint="eastAsia" w:asciiTheme="minorEastAsia" w:hAnsiTheme="minorEastAsia" w:eastAsiaTheme="minorEastAsia" w:cstheme="minorEastAsia"/>
          <w:b w:val="0"/>
          <w:bCs w:val="0"/>
          <w:color w:val="auto"/>
        </w:rPr>
        <w:t>三、估价目的</w:t>
      </w:r>
      <w:r>
        <w:rPr>
          <w:rFonts w:hint="eastAsia" w:asciiTheme="minorEastAsia" w:hAnsiTheme="minorEastAsia" w:eastAsiaTheme="minorEastAsia" w:cstheme="minorEastAsia"/>
          <w:b w:val="0"/>
          <w:bCs w:val="0"/>
          <w:color w:val="auto"/>
        </w:rPr>
        <w:tab/>
      </w:r>
      <w:r>
        <w:rPr>
          <w:rFonts w:hint="eastAsia" w:asciiTheme="minorEastAsia" w:hAnsiTheme="minorEastAsia" w:eastAsiaTheme="minorEastAsia" w:cstheme="minorEastAsia"/>
          <w:b w:val="0"/>
          <w:bCs w:val="0"/>
          <w:color w:val="auto"/>
        </w:rPr>
        <w:fldChar w:fldCharType="begin"/>
      </w:r>
      <w:r>
        <w:rPr>
          <w:rFonts w:hint="eastAsia" w:asciiTheme="minorEastAsia" w:hAnsiTheme="minorEastAsia" w:eastAsiaTheme="minorEastAsia" w:cstheme="minorEastAsia"/>
          <w:b w:val="0"/>
          <w:bCs w:val="0"/>
          <w:color w:val="auto"/>
        </w:rPr>
        <w:instrText xml:space="preserve"> PAGEREF _Toc15972 </w:instrText>
      </w:r>
      <w:r>
        <w:rPr>
          <w:rFonts w:hint="eastAsia" w:asciiTheme="minorEastAsia" w:hAnsiTheme="minorEastAsia" w:eastAsiaTheme="minorEastAsia" w:cstheme="minorEastAsia"/>
          <w:b w:val="0"/>
          <w:bCs w:val="0"/>
          <w:color w:val="auto"/>
        </w:rPr>
        <w:fldChar w:fldCharType="separate"/>
      </w:r>
      <w:r>
        <w:rPr>
          <w:rFonts w:hint="eastAsia" w:asciiTheme="minorEastAsia" w:hAnsiTheme="minorEastAsia" w:eastAsiaTheme="minorEastAsia" w:cstheme="minorEastAsia"/>
          <w:b w:val="0"/>
          <w:bCs w:val="0"/>
          <w:color w:val="auto"/>
        </w:rPr>
        <w:t>7</w:t>
      </w:r>
      <w:r>
        <w:rPr>
          <w:rFonts w:hint="eastAsia" w:asciiTheme="minorEastAsia" w:hAnsiTheme="minorEastAsia" w:eastAsiaTheme="minorEastAsia" w:cstheme="minorEastAsia"/>
          <w:b w:val="0"/>
          <w:bCs w:val="0"/>
          <w:color w:val="auto"/>
        </w:rPr>
        <w:fldChar w:fldCharType="end"/>
      </w:r>
      <w:r>
        <w:rPr>
          <w:rFonts w:hint="eastAsia" w:asciiTheme="minorEastAsia" w:hAnsiTheme="minorEastAsia" w:eastAsiaTheme="minorEastAsia" w:cstheme="minorEastAsia"/>
          <w:b w:val="0"/>
          <w:bCs w:val="0"/>
          <w:color w:val="auto"/>
        </w:rPr>
        <w:fldChar w:fldCharType="end"/>
      </w:r>
    </w:p>
    <w:p>
      <w:pPr>
        <w:pStyle w:val="26"/>
        <w:tabs>
          <w:tab w:val="right" w:leader="dot" w:pos="8220"/>
        </w:tabs>
        <w:spacing w:line="360" w:lineRule="auto"/>
        <w:rPr>
          <w:rFonts w:hint="eastAsia" w:asciiTheme="minorEastAsia" w:hAnsiTheme="minorEastAsia" w:eastAsiaTheme="minorEastAsia" w:cstheme="minorEastAsia"/>
          <w:b w:val="0"/>
          <w:bCs w:val="0"/>
          <w:color w:val="auto"/>
        </w:rPr>
      </w:pPr>
      <w:r>
        <w:rPr>
          <w:rFonts w:hint="eastAsia" w:asciiTheme="minorEastAsia" w:hAnsiTheme="minorEastAsia" w:eastAsiaTheme="minorEastAsia" w:cstheme="minorEastAsia"/>
          <w:b w:val="0"/>
          <w:bCs w:val="0"/>
          <w:color w:val="auto"/>
        </w:rPr>
        <w:fldChar w:fldCharType="begin"/>
      </w:r>
      <w:r>
        <w:rPr>
          <w:rFonts w:hint="eastAsia" w:asciiTheme="minorEastAsia" w:hAnsiTheme="minorEastAsia" w:eastAsiaTheme="minorEastAsia" w:cstheme="minorEastAsia"/>
          <w:b w:val="0"/>
          <w:bCs w:val="0"/>
          <w:color w:val="auto"/>
        </w:rPr>
        <w:instrText xml:space="preserve"> HYPERLINK \l _Toc21184 </w:instrText>
      </w:r>
      <w:r>
        <w:rPr>
          <w:rFonts w:hint="eastAsia" w:asciiTheme="minorEastAsia" w:hAnsiTheme="minorEastAsia" w:eastAsiaTheme="minorEastAsia" w:cstheme="minorEastAsia"/>
          <w:b w:val="0"/>
          <w:bCs w:val="0"/>
          <w:color w:val="auto"/>
        </w:rPr>
        <w:fldChar w:fldCharType="separate"/>
      </w:r>
      <w:r>
        <w:rPr>
          <w:rFonts w:hint="eastAsia" w:asciiTheme="minorEastAsia" w:hAnsiTheme="minorEastAsia" w:eastAsiaTheme="minorEastAsia" w:cstheme="minorEastAsia"/>
          <w:b w:val="0"/>
          <w:bCs w:val="0"/>
          <w:color w:val="auto"/>
        </w:rPr>
        <w:t>四、估价对象</w:t>
      </w:r>
      <w:r>
        <w:rPr>
          <w:rFonts w:hint="eastAsia" w:asciiTheme="minorEastAsia" w:hAnsiTheme="minorEastAsia" w:eastAsiaTheme="minorEastAsia" w:cstheme="minorEastAsia"/>
          <w:b w:val="0"/>
          <w:bCs w:val="0"/>
          <w:color w:val="auto"/>
        </w:rPr>
        <w:tab/>
      </w:r>
      <w:r>
        <w:rPr>
          <w:rFonts w:hint="eastAsia" w:asciiTheme="minorEastAsia" w:hAnsiTheme="minorEastAsia" w:eastAsiaTheme="minorEastAsia" w:cstheme="minorEastAsia"/>
          <w:b w:val="0"/>
          <w:bCs w:val="0"/>
          <w:color w:val="auto"/>
        </w:rPr>
        <w:fldChar w:fldCharType="begin"/>
      </w:r>
      <w:r>
        <w:rPr>
          <w:rFonts w:hint="eastAsia" w:asciiTheme="minorEastAsia" w:hAnsiTheme="minorEastAsia" w:eastAsiaTheme="minorEastAsia" w:cstheme="minorEastAsia"/>
          <w:b w:val="0"/>
          <w:bCs w:val="0"/>
          <w:color w:val="auto"/>
        </w:rPr>
        <w:instrText xml:space="preserve"> PAGEREF _Toc21184 </w:instrText>
      </w:r>
      <w:r>
        <w:rPr>
          <w:rFonts w:hint="eastAsia" w:asciiTheme="minorEastAsia" w:hAnsiTheme="minorEastAsia" w:eastAsiaTheme="minorEastAsia" w:cstheme="minorEastAsia"/>
          <w:b w:val="0"/>
          <w:bCs w:val="0"/>
          <w:color w:val="auto"/>
        </w:rPr>
        <w:fldChar w:fldCharType="separate"/>
      </w:r>
      <w:r>
        <w:rPr>
          <w:rFonts w:hint="eastAsia" w:asciiTheme="minorEastAsia" w:hAnsiTheme="minorEastAsia" w:eastAsiaTheme="minorEastAsia" w:cstheme="minorEastAsia"/>
          <w:b w:val="0"/>
          <w:bCs w:val="0"/>
          <w:color w:val="auto"/>
        </w:rPr>
        <w:t>7</w:t>
      </w:r>
      <w:r>
        <w:rPr>
          <w:rFonts w:hint="eastAsia" w:asciiTheme="minorEastAsia" w:hAnsiTheme="minorEastAsia" w:eastAsiaTheme="minorEastAsia" w:cstheme="minorEastAsia"/>
          <w:b w:val="0"/>
          <w:bCs w:val="0"/>
          <w:color w:val="auto"/>
        </w:rPr>
        <w:fldChar w:fldCharType="end"/>
      </w:r>
      <w:r>
        <w:rPr>
          <w:rFonts w:hint="eastAsia" w:asciiTheme="minorEastAsia" w:hAnsiTheme="minorEastAsia" w:eastAsiaTheme="minorEastAsia" w:cstheme="minorEastAsia"/>
          <w:b w:val="0"/>
          <w:bCs w:val="0"/>
          <w:color w:val="auto"/>
        </w:rPr>
        <w:fldChar w:fldCharType="end"/>
      </w:r>
    </w:p>
    <w:p>
      <w:pPr>
        <w:pStyle w:val="26"/>
        <w:tabs>
          <w:tab w:val="right" w:leader="dot" w:pos="8220"/>
        </w:tabs>
        <w:spacing w:line="360" w:lineRule="auto"/>
        <w:rPr>
          <w:rFonts w:hint="eastAsia" w:asciiTheme="minorEastAsia" w:hAnsiTheme="minorEastAsia" w:eastAsiaTheme="minorEastAsia" w:cstheme="minorEastAsia"/>
          <w:b w:val="0"/>
          <w:bCs w:val="0"/>
          <w:color w:val="auto"/>
        </w:rPr>
      </w:pPr>
      <w:r>
        <w:rPr>
          <w:rFonts w:hint="eastAsia" w:asciiTheme="minorEastAsia" w:hAnsiTheme="minorEastAsia" w:eastAsiaTheme="minorEastAsia" w:cstheme="minorEastAsia"/>
          <w:b w:val="0"/>
          <w:bCs w:val="0"/>
          <w:color w:val="auto"/>
        </w:rPr>
        <w:fldChar w:fldCharType="begin"/>
      </w:r>
      <w:r>
        <w:rPr>
          <w:rFonts w:hint="eastAsia" w:asciiTheme="minorEastAsia" w:hAnsiTheme="minorEastAsia" w:eastAsiaTheme="minorEastAsia" w:cstheme="minorEastAsia"/>
          <w:b w:val="0"/>
          <w:bCs w:val="0"/>
          <w:color w:val="auto"/>
        </w:rPr>
        <w:instrText xml:space="preserve"> HYPERLINK \l _Toc13416 </w:instrText>
      </w:r>
      <w:r>
        <w:rPr>
          <w:rFonts w:hint="eastAsia" w:asciiTheme="minorEastAsia" w:hAnsiTheme="minorEastAsia" w:eastAsiaTheme="minorEastAsia" w:cstheme="minorEastAsia"/>
          <w:b w:val="0"/>
          <w:bCs w:val="0"/>
          <w:color w:val="auto"/>
        </w:rPr>
        <w:fldChar w:fldCharType="separate"/>
      </w:r>
      <w:r>
        <w:rPr>
          <w:rFonts w:hint="eastAsia" w:asciiTheme="minorEastAsia" w:hAnsiTheme="minorEastAsia" w:eastAsiaTheme="minorEastAsia" w:cstheme="minorEastAsia"/>
          <w:b w:val="0"/>
          <w:bCs w:val="0"/>
          <w:color w:val="auto"/>
        </w:rPr>
        <w:t>五、价值时点</w:t>
      </w:r>
      <w:r>
        <w:rPr>
          <w:rFonts w:hint="eastAsia" w:asciiTheme="minorEastAsia" w:hAnsiTheme="minorEastAsia" w:eastAsiaTheme="minorEastAsia" w:cstheme="minorEastAsia"/>
          <w:b w:val="0"/>
          <w:bCs w:val="0"/>
          <w:color w:val="auto"/>
        </w:rPr>
        <w:tab/>
      </w:r>
      <w:r>
        <w:rPr>
          <w:rFonts w:hint="eastAsia" w:asciiTheme="minorEastAsia" w:hAnsiTheme="minorEastAsia" w:eastAsiaTheme="minorEastAsia" w:cstheme="minorEastAsia"/>
          <w:b w:val="0"/>
          <w:bCs w:val="0"/>
          <w:color w:val="auto"/>
        </w:rPr>
        <w:fldChar w:fldCharType="begin"/>
      </w:r>
      <w:r>
        <w:rPr>
          <w:rFonts w:hint="eastAsia" w:asciiTheme="minorEastAsia" w:hAnsiTheme="minorEastAsia" w:eastAsiaTheme="minorEastAsia" w:cstheme="minorEastAsia"/>
          <w:b w:val="0"/>
          <w:bCs w:val="0"/>
          <w:color w:val="auto"/>
        </w:rPr>
        <w:instrText xml:space="preserve"> PAGEREF _Toc13416 </w:instrText>
      </w:r>
      <w:r>
        <w:rPr>
          <w:rFonts w:hint="eastAsia" w:asciiTheme="minorEastAsia" w:hAnsiTheme="minorEastAsia" w:eastAsiaTheme="minorEastAsia" w:cstheme="minorEastAsia"/>
          <w:b w:val="0"/>
          <w:bCs w:val="0"/>
          <w:color w:val="auto"/>
        </w:rPr>
        <w:fldChar w:fldCharType="separate"/>
      </w:r>
      <w:r>
        <w:rPr>
          <w:rFonts w:hint="eastAsia" w:asciiTheme="minorEastAsia" w:hAnsiTheme="minorEastAsia" w:eastAsiaTheme="minorEastAsia" w:cstheme="minorEastAsia"/>
          <w:b w:val="0"/>
          <w:bCs w:val="0"/>
          <w:color w:val="auto"/>
        </w:rPr>
        <w:t>8</w:t>
      </w:r>
      <w:r>
        <w:rPr>
          <w:rFonts w:hint="eastAsia" w:asciiTheme="minorEastAsia" w:hAnsiTheme="minorEastAsia" w:eastAsiaTheme="minorEastAsia" w:cstheme="minorEastAsia"/>
          <w:b w:val="0"/>
          <w:bCs w:val="0"/>
          <w:color w:val="auto"/>
        </w:rPr>
        <w:fldChar w:fldCharType="end"/>
      </w:r>
      <w:r>
        <w:rPr>
          <w:rFonts w:hint="eastAsia" w:asciiTheme="minorEastAsia" w:hAnsiTheme="minorEastAsia" w:eastAsiaTheme="minorEastAsia" w:cstheme="minorEastAsia"/>
          <w:b w:val="0"/>
          <w:bCs w:val="0"/>
          <w:color w:val="auto"/>
        </w:rPr>
        <w:fldChar w:fldCharType="end"/>
      </w:r>
    </w:p>
    <w:p>
      <w:pPr>
        <w:pStyle w:val="26"/>
        <w:tabs>
          <w:tab w:val="right" w:leader="dot" w:pos="8220"/>
        </w:tabs>
        <w:spacing w:line="360" w:lineRule="auto"/>
        <w:rPr>
          <w:rFonts w:hint="eastAsia" w:asciiTheme="minorEastAsia" w:hAnsiTheme="minorEastAsia" w:eastAsiaTheme="minorEastAsia" w:cstheme="minorEastAsia"/>
          <w:b w:val="0"/>
          <w:bCs w:val="0"/>
          <w:color w:val="auto"/>
        </w:rPr>
      </w:pPr>
      <w:r>
        <w:rPr>
          <w:rFonts w:hint="eastAsia" w:asciiTheme="minorEastAsia" w:hAnsiTheme="minorEastAsia" w:eastAsiaTheme="minorEastAsia" w:cstheme="minorEastAsia"/>
          <w:b w:val="0"/>
          <w:bCs w:val="0"/>
          <w:color w:val="auto"/>
        </w:rPr>
        <w:fldChar w:fldCharType="begin"/>
      </w:r>
      <w:r>
        <w:rPr>
          <w:rFonts w:hint="eastAsia" w:asciiTheme="minorEastAsia" w:hAnsiTheme="minorEastAsia" w:eastAsiaTheme="minorEastAsia" w:cstheme="minorEastAsia"/>
          <w:b w:val="0"/>
          <w:bCs w:val="0"/>
          <w:color w:val="auto"/>
        </w:rPr>
        <w:instrText xml:space="preserve"> HYPERLINK \l _Toc16365 </w:instrText>
      </w:r>
      <w:r>
        <w:rPr>
          <w:rFonts w:hint="eastAsia" w:asciiTheme="minorEastAsia" w:hAnsiTheme="minorEastAsia" w:eastAsiaTheme="minorEastAsia" w:cstheme="minorEastAsia"/>
          <w:b w:val="0"/>
          <w:bCs w:val="0"/>
          <w:color w:val="auto"/>
        </w:rPr>
        <w:fldChar w:fldCharType="separate"/>
      </w:r>
      <w:r>
        <w:rPr>
          <w:rFonts w:hint="eastAsia" w:asciiTheme="minorEastAsia" w:hAnsiTheme="minorEastAsia" w:eastAsiaTheme="minorEastAsia" w:cstheme="minorEastAsia"/>
          <w:b w:val="0"/>
          <w:bCs w:val="0"/>
          <w:color w:val="auto"/>
        </w:rPr>
        <w:t>六、价值类型</w:t>
      </w:r>
      <w:r>
        <w:rPr>
          <w:rFonts w:hint="eastAsia" w:asciiTheme="minorEastAsia" w:hAnsiTheme="minorEastAsia" w:eastAsiaTheme="minorEastAsia" w:cstheme="minorEastAsia"/>
          <w:b w:val="0"/>
          <w:bCs w:val="0"/>
          <w:color w:val="auto"/>
        </w:rPr>
        <w:tab/>
      </w:r>
      <w:r>
        <w:rPr>
          <w:rFonts w:hint="eastAsia" w:asciiTheme="minorEastAsia" w:hAnsiTheme="minorEastAsia" w:eastAsiaTheme="minorEastAsia" w:cstheme="minorEastAsia"/>
          <w:b w:val="0"/>
          <w:bCs w:val="0"/>
          <w:color w:val="auto"/>
        </w:rPr>
        <w:fldChar w:fldCharType="begin"/>
      </w:r>
      <w:r>
        <w:rPr>
          <w:rFonts w:hint="eastAsia" w:asciiTheme="minorEastAsia" w:hAnsiTheme="minorEastAsia" w:eastAsiaTheme="minorEastAsia" w:cstheme="minorEastAsia"/>
          <w:b w:val="0"/>
          <w:bCs w:val="0"/>
          <w:color w:val="auto"/>
        </w:rPr>
        <w:instrText xml:space="preserve"> PAGEREF _Toc16365 </w:instrText>
      </w:r>
      <w:r>
        <w:rPr>
          <w:rFonts w:hint="eastAsia" w:asciiTheme="minorEastAsia" w:hAnsiTheme="minorEastAsia" w:eastAsiaTheme="minorEastAsia" w:cstheme="minorEastAsia"/>
          <w:b w:val="0"/>
          <w:bCs w:val="0"/>
          <w:color w:val="auto"/>
        </w:rPr>
        <w:fldChar w:fldCharType="separate"/>
      </w:r>
      <w:r>
        <w:rPr>
          <w:rFonts w:hint="eastAsia" w:asciiTheme="minorEastAsia" w:hAnsiTheme="minorEastAsia" w:eastAsiaTheme="minorEastAsia" w:cstheme="minorEastAsia"/>
          <w:b w:val="0"/>
          <w:bCs w:val="0"/>
          <w:color w:val="auto"/>
        </w:rPr>
        <w:t>8</w:t>
      </w:r>
      <w:r>
        <w:rPr>
          <w:rFonts w:hint="eastAsia" w:asciiTheme="minorEastAsia" w:hAnsiTheme="minorEastAsia" w:eastAsiaTheme="minorEastAsia" w:cstheme="minorEastAsia"/>
          <w:b w:val="0"/>
          <w:bCs w:val="0"/>
          <w:color w:val="auto"/>
        </w:rPr>
        <w:fldChar w:fldCharType="end"/>
      </w:r>
      <w:r>
        <w:rPr>
          <w:rFonts w:hint="eastAsia" w:asciiTheme="minorEastAsia" w:hAnsiTheme="minorEastAsia" w:eastAsiaTheme="minorEastAsia" w:cstheme="minorEastAsia"/>
          <w:b w:val="0"/>
          <w:bCs w:val="0"/>
          <w:color w:val="auto"/>
        </w:rPr>
        <w:fldChar w:fldCharType="end"/>
      </w:r>
    </w:p>
    <w:p>
      <w:pPr>
        <w:pStyle w:val="26"/>
        <w:tabs>
          <w:tab w:val="right" w:leader="dot" w:pos="8220"/>
        </w:tabs>
        <w:spacing w:line="360" w:lineRule="auto"/>
        <w:rPr>
          <w:rFonts w:hint="eastAsia" w:asciiTheme="minorEastAsia" w:hAnsiTheme="minorEastAsia" w:eastAsiaTheme="minorEastAsia" w:cstheme="minorEastAsia"/>
          <w:b w:val="0"/>
          <w:bCs w:val="0"/>
          <w:color w:val="auto"/>
        </w:rPr>
      </w:pPr>
      <w:r>
        <w:rPr>
          <w:rFonts w:hint="eastAsia" w:asciiTheme="minorEastAsia" w:hAnsiTheme="minorEastAsia" w:eastAsiaTheme="minorEastAsia" w:cstheme="minorEastAsia"/>
          <w:b w:val="0"/>
          <w:bCs w:val="0"/>
          <w:color w:val="auto"/>
        </w:rPr>
        <w:fldChar w:fldCharType="begin"/>
      </w:r>
      <w:r>
        <w:rPr>
          <w:rFonts w:hint="eastAsia" w:asciiTheme="minorEastAsia" w:hAnsiTheme="minorEastAsia" w:eastAsiaTheme="minorEastAsia" w:cstheme="minorEastAsia"/>
          <w:b w:val="0"/>
          <w:bCs w:val="0"/>
          <w:color w:val="auto"/>
        </w:rPr>
        <w:instrText xml:space="preserve"> HYPERLINK \l _Toc9684 </w:instrText>
      </w:r>
      <w:r>
        <w:rPr>
          <w:rFonts w:hint="eastAsia" w:asciiTheme="minorEastAsia" w:hAnsiTheme="minorEastAsia" w:eastAsiaTheme="minorEastAsia" w:cstheme="minorEastAsia"/>
          <w:b w:val="0"/>
          <w:bCs w:val="0"/>
          <w:color w:val="auto"/>
        </w:rPr>
        <w:fldChar w:fldCharType="separate"/>
      </w:r>
      <w:r>
        <w:rPr>
          <w:rFonts w:hint="eastAsia" w:asciiTheme="minorEastAsia" w:hAnsiTheme="minorEastAsia" w:eastAsiaTheme="minorEastAsia" w:cstheme="minorEastAsia"/>
          <w:b w:val="0"/>
          <w:bCs w:val="0"/>
          <w:color w:val="auto"/>
        </w:rPr>
        <w:t>七、估价原则</w:t>
      </w:r>
      <w:r>
        <w:rPr>
          <w:rFonts w:hint="eastAsia" w:asciiTheme="minorEastAsia" w:hAnsiTheme="minorEastAsia" w:eastAsiaTheme="minorEastAsia" w:cstheme="minorEastAsia"/>
          <w:b w:val="0"/>
          <w:bCs w:val="0"/>
          <w:color w:val="auto"/>
        </w:rPr>
        <w:tab/>
      </w:r>
      <w:r>
        <w:rPr>
          <w:rFonts w:hint="eastAsia" w:asciiTheme="minorEastAsia" w:hAnsiTheme="minorEastAsia" w:eastAsiaTheme="minorEastAsia" w:cstheme="minorEastAsia"/>
          <w:b w:val="0"/>
          <w:bCs w:val="0"/>
          <w:color w:val="auto"/>
        </w:rPr>
        <w:fldChar w:fldCharType="begin"/>
      </w:r>
      <w:r>
        <w:rPr>
          <w:rFonts w:hint="eastAsia" w:asciiTheme="minorEastAsia" w:hAnsiTheme="minorEastAsia" w:eastAsiaTheme="minorEastAsia" w:cstheme="minorEastAsia"/>
          <w:b w:val="0"/>
          <w:bCs w:val="0"/>
          <w:color w:val="auto"/>
        </w:rPr>
        <w:instrText xml:space="preserve"> PAGEREF _Toc9684 </w:instrText>
      </w:r>
      <w:r>
        <w:rPr>
          <w:rFonts w:hint="eastAsia" w:asciiTheme="minorEastAsia" w:hAnsiTheme="minorEastAsia" w:eastAsiaTheme="minorEastAsia" w:cstheme="minorEastAsia"/>
          <w:b w:val="0"/>
          <w:bCs w:val="0"/>
          <w:color w:val="auto"/>
        </w:rPr>
        <w:fldChar w:fldCharType="separate"/>
      </w:r>
      <w:r>
        <w:rPr>
          <w:rFonts w:hint="eastAsia" w:asciiTheme="minorEastAsia" w:hAnsiTheme="minorEastAsia" w:eastAsiaTheme="minorEastAsia" w:cstheme="minorEastAsia"/>
          <w:b w:val="0"/>
          <w:bCs w:val="0"/>
          <w:color w:val="auto"/>
        </w:rPr>
        <w:t>9</w:t>
      </w:r>
      <w:r>
        <w:rPr>
          <w:rFonts w:hint="eastAsia" w:asciiTheme="minorEastAsia" w:hAnsiTheme="minorEastAsia" w:eastAsiaTheme="minorEastAsia" w:cstheme="minorEastAsia"/>
          <w:b w:val="0"/>
          <w:bCs w:val="0"/>
          <w:color w:val="auto"/>
        </w:rPr>
        <w:fldChar w:fldCharType="end"/>
      </w:r>
      <w:r>
        <w:rPr>
          <w:rFonts w:hint="eastAsia" w:asciiTheme="minorEastAsia" w:hAnsiTheme="minorEastAsia" w:eastAsiaTheme="minorEastAsia" w:cstheme="minorEastAsia"/>
          <w:b w:val="0"/>
          <w:bCs w:val="0"/>
          <w:color w:val="auto"/>
        </w:rPr>
        <w:fldChar w:fldCharType="end"/>
      </w:r>
    </w:p>
    <w:p>
      <w:pPr>
        <w:pStyle w:val="26"/>
        <w:tabs>
          <w:tab w:val="right" w:leader="dot" w:pos="8220"/>
        </w:tabs>
        <w:spacing w:line="360" w:lineRule="auto"/>
        <w:rPr>
          <w:rFonts w:hint="eastAsia" w:asciiTheme="minorEastAsia" w:hAnsiTheme="minorEastAsia" w:eastAsiaTheme="minorEastAsia" w:cstheme="minorEastAsia"/>
          <w:b w:val="0"/>
          <w:bCs w:val="0"/>
          <w:color w:val="auto"/>
        </w:rPr>
      </w:pPr>
      <w:r>
        <w:rPr>
          <w:rFonts w:hint="eastAsia" w:asciiTheme="minorEastAsia" w:hAnsiTheme="minorEastAsia" w:eastAsiaTheme="minorEastAsia" w:cstheme="minorEastAsia"/>
          <w:b w:val="0"/>
          <w:bCs w:val="0"/>
          <w:color w:val="auto"/>
        </w:rPr>
        <w:fldChar w:fldCharType="begin"/>
      </w:r>
      <w:r>
        <w:rPr>
          <w:rFonts w:hint="eastAsia" w:asciiTheme="minorEastAsia" w:hAnsiTheme="minorEastAsia" w:eastAsiaTheme="minorEastAsia" w:cstheme="minorEastAsia"/>
          <w:b w:val="0"/>
          <w:bCs w:val="0"/>
          <w:color w:val="auto"/>
        </w:rPr>
        <w:instrText xml:space="preserve"> HYPERLINK \l _Toc19690 </w:instrText>
      </w:r>
      <w:r>
        <w:rPr>
          <w:rFonts w:hint="eastAsia" w:asciiTheme="minorEastAsia" w:hAnsiTheme="minorEastAsia" w:eastAsiaTheme="minorEastAsia" w:cstheme="minorEastAsia"/>
          <w:b w:val="0"/>
          <w:bCs w:val="0"/>
          <w:color w:val="auto"/>
        </w:rPr>
        <w:fldChar w:fldCharType="separate"/>
      </w:r>
      <w:r>
        <w:rPr>
          <w:rFonts w:hint="eastAsia" w:asciiTheme="minorEastAsia" w:hAnsiTheme="minorEastAsia" w:eastAsiaTheme="minorEastAsia" w:cstheme="minorEastAsia"/>
          <w:b w:val="0"/>
          <w:bCs w:val="0"/>
          <w:color w:val="auto"/>
        </w:rPr>
        <w:t>八、估价依据</w:t>
      </w:r>
      <w:r>
        <w:rPr>
          <w:rFonts w:hint="eastAsia" w:asciiTheme="minorEastAsia" w:hAnsiTheme="minorEastAsia" w:eastAsiaTheme="minorEastAsia" w:cstheme="minorEastAsia"/>
          <w:b w:val="0"/>
          <w:bCs w:val="0"/>
          <w:color w:val="auto"/>
        </w:rPr>
        <w:tab/>
      </w:r>
      <w:r>
        <w:rPr>
          <w:rFonts w:hint="eastAsia" w:asciiTheme="minorEastAsia" w:hAnsiTheme="minorEastAsia" w:eastAsiaTheme="minorEastAsia" w:cstheme="minorEastAsia"/>
          <w:b w:val="0"/>
          <w:bCs w:val="0"/>
          <w:color w:val="auto"/>
        </w:rPr>
        <w:fldChar w:fldCharType="begin"/>
      </w:r>
      <w:r>
        <w:rPr>
          <w:rFonts w:hint="eastAsia" w:asciiTheme="minorEastAsia" w:hAnsiTheme="minorEastAsia" w:eastAsiaTheme="minorEastAsia" w:cstheme="minorEastAsia"/>
          <w:b w:val="0"/>
          <w:bCs w:val="0"/>
          <w:color w:val="auto"/>
        </w:rPr>
        <w:instrText xml:space="preserve"> PAGEREF _Toc19690 </w:instrText>
      </w:r>
      <w:r>
        <w:rPr>
          <w:rFonts w:hint="eastAsia" w:asciiTheme="minorEastAsia" w:hAnsiTheme="minorEastAsia" w:eastAsiaTheme="minorEastAsia" w:cstheme="minorEastAsia"/>
          <w:b w:val="0"/>
          <w:bCs w:val="0"/>
          <w:color w:val="auto"/>
        </w:rPr>
        <w:fldChar w:fldCharType="separate"/>
      </w:r>
      <w:r>
        <w:rPr>
          <w:rFonts w:hint="eastAsia" w:asciiTheme="minorEastAsia" w:hAnsiTheme="minorEastAsia" w:eastAsiaTheme="minorEastAsia" w:cstheme="minorEastAsia"/>
          <w:b w:val="0"/>
          <w:bCs w:val="0"/>
          <w:color w:val="auto"/>
        </w:rPr>
        <w:t>9</w:t>
      </w:r>
      <w:r>
        <w:rPr>
          <w:rFonts w:hint="eastAsia" w:asciiTheme="minorEastAsia" w:hAnsiTheme="minorEastAsia" w:eastAsiaTheme="minorEastAsia" w:cstheme="minorEastAsia"/>
          <w:b w:val="0"/>
          <w:bCs w:val="0"/>
          <w:color w:val="auto"/>
        </w:rPr>
        <w:fldChar w:fldCharType="end"/>
      </w:r>
      <w:r>
        <w:rPr>
          <w:rFonts w:hint="eastAsia" w:asciiTheme="minorEastAsia" w:hAnsiTheme="minorEastAsia" w:eastAsiaTheme="minorEastAsia" w:cstheme="minorEastAsia"/>
          <w:b w:val="0"/>
          <w:bCs w:val="0"/>
          <w:color w:val="auto"/>
        </w:rPr>
        <w:fldChar w:fldCharType="end"/>
      </w:r>
    </w:p>
    <w:p>
      <w:pPr>
        <w:pStyle w:val="26"/>
        <w:tabs>
          <w:tab w:val="right" w:leader="dot" w:pos="8220"/>
        </w:tabs>
        <w:spacing w:line="360" w:lineRule="auto"/>
        <w:rPr>
          <w:rFonts w:hint="eastAsia" w:asciiTheme="minorEastAsia" w:hAnsiTheme="minorEastAsia" w:eastAsiaTheme="minorEastAsia" w:cstheme="minorEastAsia"/>
          <w:b w:val="0"/>
          <w:bCs w:val="0"/>
          <w:color w:val="auto"/>
        </w:rPr>
      </w:pPr>
      <w:r>
        <w:rPr>
          <w:rFonts w:hint="eastAsia" w:asciiTheme="minorEastAsia" w:hAnsiTheme="minorEastAsia" w:eastAsiaTheme="minorEastAsia" w:cstheme="minorEastAsia"/>
          <w:b w:val="0"/>
          <w:bCs w:val="0"/>
          <w:color w:val="auto"/>
        </w:rPr>
        <w:fldChar w:fldCharType="begin"/>
      </w:r>
      <w:r>
        <w:rPr>
          <w:rFonts w:hint="eastAsia" w:asciiTheme="minorEastAsia" w:hAnsiTheme="minorEastAsia" w:eastAsiaTheme="minorEastAsia" w:cstheme="minorEastAsia"/>
          <w:b w:val="0"/>
          <w:bCs w:val="0"/>
          <w:color w:val="auto"/>
        </w:rPr>
        <w:instrText xml:space="preserve"> HYPERLINK \l _Toc14005 </w:instrText>
      </w:r>
      <w:r>
        <w:rPr>
          <w:rFonts w:hint="eastAsia" w:asciiTheme="minorEastAsia" w:hAnsiTheme="minorEastAsia" w:eastAsiaTheme="minorEastAsia" w:cstheme="minorEastAsia"/>
          <w:b w:val="0"/>
          <w:bCs w:val="0"/>
          <w:color w:val="auto"/>
        </w:rPr>
        <w:fldChar w:fldCharType="separate"/>
      </w:r>
      <w:r>
        <w:rPr>
          <w:rFonts w:hint="eastAsia" w:asciiTheme="minorEastAsia" w:hAnsiTheme="minorEastAsia" w:eastAsiaTheme="minorEastAsia" w:cstheme="minorEastAsia"/>
          <w:b w:val="0"/>
          <w:bCs w:val="0"/>
          <w:color w:val="auto"/>
        </w:rPr>
        <w:t>九、估价方法</w:t>
      </w:r>
      <w:r>
        <w:rPr>
          <w:rFonts w:hint="eastAsia" w:asciiTheme="minorEastAsia" w:hAnsiTheme="minorEastAsia" w:eastAsiaTheme="minorEastAsia" w:cstheme="minorEastAsia"/>
          <w:b w:val="0"/>
          <w:bCs w:val="0"/>
          <w:color w:val="auto"/>
        </w:rPr>
        <w:tab/>
      </w:r>
      <w:r>
        <w:rPr>
          <w:rFonts w:hint="eastAsia" w:asciiTheme="minorEastAsia" w:hAnsiTheme="minorEastAsia" w:eastAsiaTheme="minorEastAsia" w:cstheme="minorEastAsia"/>
          <w:b w:val="0"/>
          <w:bCs w:val="0"/>
          <w:color w:val="auto"/>
        </w:rPr>
        <w:fldChar w:fldCharType="begin"/>
      </w:r>
      <w:r>
        <w:rPr>
          <w:rFonts w:hint="eastAsia" w:asciiTheme="minorEastAsia" w:hAnsiTheme="minorEastAsia" w:eastAsiaTheme="minorEastAsia" w:cstheme="minorEastAsia"/>
          <w:b w:val="0"/>
          <w:bCs w:val="0"/>
          <w:color w:val="auto"/>
        </w:rPr>
        <w:instrText xml:space="preserve"> PAGEREF _Toc14005 </w:instrText>
      </w:r>
      <w:r>
        <w:rPr>
          <w:rFonts w:hint="eastAsia" w:asciiTheme="minorEastAsia" w:hAnsiTheme="minorEastAsia" w:eastAsiaTheme="minorEastAsia" w:cstheme="minorEastAsia"/>
          <w:b w:val="0"/>
          <w:bCs w:val="0"/>
          <w:color w:val="auto"/>
        </w:rPr>
        <w:fldChar w:fldCharType="separate"/>
      </w:r>
      <w:r>
        <w:rPr>
          <w:rFonts w:hint="eastAsia" w:asciiTheme="minorEastAsia" w:hAnsiTheme="minorEastAsia" w:eastAsiaTheme="minorEastAsia" w:cstheme="minorEastAsia"/>
          <w:b w:val="0"/>
          <w:bCs w:val="0"/>
          <w:color w:val="auto"/>
        </w:rPr>
        <w:t>10</w:t>
      </w:r>
      <w:r>
        <w:rPr>
          <w:rFonts w:hint="eastAsia" w:asciiTheme="minorEastAsia" w:hAnsiTheme="minorEastAsia" w:eastAsiaTheme="minorEastAsia" w:cstheme="minorEastAsia"/>
          <w:b w:val="0"/>
          <w:bCs w:val="0"/>
          <w:color w:val="auto"/>
        </w:rPr>
        <w:fldChar w:fldCharType="end"/>
      </w:r>
      <w:r>
        <w:rPr>
          <w:rFonts w:hint="eastAsia" w:asciiTheme="minorEastAsia" w:hAnsiTheme="minorEastAsia" w:eastAsiaTheme="minorEastAsia" w:cstheme="minorEastAsia"/>
          <w:b w:val="0"/>
          <w:bCs w:val="0"/>
          <w:color w:val="auto"/>
        </w:rPr>
        <w:fldChar w:fldCharType="end"/>
      </w:r>
    </w:p>
    <w:p>
      <w:pPr>
        <w:pStyle w:val="26"/>
        <w:tabs>
          <w:tab w:val="right" w:leader="dot" w:pos="8220"/>
        </w:tabs>
        <w:spacing w:line="360" w:lineRule="auto"/>
        <w:rPr>
          <w:rFonts w:hint="eastAsia" w:asciiTheme="minorEastAsia" w:hAnsiTheme="minorEastAsia" w:eastAsiaTheme="minorEastAsia" w:cstheme="minorEastAsia"/>
          <w:b w:val="0"/>
          <w:bCs w:val="0"/>
          <w:color w:val="auto"/>
        </w:rPr>
      </w:pPr>
      <w:r>
        <w:rPr>
          <w:rFonts w:hint="eastAsia" w:asciiTheme="minorEastAsia" w:hAnsiTheme="minorEastAsia" w:eastAsiaTheme="minorEastAsia" w:cstheme="minorEastAsia"/>
          <w:b w:val="0"/>
          <w:bCs w:val="0"/>
          <w:color w:val="auto"/>
        </w:rPr>
        <w:fldChar w:fldCharType="begin"/>
      </w:r>
      <w:r>
        <w:rPr>
          <w:rFonts w:hint="eastAsia" w:asciiTheme="minorEastAsia" w:hAnsiTheme="minorEastAsia" w:eastAsiaTheme="minorEastAsia" w:cstheme="minorEastAsia"/>
          <w:b w:val="0"/>
          <w:bCs w:val="0"/>
          <w:color w:val="auto"/>
        </w:rPr>
        <w:instrText xml:space="preserve"> HYPERLINK \l _Toc24541 </w:instrText>
      </w:r>
      <w:r>
        <w:rPr>
          <w:rFonts w:hint="eastAsia" w:asciiTheme="minorEastAsia" w:hAnsiTheme="minorEastAsia" w:eastAsiaTheme="minorEastAsia" w:cstheme="minorEastAsia"/>
          <w:b w:val="0"/>
          <w:bCs w:val="0"/>
          <w:color w:val="auto"/>
        </w:rPr>
        <w:fldChar w:fldCharType="separate"/>
      </w:r>
      <w:r>
        <w:rPr>
          <w:rFonts w:hint="eastAsia" w:asciiTheme="minorEastAsia" w:hAnsiTheme="minorEastAsia" w:eastAsiaTheme="minorEastAsia" w:cstheme="minorEastAsia"/>
          <w:b w:val="0"/>
          <w:bCs w:val="0"/>
          <w:color w:val="auto"/>
        </w:rPr>
        <w:t>十、估价结果</w:t>
      </w:r>
      <w:r>
        <w:rPr>
          <w:rFonts w:hint="eastAsia" w:asciiTheme="minorEastAsia" w:hAnsiTheme="minorEastAsia" w:eastAsiaTheme="minorEastAsia" w:cstheme="minorEastAsia"/>
          <w:b w:val="0"/>
          <w:bCs w:val="0"/>
          <w:color w:val="auto"/>
        </w:rPr>
        <w:tab/>
      </w:r>
      <w:r>
        <w:rPr>
          <w:rFonts w:hint="eastAsia" w:asciiTheme="minorEastAsia" w:hAnsiTheme="minorEastAsia" w:eastAsiaTheme="minorEastAsia" w:cstheme="minorEastAsia"/>
          <w:b w:val="0"/>
          <w:bCs w:val="0"/>
          <w:color w:val="auto"/>
        </w:rPr>
        <w:fldChar w:fldCharType="begin"/>
      </w:r>
      <w:r>
        <w:rPr>
          <w:rFonts w:hint="eastAsia" w:asciiTheme="minorEastAsia" w:hAnsiTheme="minorEastAsia" w:eastAsiaTheme="minorEastAsia" w:cstheme="minorEastAsia"/>
          <w:b w:val="0"/>
          <w:bCs w:val="0"/>
          <w:color w:val="auto"/>
        </w:rPr>
        <w:instrText xml:space="preserve"> PAGEREF _Toc24541 </w:instrText>
      </w:r>
      <w:r>
        <w:rPr>
          <w:rFonts w:hint="eastAsia" w:asciiTheme="minorEastAsia" w:hAnsiTheme="minorEastAsia" w:eastAsiaTheme="minorEastAsia" w:cstheme="minorEastAsia"/>
          <w:b w:val="0"/>
          <w:bCs w:val="0"/>
          <w:color w:val="auto"/>
        </w:rPr>
        <w:fldChar w:fldCharType="separate"/>
      </w:r>
      <w:r>
        <w:rPr>
          <w:rFonts w:hint="eastAsia" w:asciiTheme="minorEastAsia" w:hAnsiTheme="minorEastAsia" w:eastAsiaTheme="minorEastAsia" w:cstheme="minorEastAsia"/>
          <w:b w:val="0"/>
          <w:bCs w:val="0"/>
          <w:color w:val="auto"/>
        </w:rPr>
        <w:t>11</w:t>
      </w:r>
      <w:r>
        <w:rPr>
          <w:rFonts w:hint="eastAsia" w:asciiTheme="minorEastAsia" w:hAnsiTheme="minorEastAsia" w:eastAsiaTheme="minorEastAsia" w:cstheme="minorEastAsia"/>
          <w:b w:val="0"/>
          <w:bCs w:val="0"/>
          <w:color w:val="auto"/>
        </w:rPr>
        <w:fldChar w:fldCharType="end"/>
      </w:r>
      <w:r>
        <w:rPr>
          <w:rFonts w:hint="eastAsia" w:asciiTheme="minorEastAsia" w:hAnsiTheme="minorEastAsia" w:eastAsiaTheme="minorEastAsia" w:cstheme="minorEastAsia"/>
          <w:b w:val="0"/>
          <w:bCs w:val="0"/>
          <w:color w:val="auto"/>
        </w:rPr>
        <w:fldChar w:fldCharType="end"/>
      </w:r>
    </w:p>
    <w:p>
      <w:pPr>
        <w:pStyle w:val="26"/>
        <w:tabs>
          <w:tab w:val="right" w:leader="dot" w:pos="8220"/>
        </w:tabs>
        <w:spacing w:line="360" w:lineRule="auto"/>
        <w:rPr>
          <w:rFonts w:hint="eastAsia" w:asciiTheme="minorEastAsia" w:hAnsiTheme="minorEastAsia" w:eastAsiaTheme="minorEastAsia" w:cstheme="minorEastAsia"/>
          <w:b w:val="0"/>
          <w:bCs w:val="0"/>
          <w:color w:val="auto"/>
        </w:rPr>
      </w:pPr>
      <w:r>
        <w:rPr>
          <w:rFonts w:hint="eastAsia" w:asciiTheme="minorEastAsia" w:hAnsiTheme="minorEastAsia" w:eastAsiaTheme="minorEastAsia" w:cstheme="minorEastAsia"/>
          <w:b w:val="0"/>
          <w:bCs w:val="0"/>
          <w:color w:val="auto"/>
        </w:rPr>
        <w:fldChar w:fldCharType="begin"/>
      </w:r>
      <w:r>
        <w:rPr>
          <w:rFonts w:hint="eastAsia" w:asciiTheme="minorEastAsia" w:hAnsiTheme="minorEastAsia" w:eastAsiaTheme="minorEastAsia" w:cstheme="minorEastAsia"/>
          <w:b w:val="0"/>
          <w:bCs w:val="0"/>
          <w:color w:val="auto"/>
        </w:rPr>
        <w:instrText xml:space="preserve"> HYPERLINK \l _Toc26043 </w:instrText>
      </w:r>
      <w:r>
        <w:rPr>
          <w:rFonts w:hint="eastAsia" w:asciiTheme="minorEastAsia" w:hAnsiTheme="minorEastAsia" w:eastAsiaTheme="minorEastAsia" w:cstheme="minorEastAsia"/>
          <w:b w:val="0"/>
          <w:bCs w:val="0"/>
          <w:color w:val="auto"/>
        </w:rPr>
        <w:fldChar w:fldCharType="separate"/>
      </w:r>
      <w:r>
        <w:rPr>
          <w:rFonts w:hint="eastAsia" w:asciiTheme="minorEastAsia" w:hAnsiTheme="minorEastAsia" w:eastAsiaTheme="minorEastAsia" w:cstheme="minorEastAsia"/>
          <w:b w:val="0"/>
          <w:bCs w:val="0"/>
          <w:color w:val="auto"/>
        </w:rPr>
        <w:t>十一、注册房地产估价师</w:t>
      </w:r>
      <w:r>
        <w:rPr>
          <w:rFonts w:hint="eastAsia" w:asciiTheme="minorEastAsia" w:hAnsiTheme="minorEastAsia" w:eastAsiaTheme="minorEastAsia" w:cstheme="minorEastAsia"/>
          <w:b w:val="0"/>
          <w:bCs w:val="0"/>
          <w:color w:val="auto"/>
        </w:rPr>
        <w:tab/>
      </w:r>
      <w:r>
        <w:rPr>
          <w:rFonts w:hint="eastAsia" w:asciiTheme="minorEastAsia" w:hAnsiTheme="minorEastAsia" w:eastAsiaTheme="minorEastAsia" w:cstheme="minorEastAsia"/>
          <w:b w:val="0"/>
          <w:bCs w:val="0"/>
          <w:color w:val="auto"/>
        </w:rPr>
        <w:fldChar w:fldCharType="begin"/>
      </w:r>
      <w:r>
        <w:rPr>
          <w:rFonts w:hint="eastAsia" w:asciiTheme="minorEastAsia" w:hAnsiTheme="minorEastAsia" w:eastAsiaTheme="minorEastAsia" w:cstheme="minorEastAsia"/>
          <w:b w:val="0"/>
          <w:bCs w:val="0"/>
          <w:color w:val="auto"/>
        </w:rPr>
        <w:instrText xml:space="preserve"> PAGEREF _Toc26043 </w:instrText>
      </w:r>
      <w:r>
        <w:rPr>
          <w:rFonts w:hint="eastAsia" w:asciiTheme="minorEastAsia" w:hAnsiTheme="minorEastAsia" w:eastAsiaTheme="minorEastAsia" w:cstheme="minorEastAsia"/>
          <w:b w:val="0"/>
          <w:bCs w:val="0"/>
          <w:color w:val="auto"/>
        </w:rPr>
        <w:fldChar w:fldCharType="separate"/>
      </w:r>
      <w:r>
        <w:rPr>
          <w:rFonts w:hint="eastAsia" w:asciiTheme="minorEastAsia" w:hAnsiTheme="minorEastAsia" w:eastAsiaTheme="minorEastAsia" w:cstheme="minorEastAsia"/>
          <w:b w:val="0"/>
          <w:bCs w:val="0"/>
          <w:color w:val="auto"/>
        </w:rPr>
        <w:t>11</w:t>
      </w:r>
      <w:r>
        <w:rPr>
          <w:rFonts w:hint="eastAsia" w:asciiTheme="minorEastAsia" w:hAnsiTheme="minorEastAsia" w:eastAsiaTheme="minorEastAsia" w:cstheme="minorEastAsia"/>
          <w:b w:val="0"/>
          <w:bCs w:val="0"/>
          <w:color w:val="auto"/>
        </w:rPr>
        <w:fldChar w:fldCharType="end"/>
      </w:r>
      <w:r>
        <w:rPr>
          <w:rFonts w:hint="eastAsia" w:asciiTheme="minorEastAsia" w:hAnsiTheme="minorEastAsia" w:eastAsiaTheme="minorEastAsia" w:cstheme="minorEastAsia"/>
          <w:b w:val="0"/>
          <w:bCs w:val="0"/>
          <w:color w:val="auto"/>
        </w:rPr>
        <w:fldChar w:fldCharType="end"/>
      </w:r>
    </w:p>
    <w:p>
      <w:pPr>
        <w:pStyle w:val="26"/>
        <w:tabs>
          <w:tab w:val="right" w:leader="dot" w:pos="8220"/>
        </w:tabs>
        <w:spacing w:line="360" w:lineRule="auto"/>
        <w:rPr>
          <w:rFonts w:hint="eastAsia" w:asciiTheme="minorEastAsia" w:hAnsiTheme="minorEastAsia" w:eastAsiaTheme="minorEastAsia" w:cstheme="minorEastAsia"/>
          <w:b w:val="0"/>
          <w:bCs w:val="0"/>
          <w:color w:val="auto"/>
        </w:rPr>
      </w:pPr>
      <w:r>
        <w:rPr>
          <w:rFonts w:hint="eastAsia" w:asciiTheme="minorEastAsia" w:hAnsiTheme="minorEastAsia" w:eastAsiaTheme="minorEastAsia" w:cstheme="minorEastAsia"/>
          <w:b w:val="0"/>
          <w:bCs w:val="0"/>
          <w:color w:val="auto"/>
        </w:rPr>
        <w:fldChar w:fldCharType="begin"/>
      </w:r>
      <w:r>
        <w:rPr>
          <w:rFonts w:hint="eastAsia" w:asciiTheme="minorEastAsia" w:hAnsiTheme="minorEastAsia" w:eastAsiaTheme="minorEastAsia" w:cstheme="minorEastAsia"/>
          <w:b w:val="0"/>
          <w:bCs w:val="0"/>
          <w:color w:val="auto"/>
        </w:rPr>
        <w:instrText xml:space="preserve"> HYPERLINK \l _Toc29007 </w:instrText>
      </w:r>
      <w:r>
        <w:rPr>
          <w:rFonts w:hint="eastAsia" w:asciiTheme="minorEastAsia" w:hAnsiTheme="minorEastAsia" w:eastAsiaTheme="minorEastAsia" w:cstheme="minorEastAsia"/>
          <w:b w:val="0"/>
          <w:bCs w:val="0"/>
          <w:color w:val="auto"/>
        </w:rPr>
        <w:fldChar w:fldCharType="separate"/>
      </w:r>
      <w:r>
        <w:rPr>
          <w:rFonts w:hint="eastAsia" w:asciiTheme="minorEastAsia" w:hAnsiTheme="minorEastAsia" w:eastAsiaTheme="minorEastAsia" w:cstheme="minorEastAsia"/>
          <w:b w:val="0"/>
          <w:bCs w:val="0"/>
          <w:color w:val="auto"/>
        </w:rPr>
        <w:t>十二、实地查勘期</w:t>
      </w:r>
      <w:r>
        <w:rPr>
          <w:rFonts w:hint="eastAsia" w:asciiTheme="minorEastAsia" w:hAnsiTheme="minorEastAsia" w:eastAsiaTheme="minorEastAsia" w:cstheme="minorEastAsia"/>
          <w:b w:val="0"/>
          <w:bCs w:val="0"/>
          <w:color w:val="auto"/>
        </w:rPr>
        <w:tab/>
      </w:r>
      <w:r>
        <w:rPr>
          <w:rFonts w:hint="eastAsia" w:asciiTheme="minorEastAsia" w:hAnsiTheme="minorEastAsia" w:eastAsiaTheme="minorEastAsia" w:cstheme="minorEastAsia"/>
          <w:b w:val="0"/>
          <w:bCs w:val="0"/>
          <w:color w:val="auto"/>
        </w:rPr>
        <w:fldChar w:fldCharType="begin"/>
      </w:r>
      <w:r>
        <w:rPr>
          <w:rFonts w:hint="eastAsia" w:asciiTheme="minorEastAsia" w:hAnsiTheme="minorEastAsia" w:eastAsiaTheme="minorEastAsia" w:cstheme="minorEastAsia"/>
          <w:b w:val="0"/>
          <w:bCs w:val="0"/>
          <w:color w:val="auto"/>
        </w:rPr>
        <w:instrText xml:space="preserve"> PAGEREF _Toc29007 </w:instrText>
      </w:r>
      <w:r>
        <w:rPr>
          <w:rFonts w:hint="eastAsia" w:asciiTheme="minorEastAsia" w:hAnsiTheme="minorEastAsia" w:eastAsiaTheme="minorEastAsia" w:cstheme="minorEastAsia"/>
          <w:b w:val="0"/>
          <w:bCs w:val="0"/>
          <w:color w:val="auto"/>
        </w:rPr>
        <w:fldChar w:fldCharType="separate"/>
      </w:r>
      <w:r>
        <w:rPr>
          <w:rFonts w:hint="eastAsia" w:asciiTheme="minorEastAsia" w:hAnsiTheme="minorEastAsia" w:eastAsiaTheme="minorEastAsia" w:cstheme="minorEastAsia"/>
          <w:b w:val="0"/>
          <w:bCs w:val="0"/>
          <w:color w:val="auto"/>
        </w:rPr>
        <w:t>11</w:t>
      </w:r>
      <w:r>
        <w:rPr>
          <w:rFonts w:hint="eastAsia" w:asciiTheme="minorEastAsia" w:hAnsiTheme="minorEastAsia" w:eastAsiaTheme="minorEastAsia" w:cstheme="minorEastAsia"/>
          <w:b w:val="0"/>
          <w:bCs w:val="0"/>
          <w:color w:val="auto"/>
        </w:rPr>
        <w:fldChar w:fldCharType="end"/>
      </w:r>
      <w:r>
        <w:rPr>
          <w:rFonts w:hint="eastAsia" w:asciiTheme="minorEastAsia" w:hAnsiTheme="minorEastAsia" w:eastAsiaTheme="minorEastAsia" w:cstheme="minorEastAsia"/>
          <w:b w:val="0"/>
          <w:bCs w:val="0"/>
          <w:color w:val="auto"/>
        </w:rPr>
        <w:fldChar w:fldCharType="end"/>
      </w:r>
    </w:p>
    <w:p>
      <w:pPr>
        <w:pStyle w:val="26"/>
        <w:tabs>
          <w:tab w:val="right" w:leader="dot" w:pos="8220"/>
        </w:tabs>
        <w:spacing w:line="360" w:lineRule="auto"/>
        <w:rPr>
          <w:rFonts w:hint="eastAsia" w:asciiTheme="minorEastAsia" w:hAnsiTheme="minorEastAsia" w:eastAsiaTheme="minorEastAsia" w:cstheme="minorEastAsia"/>
          <w:b w:val="0"/>
          <w:bCs w:val="0"/>
          <w:color w:val="auto"/>
        </w:rPr>
      </w:pPr>
      <w:r>
        <w:rPr>
          <w:rFonts w:hint="eastAsia" w:asciiTheme="minorEastAsia" w:hAnsiTheme="minorEastAsia" w:eastAsiaTheme="minorEastAsia" w:cstheme="minorEastAsia"/>
          <w:b w:val="0"/>
          <w:bCs w:val="0"/>
          <w:color w:val="auto"/>
        </w:rPr>
        <w:fldChar w:fldCharType="begin"/>
      </w:r>
      <w:r>
        <w:rPr>
          <w:rFonts w:hint="eastAsia" w:asciiTheme="minorEastAsia" w:hAnsiTheme="minorEastAsia" w:eastAsiaTheme="minorEastAsia" w:cstheme="minorEastAsia"/>
          <w:b w:val="0"/>
          <w:bCs w:val="0"/>
          <w:color w:val="auto"/>
        </w:rPr>
        <w:instrText xml:space="preserve"> HYPERLINK \l _Toc21373 </w:instrText>
      </w:r>
      <w:r>
        <w:rPr>
          <w:rFonts w:hint="eastAsia" w:asciiTheme="minorEastAsia" w:hAnsiTheme="minorEastAsia" w:eastAsiaTheme="minorEastAsia" w:cstheme="minorEastAsia"/>
          <w:b w:val="0"/>
          <w:bCs w:val="0"/>
          <w:color w:val="auto"/>
        </w:rPr>
        <w:fldChar w:fldCharType="separate"/>
      </w:r>
      <w:r>
        <w:rPr>
          <w:rFonts w:hint="eastAsia" w:asciiTheme="minorEastAsia" w:hAnsiTheme="minorEastAsia" w:eastAsiaTheme="minorEastAsia" w:cstheme="minorEastAsia"/>
          <w:b w:val="0"/>
          <w:bCs w:val="0"/>
          <w:color w:val="auto"/>
        </w:rPr>
        <w:t>十三、估价作业期</w:t>
      </w:r>
      <w:r>
        <w:rPr>
          <w:rFonts w:hint="eastAsia" w:asciiTheme="minorEastAsia" w:hAnsiTheme="minorEastAsia" w:eastAsiaTheme="minorEastAsia" w:cstheme="minorEastAsia"/>
          <w:b w:val="0"/>
          <w:bCs w:val="0"/>
          <w:color w:val="auto"/>
        </w:rPr>
        <w:tab/>
      </w:r>
      <w:r>
        <w:rPr>
          <w:rFonts w:hint="eastAsia" w:asciiTheme="minorEastAsia" w:hAnsiTheme="minorEastAsia" w:eastAsiaTheme="minorEastAsia" w:cstheme="minorEastAsia"/>
          <w:b w:val="0"/>
          <w:bCs w:val="0"/>
          <w:color w:val="auto"/>
        </w:rPr>
        <w:fldChar w:fldCharType="begin"/>
      </w:r>
      <w:r>
        <w:rPr>
          <w:rFonts w:hint="eastAsia" w:asciiTheme="minorEastAsia" w:hAnsiTheme="minorEastAsia" w:eastAsiaTheme="minorEastAsia" w:cstheme="minorEastAsia"/>
          <w:b w:val="0"/>
          <w:bCs w:val="0"/>
          <w:color w:val="auto"/>
        </w:rPr>
        <w:instrText xml:space="preserve"> PAGEREF _Toc21373 </w:instrText>
      </w:r>
      <w:r>
        <w:rPr>
          <w:rFonts w:hint="eastAsia" w:asciiTheme="minorEastAsia" w:hAnsiTheme="minorEastAsia" w:eastAsiaTheme="minorEastAsia" w:cstheme="minorEastAsia"/>
          <w:b w:val="0"/>
          <w:bCs w:val="0"/>
          <w:color w:val="auto"/>
        </w:rPr>
        <w:fldChar w:fldCharType="separate"/>
      </w:r>
      <w:r>
        <w:rPr>
          <w:rFonts w:hint="eastAsia" w:asciiTheme="minorEastAsia" w:hAnsiTheme="minorEastAsia" w:eastAsiaTheme="minorEastAsia" w:cstheme="minorEastAsia"/>
          <w:b w:val="0"/>
          <w:bCs w:val="0"/>
          <w:color w:val="auto"/>
        </w:rPr>
        <w:t>11</w:t>
      </w:r>
      <w:r>
        <w:rPr>
          <w:rFonts w:hint="eastAsia" w:asciiTheme="minorEastAsia" w:hAnsiTheme="minorEastAsia" w:eastAsiaTheme="minorEastAsia" w:cstheme="minorEastAsia"/>
          <w:b w:val="0"/>
          <w:bCs w:val="0"/>
          <w:color w:val="auto"/>
        </w:rPr>
        <w:fldChar w:fldCharType="end"/>
      </w:r>
      <w:r>
        <w:rPr>
          <w:rFonts w:hint="eastAsia" w:asciiTheme="minorEastAsia" w:hAnsiTheme="minorEastAsia" w:eastAsiaTheme="minorEastAsia" w:cstheme="minorEastAsia"/>
          <w:b w:val="0"/>
          <w:bCs w:val="0"/>
          <w:color w:val="auto"/>
        </w:rPr>
        <w:fldChar w:fldCharType="end"/>
      </w:r>
    </w:p>
    <w:p>
      <w:pPr>
        <w:pStyle w:val="23"/>
        <w:tabs>
          <w:tab w:val="right" w:leader="dot" w:pos="8220"/>
          <w:tab w:val="clear" w:pos="8210"/>
        </w:tabs>
        <w:spacing w:line="360" w:lineRule="auto"/>
        <w:rPr>
          <w:rFonts w:hint="eastAsia" w:asciiTheme="minorEastAsia" w:hAnsiTheme="minorEastAsia" w:eastAsiaTheme="minorEastAsia" w:cstheme="minorEastAsia"/>
          <w:b w:val="0"/>
          <w:bCs w:val="0"/>
          <w:color w:val="auto"/>
        </w:rPr>
      </w:pPr>
      <w:r>
        <w:rPr>
          <w:rFonts w:hint="eastAsia" w:asciiTheme="minorEastAsia" w:hAnsiTheme="minorEastAsia" w:eastAsiaTheme="minorEastAsia" w:cstheme="minorEastAsia"/>
          <w:b w:val="0"/>
          <w:bCs w:val="0"/>
          <w:color w:val="auto"/>
        </w:rPr>
        <w:fldChar w:fldCharType="begin"/>
      </w:r>
      <w:r>
        <w:rPr>
          <w:rFonts w:hint="eastAsia" w:asciiTheme="minorEastAsia" w:hAnsiTheme="minorEastAsia" w:eastAsiaTheme="minorEastAsia" w:cstheme="minorEastAsia"/>
          <w:b w:val="0"/>
          <w:bCs w:val="0"/>
          <w:color w:val="auto"/>
        </w:rPr>
        <w:instrText xml:space="preserve"> HYPERLINK \l _Toc18660 </w:instrText>
      </w:r>
      <w:r>
        <w:rPr>
          <w:rFonts w:hint="eastAsia" w:asciiTheme="minorEastAsia" w:hAnsiTheme="minorEastAsia" w:eastAsiaTheme="minorEastAsia" w:cstheme="minorEastAsia"/>
          <w:b w:val="0"/>
          <w:bCs w:val="0"/>
          <w:color w:val="auto"/>
        </w:rPr>
        <w:fldChar w:fldCharType="separate"/>
      </w:r>
      <w:r>
        <w:rPr>
          <w:rFonts w:hint="eastAsia" w:asciiTheme="minorEastAsia" w:hAnsiTheme="minorEastAsia" w:eastAsiaTheme="minorEastAsia" w:cstheme="minorEastAsia"/>
          <w:b w:val="0"/>
          <w:bCs w:val="0"/>
          <w:color w:val="auto"/>
          <w:lang w:val="en-US" w:eastAsia="zh-CN"/>
        </w:rPr>
        <w:t>四、估价技术报告（估价机构留存）</w:t>
      </w:r>
      <w:r>
        <w:rPr>
          <w:rFonts w:hint="eastAsia" w:asciiTheme="minorEastAsia" w:hAnsiTheme="minorEastAsia" w:eastAsiaTheme="minorEastAsia" w:cstheme="minorEastAsia"/>
          <w:b w:val="0"/>
          <w:bCs w:val="0"/>
          <w:color w:val="auto"/>
        </w:rPr>
        <w:tab/>
      </w:r>
      <w:r>
        <w:rPr>
          <w:rFonts w:hint="eastAsia" w:asciiTheme="minorEastAsia" w:hAnsiTheme="minorEastAsia" w:eastAsiaTheme="minorEastAsia" w:cstheme="minorEastAsia"/>
          <w:b w:val="0"/>
          <w:bCs w:val="0"/>
          <w:color w:val="auto"/>
        </w:rPr>
        <w:fldChar w:fldCharType="begin"/>
      </w:r>
      <w:r>
        <w:rPr>
          <w:rFonts w:hint="eastAsia" w:asciiTheme="minorEastAsia" w:hAnsiTheme="minorEastAsia" w:eastAsiaTheme="minorEastAsia" w:cstheme="minorEastAsia"/>
          <w:b w:val="0"/>
          <w:bCs w:val="0"/>
          <w:color w:val="auto"/>
        </w:rPr>
        <w:instrText xml:space="preserve"> PAGEREF _Toc18660 </w:instrText>
      </w:r>
      <w:r>
        <w:rPr>
          <w:rFonts w:hint="eastAsia" w:asciiTheme="minorEastAsia" w:hAnsiTheme="minorEastAsia" w:eastAsiaTheme="minorEastAsia" w:cstheme="minorEastAsia"/>
          <w:b w:val="0"/>
          <w:bCs w:val="0"/>
          <w:color w:val="auto"/>
        </w:rPr>
        <w:fldChar w:fldCharType="separate"/>
      </w:r>
      <w:r>
        <w:rPr>
          <w:rFonts w:hint="eastAsia" w:asciiTheme="minorEastAsia" w:hAnsiTheme="minorEastAsia" w:eastAsiaTheme="minorEastAsia" w:cstheme="minorEastAsia"/>
          <w:b w:val="0"/>
          <w:bCs w:val="0"/>
          <w:color w:val="auto"/>
        </w:rPr>
        <w:t>12</w:t>
      </w:r>
      <w:r>
        <w:rPr>
          <w:rFonts w:hint="eastAsia" w:asciiTheme="minorEastAsia" w:hAnsiTheme="minorEastAsia" w:eastAsiaTheme="minorEastAsia" w:cstheme="minorEastAsia"/>
          <w:b w:val="0"/>
          <w:bCs w:val="0"/>
          <w:color w:val="auto"/>
        </w:rPr>
        <w:fldChar w:fldCharType="end"/>
      </w:r>
      <w:r>
        <w:rPr>
          <w:rFonts w:hint="eastAsia" w:asciiTheme="minorEastAsia" w:hAnsiTheme="minorEastAsia" w:eastAsiaTheme="minorEastAsia" w:cstheme="minorEastAsia"/>
          <w:b w:val="0"/>
          <w:bCs w:val="0"/>
          <w:color w:val="auto"/>
        </w:rPr>
        <w:fldChar w:fldCharType="end"/>
      </w:r>
    </w:p>
    <w:p>
      <w:pPr>
        <w:pStyle w:val="23"/>
        <w:tabs>
          <w:tab w:val="right" w:leader="dot" w:pos="8220"/>
          <w:tab w:val="clear" w:pos="8210"/>
        </w:tabs>
        <w:spacing w:line="360" w:lineRule="auto"/>
        <w:rPr>
          <w:rFonts w:hint="eastAsia" w:asciiTheme="minorEastAsia" w:hAnsiTheme="minorEastAsia" w:eastAsiaTheme="minorEastAsia" w:cstheme="minorEastAsia"/>
          <w:b w:val="0"/>
          <w:bCs w:val="0"/>
          <w:color w:val="auto"/>
        </w:rPr>
      </w:pPr>
      <w:r>
        <w:rPr>
          <w:rFonts w:hint="eastAsia" w:asciiTheme="minorEastAsia" w:hAnsiTheme="minorEastAsia" w:eastAsiaTheme="minorEastAsia" w:cstheme="minorEastAsia"/>
          <w:b w:val="0"/>
          <w:bCs w:val="0"/>
          <w:color w:val="auto"/>
        </w:rPr>
        <w:fldChar w:fldCharType="begin"/>
      </w:r>
      <w:r>
        <w:rPr>
          <w:rFonts w:hint="eastAsia" w:asciiTheme="minorEastAsia" w:hAnsiTheme="minorEastAsia" w:eastAsiaTheme="minorEastAsia" w:cstheme="minorEastAsia"/>
          <w:b w:val="0"/>
          <w:bCs w:val="0"/>
          <w:color w:val="auto"/>
        </w:rPr>
        <w:instrText xml:space="preserve"> HYPERLINK \l _Toc21712 </w:instrText>
      </w:r>
      <w:r>
        <w:rPr>
          <w:rFonts w:hint="eastAsia" w:asciiTheme="minorEastAsia" w:hAnsiTheme="minorEastAsia" w:eastAsiaTheme="minorEastAsia" w:cstheme="minorEastAsia"/>
          <w:b w:val="0"/>
          <w:bCs w:val="0"/>
          <w:color w:val="auto"/>
        </w:rPr>
        <w:fldChar w:fldCharType="separate"/>
      </w:r>
      <w:r>
        <w:rPr>
          <w:rFonts w:hint="eastAsia" w:asciiTheme="minorEastAsia" w:hAnsiTheme="minorEastAsia" w:eastAsiaTheme="minorEastAsia" w:cstheme="minorEastAsia"/>
          <w:b w:val="0"/>
          <w:bCs w:val="0"/>
          <w:color w:val="auto"/>
          <w:lang w:eastAsia="zh-CN"/>
        </w:rPr>
        <w:t>五、</w:t>
      </w:r>
      <w:r>
        <w:rPr>
          <w:rFonts w:hint="eastAsia" w:asciiTheme="minorEastAsia" w:hAnsiTheme="minorEastAsia" w:eastAsiaTheme="minorEastAsia" w:cstheme="minorEastAsia"/>
          <w:b w:val="0"/>
          <w:bCs w:val="0"/>
          <w:color w:val="auto"/>
        </w:rPr>
        <w:t>附件</w:t>
      </w:r>
      <w:r>
        <w:rPr>
          <w:rFonts w:hint="eastAsia" w:asciiTheme="minorEastAsia" w:hAnsiTheme="minorEastAsia" w:eastAsiaTheme="minorEastAsia" w:cstheme="minorEastAsia"/>
          <w:b w:val="0"/>
          <w:bCs w:val="0"/>
          <w:color w:val="auto"/>
        </w:rPr>
        <w:tab/>
      </w:r>
      <w:r>
        <w:rPr>
          <w:rFonts w:hint="eastAsia" w:asciiTheme="minorEastAsia" w:hAnsiTheme="minorEastAsia" w:eastAsiaTheme="minorEastAsia" w:cstheme="minorEastAsia"/>
          <w:b w:val="0"/>
          <w:bCs w:val="0"/>
          <w:color w:val="auto"/>
        </w:rPr>
        <w:fldChar w:fldCharType="begin"/>
      </w:r>
      <w:r>
        <w:rPr>
          <w:rFonts w:hint="eastAsia" w:asciiTheme="minorEastAsia" w:hAnsiTheme="minorEastAsia" w:eastAsiaTheme="minorEastAsia" w:cstheme="minorEastAsia"/>
          <w:b w:val="0"/>
          <w:bCs w:val="0"/>
          <w:color w:val="auto"/>
        </w:rPr>
        <w:instrText xml:space="preserve"> PAGEREF _Toc21712 </w:instrText>
      </w:r>
      <w:r>
        <w:rPr>
          <w:rFonts w:hint="eastAsia" w:asciiTheme="minorEastAsia" w:hAnsiTheme="minorEastAsia" w:eastAsiaTheme="minorEastAsia" w:cstheme="minorEastAsia"/>
          <w:b w:val="0"/>
          <w:bCs w:val="0"/>
          <w:color w:val="auto"/>
        </w:rPr>
        <w:fldChar w:fldCharType="separate"/>
      </w:r>
      <w:r>
        <w:rPr>
          <w:rFonts w:hint="eastAsia" w:asciiTheme="minorEastAsia" w:hAnsiTheme="minorEastAsia" w:eastAsiaTheme="minorEastAsia" w:cstheme="minorEastAsia"/>
          <w:b w:val="0"/>
          <w:bCs w:val="0"/>
          <w:color w:val="auto"/>
        </w:rPr>
        <w:t>12</w:t>
      </w:r>
      <w:r>
        <w:rPr>
          <w:rFonts w:hint="eastAsia" w:asciiTheme="minorEastAsia" w:hAnsiTheme="minorEastAsia" w:eastAsiaTheme="minorEastAsia" w:cstheme="minorEastAsia"/>
          <w:b w:val="0"/>
          <w:bCs w:val="0"/>
          <w:color w:val="auto"/>
        </w:rPr>
        <w:fldChar w:fldCharType="end"/>
      </w:r>
      <w:r>
        <w:rPr>
          <w:rFonts w:hint="eastAsia" w:asciiTheme="minorEastAsia" w:hAnsiTheme="minorEastAsia" w:eastAsiaTheme="minorEastAsia" w:cstheme="minorEastAsia"/>
          <w:b w:val="0"/>
          <w:bCs w:val="0"/>
          <w:color w:val="auto"/>
        </w:rPr>
        <w:fldChar w:fldCharType="end"/>
      </w:r>
    </w:p>
    <w:p>
      <w:pPr>
        <w:keepNext w:val="0"/>
        <w:keepLines w:val="0"/>
        <w:pageBreakBefore w:val="0"/>
        <w:kinsoku/>
        <w:overflowPunct/>
        <w:topLinePunct w:val="0"/>
        <w:bidi w:val="0"/>
        <w:spacing w:beforeLines="50" w:line="360" w:lineRule="auto"/>
        <w:ind w:firstLine="456" w:firstLineChars="152"/>
        <w:jc w:val="center"/>
        <w:rPr>
          <w:rFonts w:ascii="仿宋_GB2312" w:hAnsi="宋体" w:eastAsia="仿宋_GB2312"/>
          <w:b/>
          <w:bCs/>
          <w:color w:val="auto"/>
          <w:spacing w:val="0"/>
          <w:sz w:val="44"/>
        </w:rPr>
      </w:pPr>
      <w:r>
        <w:rPr>
          <w:rFonts w:hint="eastAsia" w:ascii="仿宋_GB2312" w:eastAsia="仿宋_GB2312"/>
          <w:color w:val="auto"/>
        </w:rPr>
        <w:fldChar w:fldCharType="end"/>
      </w:r>
      <w:r>
        <w:rPr>
          <w:rFonts w:hint="eastAsia" w:ascii="仿宋_GB2312" w:eastAsia="仿宋_GB2312"/>
          <w:color w:val="auto"/>
        </w:rPr>
        <w:br w:type="page"/>
      </w:r>
      <w:r>
        <w:rPr>
          <w:rStyle w:val="73"/>
          <w:rFonts w:hint="eastAsia"/>
          <w:color w:val="auto"/>
          <w:lang w:eastAsia="zh-CN"/>
        </w:rPr>
        <w:t>一、</w:t>
      </w:r>
      <w:r>
        <w:rPr>
          <w:rStyle w:val="73"/>
          <w:rFonts w:hint="eastAsia"/>
          <w:color w:val="auto"/>
        </w:rPr>
        <w:t>估价师声明</w:t>
      </w:r>
    </w:p>
    <w:p>
      <w:pPr>
        <w:pStyle w:val="16"/>
        <w:keepNext w:val="0"/>
        <w:keepLines w:val="0"/>
        <w:pageBreakBefore w:val="0"/>
        <w:kinsoku/>
        <w:overflowPunct/>
        <w:topLinePunct w:val="0"/>
        <w:bidi w:val="0"/>
        <w:snapToGrid w:val="0"/>
        <w:spacing w:line="540" w:lineRule="exact"/>
        <w:rPr>
          <w:rFonts w:ascii="仿宋_GB2312" w:hAnsi="宋体" w:eastAsia="仿宋_GB2312"/>
          <w:color w:val="auto"/>
          <w:sz w:val="28"/>
          <w:szCs w:val="28"/>
        </w:rPr>
      </w:pPr>
      <w:r>
        <w:rPr>
          <w:rFonts w:hint="eastAsia" w:ascii="仿宋_GB2312" w:hAnsi="宋体" w:eastAsia="仿宋_GB2312"/>
          <w:color w:val="auto"/>
          <w:sz w:val="28"/>
          <w:szCs w:val="28"/>
        </w:rPr>
        <w:t>我们郑重声明：</w:t>
      </w:r>
    </w:p>
    <w:p>
      <w:pPr>
        <w:pStyle w:val="16"/>
        <w:keepNext w:val="0"/>
        <w:keepLines w:val="0"/>
        <w:pageBreakBefore w:val="0"/>
        <w:kinsoku/>
        <w:overflowPunct/>
        <w:topLinePunct w:val="0"/>
        <w:bidi w:val="0"/>
        <w:spacing w:line="540" w:lineRule="exact"/>
        <w:ind w:firstLine="540"/>
        <w:rPr>
          <w:rFonts w:ascii="仿宋_GB2312" w:hAnsi="宋体" w:eastAsia="仿宋_GB2312"/>
          <w:color w:val="auto"/>
          <w:sz w:val="28"/>
          <w:szCs w:val="28"/>
        </w:rPr>
      </w:pPr>
      <w:r>
        <w:rPr>
          <w:rFonts w:hint="eastAsia" w:ascii="仿宋_GB2312" w:hAnsi="宋体" w:eastAsia="仿宋_GB2312"/>
          <w:color w:val="auto"/>
          <w:sz w:val="28"/>
          <w:szCs w:val="28"/>
        </w:rPr>
        <w:t>一、我们在本估价报告中陈述的事实是真实的和准确的，没有虚假记载、误导性陈述和重大遗漏。</w:t>
      </w:r>
    </w:p>
    <w:p>
      <w:pPr>
        <w:pStyle w:val="16"/>
        <w:keepNext w:val="0"/>
        <w:keepLines w:val="0"/>
        <w:pageBreakBefore w:val="0"/>
        <w:kinsoku/>
        <w:overflowPunct/>
        <w:topLinePunct w:val="0"/>
        <w:bidi w:val="0"/>
        <w:spacing w:line="540" w:lineRule="exact"/>
        <w:ind w:firstLine="540"/>
        <w:rPr>
          <w:rFonts w:ascii="仿宋_GB2312" w:hAnsi="宋体" w:eastAsia="仿宋_GB2312"/>
          <w:color w:val="auto"/>
          <w:sz w:val="28"/>
          <w:szCs w:val="28"/>
        </w:rPr>
      </w:pPr>
      <w:r>
        <w:rPr>
          <w:rFonts w:hint="eastAsia" w:ascii="仿宋_GB2312" w:hAnsi="宋体" w:eastAsia="仿宋_GB2312"/>
          <w:color w:val="auto"/>
          <w:sz w:val="28"/>
          <w:szCs w:val="28"/>
        </w:rPr>
        <w:t>二、本估价报告中的分析、意见和结论是我们自己公正的专业分析、意见和结论，但受到本估价报告中已说明的假设和限制条件的限制。</w:t>
      </w:r>
    </w:p>
    <w:p>
      <w:pPr>
        <w:pStyle w:val="16"/>
        <w:keepNext w:val="0"/>
        <w:keepLines w:val="0"/>
        <w:pageBreakBefore w:val="0"/>
        <w:kinsoku/>
        <w:overflowPunct/>
        <w:topLinePunct w:val="0"/>
        <w:bidi w:val="0"/>
        <w:spacing w:line="540" w:lineRule="exact"/>
        <w:ind w:firstLine="540"/>
        <w:rPr>
          <w:rFonts w:ascii="仿宋_GB2312" w:hAnsi="宋体" w:eastAsia="仿宋_GB2312"/>
          <w:color w:val="auto"/>
          <w:sz w:val="28"/>
          <w:szCs w:val="28"/>
        </w:rPr>
      </w:pPr>
      <w:r>
        <w:rPr>
          <w:rFonts w:hint="eastAsia" w:ascii="仿宋_GB2312" w:hAnsi="宋体" w:eastAsia="仿宋_GB2312"/>
          <w:color w:val="auto"/>
          <w:sz w:val="28"/>
          <w:szCs w:val="28"/>
        </w:rPr>
        <w:t>三、注册房地产估价师与估价报告中的估价对象没有现实或潜在的利益，与估价委托人及估价利害关系人没有利害关系，也对估价对象、估价委托人及估价利害关系人没有偏见。</w:t>
      </w:r>
    </w:p>
    <w:p>
      <w:pPr>
        <w:pStyle w:val="16"/>
        <w:keepNext w:val="0"/>
        <w:keepLines w:val="0"/>
        <w:pageBreakBefore w:val="0"/>
        <w:kinsoku/>
        <w:overflowPunct/>
        <w:topLinePunct w:val="0"/>
        <w:bidi w:val="0"/>
        <w:spacing w:line="540" w:lineRule="exact"/>
        <w:ind w:firstLine="540"/>
        <w:rPr>
          <w:rFonts w:ascii="仿宋_GB2312" w:hAnsi="宋体" w:eastAsia="仿宋_GB2312"/>
          <w:color w:val="auto"/>
          <w:sz w:val="28"/>
          <w:szCs w:val="28"/>
        </w:rPr>
      </w:pPr>
      <w:r>
        <w:rPr>
          <w:rFonts w:hint="eastAsia" w:ascii="仿宋_GB2312" w:hAnsi="宋体" w:eastAsia="仿宋_GB2312"/>
          <w:color w:val="auto"/>
          <w:sz w:val="28"/>
          <w:szCs w:val="28"/>
        </w:rPr>
        <w:t>四、我们依照中华人民共和国国家标准《房地产估价规范》《房地产估价基本术语标准》以及相关估价专项标准的规定开展估价工作，撰写估价报告。没有人对本估价报告提供重要专业帮助。</w:t>
      </w:r>
    </w:p>
    <w:p>
      <w:pPr>
        <w:pStyle w:val="16"/>
        <w:keepNext w:val="0"/>
        <w:keepLines w:val="0"/>
        <w:pageBreakBefore w:val="0"/>
        <w:kinsoku/>
        <w:overflowPunct/>
        <w:topLinePunct w:val="0"/>
        <w:bidi w:val="0"/>
        <w:spacing w:line="540" w:lineRule="exact"/>
        <w:ind w:right="-63" w:rightChars="-21" w:firstLine="540"/>
        <w:rPr>
          <w:rFonts w:ascii="仿宋_GB2312" w:hAnsi="宋体" w:eastAsia="仿宋_GB2312"/>
          <w:color w:val="auto"/>
          <w:sz w:val="28"/>
          <w:szCs w:val="28"/>
        </w:rPr>
      </w:pPr>
      <w:r>
        <w:rPr>
          <w:rFonts w:hint="eastAsia" w:ascii="仿宋_GB2312" w:hAnsi="宋体" w:eastAsia="仿宋_GB2312"/>
          <w:color w:val="auto"/>
          <w:sz w:val="28"/>
          <w:szCs w:val="28"/>
        </w:rPr>
        <w:t>五、注册房地产估价师韩颖于价值时点</w:t>
      </w:r>
      <w:r>
        <w:rPr>
          <w:rFonts w:hint="eastAsia" w:ascii="仿宋_GB2312" w:hAnsi="宋体" w:eastAsia="仿宋_GB2312"/>
          <w:color w:val="auto"/>
          <w:sz w:val="28"/>
          <w:szCs w:val="28"/>
          <w:lang w:eastAsia="zh-CN"/>
        </w:rPr>
        <w:t>2019年1月24日</w:t>
      </w:r>
      <w:r>
        <w:rPr>
          <w:rFonts w:hint="eastAsia" w:ascii="仿宋_GB2312" w:hAnsi="宋体" w:eastAsia="仿宋_GB2312"/>
          <w:color w:val="auto"/>
          <w:sz w:val="28"/>
          <w:szCs w:val="28"/>
        </w:rPr>
        <w:t>已对本估价报告中的估价对象进行了实地查勘。</w:t>
      </w:r>
    </w:p>
    <w:tbl>
      <w:tblPr>
        <w:tblStyle w:val="36"/>
        <w:tblW w:w="7886" w:type="dxa"/>
        <w:jc w:val="center"/>
        <w:tblInd w:w="-757"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3"/>
        <w:gridCol w:w="2248"/>
        <w:gridCol w:w="376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73" w:type="dxa"/>
            <w:shd w:val="clear" w:color="auto" w:fill="auto"/>
            <w:vAlign w:val="center"/>
          </w:tcPr>
          <w:p>
            <w:pPr>
              <w:pStyle w:val="16"/>
              <w:keepNext w:val="0"/>
              <w:keepLines w:val="0"/>
              <w:pageBreakBefore w:val="0"/>
              <w:kinsoku/>
              <w:overflowPunct/>
              <w:topLinePunct w:val="0"/>
              <w:bidi w:val="0"/>
              <w:spacing w:beforeLines="50" w:line="540" w:lineRule="exact"/>
              <w:jc w:val="center"/>
              <w:rPr>
                <w:rFonts w:ascii="仿宋_GB2312" w:hAnsi="宋体" w:eastAsia="仿宋_GB2312"/>
                <w:b/>
                <w:color w:val="auto"/>
                <w:sz w:val="24"/>
                <w:szCs w:val="24"/>
              </w:rPr>
            </w:pPr>
            <w:r>
              <w:rPr>
                <w:rFonts w:hint="eastAsia" w:ascii="仿宋_GB2312" w:hAnsi="宋体" w:eastAsia="仿宋_GB2312"/>
                <w:b/>
                <w:color w:val="auto"/>
                <w:sz w:val="24"/>
                <w:szCs w:val="24"/>
              </w:rPr>
              <w:t>姓名</w:t>
            </w:r>
          </w:p>
        </w:tc>
        <w:tc>
          <w:tcPr>
            <w:tcW w:w="2248" w:type="dxa"/>
            <w:shd w:val="clear" w:color="auto" w:fill="auto"/>
            <w:vAlign w:val="center"/>
          </w:tcPr>
          <w:p>
            <w:pPr>
              <w:pStyle w:val="16"/>
              <w:keepNext w:val="0"/>
              <w:keepLines w:val="0"/>
              <w:pageBreakBefore w:val="0"/>
              <w:kinsoku/>
              <w:overflowPunct/>
              <w:topLinePunct w:val="0"/>
              <w:bidi w:val="0"/>
              <w:spacing w:beforeLines="50" w:line="540" w:lineRule="exact"/>
              <w:jc w:val="center"/>
              <w:rPr>
                <w:rFonts w:ascii="仿宋_GB2312" w:hAnsi="宋体" w:eastAsia="仿宋_GB2312"/>
                <w:b/>
                <w:color w:val="auto"/>
                <w:sz w:val="24"/>
                <w:szCs w:val="24"/>
              </w:rPr>
            </w:pPr>
            <w:r>
              <w:rPr>
                <w:rFonts w:hint="eastAsia" w:ascii="仿宋_GB2312" w:hAnsi="宋体" w:eastAsia="仿宋_GB2312"/>
                <w:b/>
                <w:color w:val="auto"/>
                <w:sz w:val="24"/>
                <w:szCs w:val="24"/>
              </w:rPr>
              <w:t>注册号</w:t>
            </w:r>
          </w:p>
        </w:tc>
        <w:tc>
          <w:tcPr>
            <w:tcW w:w="3765" w:type="dxa"/>
            <w:shd w:val="clear" w:color="auto" w:fill="auto"/>
            <w:vAlign w:val="center"/>
          </w:tcPr>
          <w:p>
            <w:pPr>
              <w:pStyle w:val="16"/>
              <w:keepNext w:val="0"/>
              <w:keepLines w:val="0"/>
              <w:pageBreakBefore w:val="0"/>
              <w:kinsoku/>
              <w:overflowPunct/>
              <w:topLinePunct w:val="0"/>
              <w:bidi w:val="0"/>
              <w:spacing w:beforeLines="50" w:line="540" w:lineRule="exact"/>
              <w:jc w:val="center"/>
              <w:rPr>
                <w:rFonts w:ascii="仿宋_GB2312" w:hAnsi="宋体" w:eastAsia="仿宋_GB2312"/>
                <w:b/>
                <w:color w:val="auto"/>
                <w:sz w:val="24"/>
                <w:szCs w:val="24"/>
              </w:rPr>
            </w:pPr>
            <w:r>
              <w:rPr>
                <w:rFonts w:hint="eastAsia" w:ascii="仿宋_GB2312" w:hAnsi="宋体" w:eastAsia="仿宋_GB2312"/>
                <w:b/>
                <w:color w:val="auto"/>
                <w:sz w:val="24"/>
                <w:szCs w:val="24"/>
              </w:rPr>
              <w:t>签名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2" w:hRule="atLeast"/>
          <w:jc w:val="center"/>
        </w:trPr>
        <w:tc>
          <w:tcPr>
            <w:tcW w:w="1873" w:type="dxa"/>
            <w:shd w:val="clear" w:color="auto" w:fill="auto"/>
            <w:vAlign w:val="center"/>
          </w:tcPr>
          <w:p>
            <w:pPr>
              <w:pStyle w:val="16"/>
              <w:keepNext w:val="0"/>
              <w:keepLines w:val="0"/>
              <w:pageBreakBefore w:val="0"/>
              <w:kinsoku/>
              <w:overflowPunct/>
              <w:topLinePunct w:val="0"/>
              <w:bidi w:val="0"/>
              <w:snapToGrid w:val="0"/>
              <w:spacing w:beforeLines="50" w:line="540" w:lineRule="exact"/>
              <w:jc w:val="center"/>
              <w:rPr>
                <w:rFonts w:ascii="仿宋_GB2312" w:hAnsi="宋体" w:eastAsia="仿宋_GB2312"/>
                <w:color w:val="auto"/>
                <w:sz w:val="24"/>
                <w:szCs w:val="24"/>
              </w:rPr>
            </w:pPr>
            <w:r>
              <w:rPr>
                <w:rFonts w:hint="eastAsia" w:ascii="仿宋_GB2312" w:hAnsi="宋体" w:eastAsia="仿宋_GB2312"/>
                <w:color w:val="auto"/>
                <w:sz w:val="24"/>
                <w:szCs w:val="24"/>
              </w:rPr>
              <w:t>韩</w:t>
            </w:r>
            <w:r>
              <w:rPr>
                <w:rFonts w:hint="eastAsia" w:ascii="仿宋_GB2312" w:hAnsi="宋体" w:eastAsia="仿宋_GB2312"/>
                <w:color w:val="auto"/>
                <w:sz w:val="24"/>
                <w:szCs w:val="24"/>
                <w:lang w:val="en-US" w:eastAsia="zh-CN"/>
              </w:rPr>
              <w:t xml:space="preserve"> </w:t>
            </w:r>
            <w:r>
              <w:rPr>
                <w:rFonts w:hint="eastAsia" w:ascii="仿宋_GB2312" w:hAnsi="宋体" w:eastAsia="仿宋_GB2312"/>
                <w:color w:val="auto"/>
                <w:sz w:val="24"/>
                <w:szCs w:val="24"/>
              </w:rPr>
              <w:t>颖</w:t>
            </w:r>
          </w:p>
        </w:tc>
        <w:tc>
          <w:tcPr>
            <w:tcW w:w="2248" w:type="dxa"/>
            <w:shd w:val="clear" w:color="auto" w:fill="auto"/>
            <w:vAlign w:val="center"/>
          </w:tcPr>
          <w:p>
            <w:pPr>
              <w:pStyle w:val="16"/>
              <w:keepNext w:val="0"/>
              <w:keepLines w:val="0"/>
              <w:pageBreakBefore w:val="0"/>
              <w:kinsoku/>
              <w:overflowPunct/>
              <w:topLinePunct w:val="0"/>
              <w:bidi w:val="0"/>
              <w:snapToGrid w:val="0"/>
              <w:spacing w:beforeLines="50" w:line="540" w:lineRule="exact"/>
              <w:jc w:val="center"/>
              <w:rPr>
                <w:rFonts w:hint="eastAsia" w:ascii="仿宋_GB2312" w:hAnsi="宋体" w:eastAsia="仿宋_GB2312"/>
                <w:color w:val="auto"/>
                <w:sz w:val="24"/>
                <w:szCs w:val="24"/>
                <w:lang w:val="en-US" w:eastAsia="zh-CN"/>
              </w:rPr>
            </w:pPr>
            <w:r>
              <w:rPr>
                <w:rFonts w:hint="eastAsia" w:ascii="仿宋_GB2312" w:hAnsi="宋体" w:eastAsia="仿宋_GB2312"/>
                <w:color w:val="auto"/>
                <w:sz w:val="24"/>
                <w:szCs w:val="24"/>
                <w:lang w:val="en-US" w:eastAsia="zh-CN"/>
              </w:rPr>
              <w:t>3720020080</w:t>
            </w:r>
          </w:p>
        </w:tc>
        <w:tc>
          <w:tcPr>
            <w:tcW w:w="3765" w:type="dxa"/>
            <w:shd w:val="clear" w:color="auto" w:fill="auto"/>
            <w:vAlign w:val="center"/>
          </w:tcPr>
          <w:p>
            <w:pPr>
              <w:pStyle w:val="16"/>
              <w:keepNext w:val="0"/>
              <w:keepLines w:val="0"/>
              <w:pageBreakBefore w:val="0"/>
              <w:kinsoku/>
              <w:overflowPunct/>
              <w:topLinePunct w:val="0"/>
              <w:bidi w:val="0"/>
              <w:snapToGrid w:val="0"/>
              <w:spacing w:beforeLines="50" w:line="540" w:lineRule="exact"/>
              <w:jc w:val="center"/>
              <w:rPr>
                <w:rFonts w:ascii="仿宋_GB2312" w:hAnsi="宋体" w:eastAsia="仿宋_GB2312"/>
                <w:color w:val="auto"/>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jc w:val="center"/>
        </w:trPr>
        <w:tc>
          <w:tcPr>
            <w:tcW w:w="1873" w:type="dxa"/>
            <w:shd w:val="clear" w:color="auto" w:fill="auto"/>
            <w:vAlign w:val="center"/>
          </w:tcPr>
          <w:p>
            <w:pPr>
              <w:pStyle w:val="16"/>
              <w:keepNext w:val="0"/>
              <w:keepLines w:val="0"/>
              <w:pageBreakBefore w:val="0"/>
              <w:kinsoku/>
              <w:overflowPunct/>
              <w:topLinePunct w:val="0"/>
              <w:bidi w:val="0"/>
              <w:snapToGrid w:val="0"/>
              <w:spacing w:beforeLines="50" w:line="540" w:lineRule="exact"/>
              <w:jc w:val="center"/>
              <w:rPr>
                <w:rFonts w:hint="eastAsia" w:ascii="仿宋_GB2312" w:hAnsi="宋体" w:eastAsia="仿宋_GB2312"/>
                <w:color w:val="auto"/>
                <w:sz w:val="24"/>
                <w:szCs w:val="24"/>
                <w:lang w:eastAsia="zh-CN"/>
              </w:rPr>
            </w:pPr>
            <w:r>
              <w:rPr>
                <w:rFonts w:hint="eastAsia" w:ascii="仿宋_GB2312" w:hAnsi="宋体" w:eastAsia="仿宋_GB2312"/>
                <w:color w:val="auto"/>
                <w:sz w:val="24"/>
                <w:szCs w:val="24"/>
                <w:lang w:eastAsia="zh-CN"/>
              </w:rPr>
              <w:t>王</w:t>
            </w:r>
            <w:r>
              <w:rPr>
                <w:rFonts w:hint="eastAsia" w:ascii="仿宋_GB2312" w:hAnsi="宋体" w:eastAsia="仿宋_GB2312"/>
                <w:color w:val="auto"/>
                <w:sz w:val="24"/>
                <w:szCs w:val="24"/>
                <w:lang w:val="en-US" w:eastAsia="zh-CN"/>
              </w:rPr>
              <w:t xml:space="preserve"> </w:t>
            </w:r>
            <w:r>
              <w:rPr>
                <w:rFonts w:hint="eastAsia" w:ascii="仿宋_GB2312" w:hAnsi="宋体" w:eastAsia="仿宋_GB2312"/>
                <w:color w:val="auto"/>
                <w:sz w:val="24"/>
                <w:szCs w:val="24"/>
                <w:lang w:eastAsia="zh-CN"/>
              </w:rPr>
              <w:t>健</w:t>
            </w:r>
          </w:p>
        </w:tc>
        <w:tc>
          <w:tcPr>
            <w:tcW w:w="2248" w:type="dxa"/>
            <w:shd w:val="clear" w:color="auto" w:fill="auto"/>
            <w:vAlign w:val="center"/>
          </w:tcPr>
          <w:p>
            <w:pPr>
              <w:pStyle w:val="16"/>
              <w:keepNext w:val="0"/>
              <w:keepLines w:val="0"/>
              <w:pageBreakBefore w:val="0"/>
              <w:kinsoku/>
              <w:overflowPunct/>
              <w:topLinePunct w:val="0"/>
              <w:bidi w:val="0"/>
              <w:snapToGrid w:val="0"/>
              <w:spacing w:beforeLines="50" w:line="540" w:lineRule="exact"/>
              <w:jc w:val="center"/>
              <w:rPr>
                <w:rFonts w:hint="eastAsia" w:ascii="仿宋_GB2312" w:hAnsi="宋体" w:eastAsia="仿宋_GB2312"/>
                <w:color w:val="auto"/>
                <w:sz w:val="24"/>
                <w:szCs w:val="24"/>
                <w:lang w:val="en-US" w:eastAsia="zh-CN"/>
              </w:rPr>
            </w:pPr>
            <w:r>
              <w:rPr>
                <w:rFonts w:hint="eastAsia" w:ascii="仿宋_GB2312" w:hAnsi="宋体" w:eastAsia="仿宋_GB2312"/>
                <w:color w:val="auto"/>
                <w:sz w:val="24"/>
                <w:szCs w:val="24"/>
                <w:lang w:val="en-US" w:eastAsia="zh-CN"/>
              </w:rPr>
              <w:t>3720080114</w:t>
            </w:r>
          </w:p>
        </w:tc>
        <w:tc>
          <w:tcPr>
            <w:tcW w:w="3765" w:type="dxa"/>
            <w:shd w:val="clear" w:color="auto" w:fill="auto"/>
            <w:vAlign w:val="center"/>
          </w:tcPr>
          <w:p>
            <w:pPr>
              <w:pStyle w:val="16"/>
              <w:keepNext w:val="0"/>
              <w:keepLines w:val="0"/>
              <w:pageBreakBefore w:val="0"/>
              <w:kinsoku/>
              <w:overflowPunct/>
              <w:topLinePunct w:val="0"/>
              <w:bidi w:val="0"/>
              <w:snapToGrid w:val="0"/>
              <w:spacing w:beforeLines="50" w:line="540" w:lineRule="exact"/>
              <w:jc w:val="center"/>
              <w:rPr>
                <w:rFonts w:ascii="仿宋_GB2312" w:hAnsi="宋体" w:eastAsia="仿宋_GB2312"/>
                <w:color w:val="auto"/>
                <w:sz w:val="24"/>
                <w:szCs w:val="24"/>
              </w:rPr>
            </w:pPr>
          </w:p>
        </w:tc>
      </w:tr>
    </w:tbl>
    <w:p>
      <w:pPr>
        <w:pStyle w:val="16"/>
        <w:keepNext w:val="0"/>
        <w:keepLines w:val="0"/>
        <w:pageBreakBefore w:val="0"/>
        <w:kinsoku/>
        <w:overflowPunct/>
        <w:topLinePunct w:val="0"/>
        <w:bidi w:val="0"/>
        <w:spacing w:beforeLines="50" w:line="540" w:lineRule="exact"/>
        <w:jc w:val="center"/>
        <w:rPr>
          <w:rFonts w:ascii="仿宋_GB2312" w:hAnsi="宋体" w:eastAsia="仿宋_GB2312"/>
          <w:b/>
          <w:bCs/>
          <w:color w:val="auto"/>
          <w:sz w:val="44"/>
          <w:szCs w:val="44"/>
        </w:rPr>
      </w:pPr>
    </w:p>
    <w:p>
      <w:pPr>
        <w:pStyle w:val="16"/>
        <w:keepNext w:val="0"/>
        <w:keepLines w:val="0"/>
        <w:pageBreakBefore w:val="0"/>
        <w:kinsoku/>
        <w:overflowPunct/>
        <w:topLinePunct w:val="0"/>
        <w:bidi w:val="0"/>
        <w:spacing w:beforeLines="50" w:line="540" w:lineRule="exact"/>
        <w:jc w:val="center"/>
        <w:outlineLvl w:val="0"/>
        <w:rPr>
          <w:rFonts w:ascii="仿宋_GB2312" w:hAnsi="宋体" w:eastAsia="仿宋_GB2312"/>
          <w:b/>
          <w:bCs/>
          <w:color w:val="auto"/>
          <w:sz w:val="44"/>
          <w:szCs w:val="44"/>
        </w:rPr>
      </w:pPr>
      <w:r>
        <w:rPr>
          <w:rFonts w:hint="eastAsia" w:ascii="仿宋_GB2312" w:hAnsi="宋体" w:eastAsia="仿宋_GB2312"/>
          <w:b/>
          <w:bCs/>
          <w:color w:val="auto"/>
          <w:sz w:val="44"/>
          <w:szCs w:val="44"/>
        </w:rPr>
        <w:br w:type="page"/>
      </w:r>
      <w:bookmarkStart w:id="2" w:name="_Toc26251"/>
      <w:r>
        <w:rPr>
          <w:rStyle w:val="73"/>
          <w:rFonts w:hint="eastAsia"/>
          <w:color w:val="auto"/>
          <w:lang w:eastAsia="zh-CN"/>
        </w:rPr>
        <w:t>二、</w:t>
      </w:r>
      <w:r>
        <w:rPr>
          <w:rStyle w:val="73"/>
          <w:rFonts w:hint="eastAsia"/>
          <w:color w:val="auto"/>
        </w:rPr>
        <w:t>估价假设和限制条件</w:t>
      </w:r>
      <w:bookmarkEnd w:id="2"/>
    </w:p>
    <w:p>
      <w:pPr>
        <w:keepNext w:val="0"/>
        <w:keepLines w:val="0"/>
        <w:pageBreakBefore w:val="0"/>
        <w:kinsoku/>
        <w:overflowPunct/>
        <w:topLinePunct w:val="0"/>
        <w:bidi w:val="0"/>
        <w:snapToGrid w:val="0"/>
        <w:spacing w:line="540" w:lineRule="exact"/>
        <w:rPr>
          <w:rFonts w:ascii="仿宋_GB2312" w:hAnsi="宋体" w:eastAsia="仿宋_GB2312"/>
          <w:b/>
          <w:bCs/>
          <w:color w:val="auto"/>
          <w:szCs w:val="28"/>
        </w:rPr>
      </w:pPr>
      <w:r>
        <w:rPr>
          <w:rFonts w:hint="eastAsia" w:ascii="仿宋_GB2312" w:hAnsi="宋体" w:eastAsia="仿宋_GB2312"/>
          <w:b/>
          <w:bCs/>
          <w:color w:val="auto"/>
          <w:szCs w:val="28"/>
        </w:rPr>
        <w:t>一、估价假设前提</w:t>
      </w:r>
    </w:p>
    <w:p>
      <w:pPr>
        <w:keepNext w:val="0"/>
        <w:keepLines w:val="0"/>
        <w:pageBreakBefore w:val="0"/>
        <w:kinsoku/>
        <w:overflowPunct/>
        <w:topLinePunct w:val="0"/>
        <w:bidi w:val="0"/>
        <w:snapToGrid w:val="0"/>
        <w:spacing w:line="540" w:lineRule="exact"/>
        <w:rPr>
          <w:rFonts w:ascii="仿宋_GB2312" w:hAnsi="宋体" w:eastAsia="仿宋_GB2312"/>
          <w:b/>
          <w:bCs/>
          <w:color w:val="auto"/>
          <w:szCs w:val="28"/>
        </w:rPr>
      </w:pPr>
      <w:r>
        <w:rPr>
          <w:rFonts w:hint="eastAsia" w:ascii="仿宋_GB2312" w:hAnsi="宋体" w:eastAsia="仿宋_GB2312"/>
          <w:b/>
          <w:bCs/>
          <w:color w:val="auto"/>
          <w:szCs w:val="28"/>
        </w:rPr>
        <w:t xml:space="preserve">（一）、一般假设前提： </w:t>
      </w:r>
    </w:p>
    <w:p>
      <w:pPr>
        <w:pStyle w:val="16"/>
        <w:keepNext w:val="0"/>
        <w:keepLines w:val="0"/>
        <w:pageBreakBefore w:val="0"/>
        <w:kinsoku/>
        <w:overflowPunct/>
        <w:topLinePunct w:val="0"/>
        <w:bidi w:val="0"/>
        <w:adjustRightInd w:val="0"/>
        <w:snapToGrid w:val="0"/>
        <w:spacing w:line="540" w:lineRule="exact"/>
        <w:ind w:firstLine="573"/>
        <w:rPr>
          <w:rFonts w:ascii="仿宋_GB2312" w:hAnsi="宋体" w:eastAsia="仿宋_GB2312"/>
          <w:color w:val="auto"/>
          <w:sz w:val="28"/>
          <w:szCs w:val="28"/>
        </w:rPr>
      </w:pPr>
      <w:r>
        <w:rPr>
          <w:rFonts w:hint="eastAsia" w:ascii="仿宋_GB2312" w:eastAsia="仿宋_GB2312"/>
          <w:color w:val="auto"/>
          <w:sz w:val="28"/>
        </w:rPr>
        <w:t>1、</w:t>
      </w:r>
      <w:r>
        <w:rPr>
          <w:rFonts w:hint="eastAsia" w:ascii="仿宋_GB2312" w:hAnsi="宋体" w:eastAsia="仿宋_GB2312"/>
          <w:color w:val="auto"/>
          <w:sz w:val="28"/>
          <w:szCs w:val="28"/>
        </w:rPr>
        <w:t>估价委托人提供了《</w:t>
      </w:r>
      <w:r>
        <w:rPr>
          <w:rFonts w:hint="eastAsia" w:ascii="仿宋_GB2312" w:hAnsi="宋体" w:eastAsia="仿宋_GB2312"/>
          <w:color w:val="auto"/>
          <w:sz w:val="28"/>
          <w:szCs w:val="28"/>
          <w:lang w:eastAsia="zh-CN"/>
        </w:rPr>
        <w:t>产权、产籍档案证明</w:t>
      </w:r>
      <w:r>
        <w:rPr>
          <w:rFonts w:hint="eastAsia" w:ascii="仿宋_GB2312" w:hAnsi="宋体" w:eastAsia="仿宋_GB2312"/>
          <w:color w:val="auto"/>
          <w:sz w:val="28"/>
          <w:szCs w:val="28"/>
        </w:rPr>
        <w:t>》等资料的复印件，注册房地产估价师对估价委托人提供的估价对象的权属、面积、用途等资料进行了审慎检查，在无理由怀疑其合法性、真实性、准确性和完整性且未予以核实的情况下，对其合法、真实、准确和完整的合理假定。</w:t>
      </w:r>
    </w:p>
    <w:p>
      <w:pPr>
        <w:pStyle w:val="11"/>
        <w:keepNext w:val="0"/>
        <w:keepLines w:val="0"/>
        <w:pageBreakBefore w:val="0"/>
        <w:kinsoku/>
        <w:overflowPunct/>
        <w:topLinePunct w:val="0"/>
        <w:bidi w:val="0"/>
        <w:spacing w:after="0" w:line="54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2、根据《</w:t>
      </w:r>
      <w:r>
        <w:rPr>
          <w:rFonts w:hint="eastAsia" w:ascii="仿宋_GB2312" w:hAnsi="宋体" w:eastAsia="仿宋_GB2312"/>
          <w:color w:val="auto"/>
          <w:sz w:val="28"/>
          <w:szCs w:val="28"/>
          <w:lang w:eastAsia="zh-CN"/>
        </w:rPr>
        <w:t>产权、产籍档案证明</w:t>
      </w:r>
      <w:r>
        <w:rPr>
          <w:rFonts w:hint="eastAsia" w:ascii="仿宋_GB2312" w:hAnsi="宋体" w:eastAsia="仿宋_GB2312"/>
          <w:color w:val="auto"/>
          <w:sz w:val="28"/>
          <w:szCs w:val="28"/>
        </w:rPr>
        <w:t>》</w:t>
      </w:r>
      <w:r>
        <w:rPr>
          <w:rFonts w:hint="eastAsia" w:ascii="仿宋_GB2312" w:hAnsi="宋体" w:eastAsia="仿宋_GB2312"/>
          <w:color w:val="auto"/>
          <w:sz w:val="28"/>
          <w:szCs w:val="28"/>
          <w:lang w:eastAsia="zh-CN"/>
        </w:rPr>
        <w:t>复印件</w:t>
      </w:r>
      <w:r>
        <w:rPr>
          <w:rFonts w:hint="eastAsia" w:ascii="仿宋_GB2312" w:hAnsi="宋体" w:eastAsia="仿宋_GB2312"/>
          <w:color w:val="auto"/>
          <w:sz w:val="28"/>
          <w:szCs w:val="28"/>
        </w:rPr>
        <w:t>，位于</w:t>
      </w:r>
      <w:r>
        <w:rPr>
          <w:rFonts w:hint="eastAsia" w:ascii="仿宋_GB2312" w:eastAsia="仿宋_GB2312"/>
          <w:color w:val="auto"/>
          <w:sz w:val="28"/>
          <w:szCs w:val="28"/>
          <w:lang w:eastAsia="zh-CN"/>
        </w:rPr>
        <w:t>高青县中心路西侧一处商住房地产，</w:t>
      </w:r>
      <w:r>
        <w:rPr>
          <w:rFonts w:hint="eastAsia" w:ascii="仿宋_GB2312" w:hAnsi="宋体" w:eastAsia="仿宋_GB2312"/>
          <w:color w:val="auto"/>
          <w:sz w:val="28"/>
          <w:szCs w:val="28"/>
        </w:rPr>
        <w:t>建筑面积为</w:t>
      </w:r>
      <w:r>
        <w:rPr>
          <w:rFonts w:hint="eastAsia" w:ascii="仿宋_GB2312" w:hAnsi="宋体" w:eastAsia="仿宋_GB2312"/>
          <w:color w:val="auto"/>
          <w:sz w:val="28"/>
          <w:szCs w:val="28"/>
          <w:lang w:val="en-US" w:eastAsia="zh-CN"/>
        </w:rPr>
        <w:t>576.45</w:t>
      </w:r>
      <w:r>
        <w:rPr>
          <w:rFonts w:hint="eastAsia" w:ascii="仿宋_GB2312" w:hAnsi="宋体" w:eastAsia="仿宋_GB2312"/>
          <w:color w:val="auto"/>
          <w:sz w:val="28"/>
          <w:szCs w:val="28"/>
        </w:rPr>
        <w:t>平方米，房屋所有权人为</w:t>
      </w:r>
      <w:r>
        <w:rPr>
          <w:rFonts w:hint="eastAsia" w:ascii="仿宋_GB2312" w:hAnsi="宋体" w:eastAsia="仿宋_GB2312"/>
          <w:color w:val="auto"/>
          <w:sz w:val="28"/>
          <w:szCs w:val="28"/>
          <w:lang w:eastAsia="zh-CN"/>
        </w:rPr>
        <w:t>李军</w:t>
      </w:r>
      <w:r>
        <w:rPr>
          <w:rFonts w:hint="eastAsia" w:ascii="仿宋_GB2312" w:hAnsi="宋体" w:eastAsia="仿宋_GB2312"/>
          <w:color w:val="auto"/>
          <w:sz w:val="28"/>
          <w:szCs w:val="28"/>
        </w:rPr>
        <w:t>，</w:t>
      </w:r>
      <w:r>
        <w:rPr>
          <w:rFonts w:hint="eastAsia" w:ascii="仿宋_GB2312" w:hAnsi="宋体" w:eastAsia="仿宋_GB2312"/>
          <w:color w:val="auto"/>
          <w:sz w:val="28"/>
          <w:szCs w:val="28"/>
          <w:lang w:eastAsia="zh-CN"/>
        </w:rPr>
        <w:t>规划</w:t>
      </w:r>
      <w:r>
        <w:rPr>
          <w:rFonts w:hint="eastAsia" w:ascii="仿宋_GB2312" w:hAnsi="宋体" w:eastAsia="仿宋_GB2312"/>
          <w:color w:val="auto"/>
          <w:sz w:val="28"/>
          <w:szCs w:val="28"/>
        </w:rPr>
        <w:t>用途为</w:t>
      </w:r>
      <w:r>
        <w:rPr>
          <w:rFonts w:hint="eastAsia" w:ascii="仿宋_GB2312" w:hAnsi="宋体" w:eastAsia="仿宋_GB2312"/>
          <w:color w:val="auto"/>
          <w:sz w:val="28"/>
          <w:szCs w:val="28"/>
          <w:lang w:eastAsia="zh-CN"/>
        </w:rPr>
        <w:t>商住</w:t>
      </w:r>
      <w:r>
        <w:rPr>
          <w:rFonts w:hint="eastAsia" w:ascii="仿宋_GB2312" w:hAnsi="宋体" w:eastAsia="仿宋_GB2312"/>
          <w:color w:val="auto"/>
          <w:sz w:val="28"/>
          <w:szCs w:val="28"/>
        </w:rPr>
        <w:t>。本次估价结果是基于估价对象产权清晰、手续齐全，并可在公开市场上自由转让的前提下测算的价值。</w:t>
      </w:r>
    </w:p>
    <w:p>
      <w:pPr>
        <w:pStyle w:val="12"/>
        <w:keepNext w:val="0"/>
        <w:keepLines w:val="0"/>
        <w:pageBreakBefore w:val="0"/>
        <w:kinsoku/>
        <w:overflowPunct/>
        <w:topLinePunct w:val="0"/>
        <w:bidi w:val="0"/>
        <w:adjustRightInd w:val="0"/>
        <w:snapToGrid w:val="0"/>
        <w:spacing w:line="540" w:lineRule="exact"/>
        <w:ind w:firstLine="560" w:firstLineChars="200"/>
        <w:rPr>
          <w:rFonts w:ascii="仿宋_GB2312" w:hAnsi="宋体" w:eastAsia="仿宋_GB2312"/>
          <w:color w:val="auto"/>
          <w:szCs w:val="28"/>
        </w:rPr>
      </w:pPr>
      <w:r>
        <w:rPr>
          <w:rFonts w:hint="eastAsia" w:ascii="仿宋_GB2312" w:hAnsi="宋体" w:eastAsia="仿宋_GB2312" w:cs="宋体"/>
          <w:color w:val="auto"/>
          <w:szCs w:val="28"/>
        </w:rPr>
        <w:t>3</w:t>
      </w:r>
      <w:r>
        <w:rPr>
          <w:rFonts w:hint="eastAsia" w:ascii="仿宋_GB2312" w:hAnsi="宋体" w:eastAsia="仿宋_GB2312"/>
          <w:color w:val="auto"/>
          <w:szCs w:val="28"/>
        </w:rPr>
        <w:t>、注册房地产估价师</w:t>
      </w:r>
      <w:r>
        <w:rPr>
          <w:rFonts w:hint="eastAsia" w:ascii="仿宋_GB2312" w:hAnsi="宋体" w:eastAsia="仿宋_GB2312"/>
          <w:color w:val="auto"/>
          <w:spacing w:val="10"/>
          <w:szCs w:val="28"/>
        </w:rPr>
        <w:t>对估价对象的查勘限于估价对象的外观和使用状况，估价人员不承担对估价对象建筑结构质量、设备和环境安全进行调查的责任，在无理由怀疑估价对象存在安全隐患且无相应的专业机构进行鉴定、检测的情况下，对其安全进行合理假定。</w:t>
      </w:r>
    </w:p>
    <w:p>
      <w:pPr>
        <w:pStyle w:val="12"/>
        <w:keepNext w:val="0"/>
        <w:keepLines w:val="0"/>
        <w:pageBreakBefore w:val="0"/>
        <w:kinsoku/>
        <w:overflowPunct/>
        <w:topLinePunct w:val="0"/>
        <w:bidi w:val="0"/>
        <w:adjustRightInd w:val="0"/>
        <w:snapToGrid w:val="0"/>
        <w:spacing w:line="540" w:lineRule="exact"/>
        <w:ind w:firstLine="560" w:firstLineChars="200"/>
        <w:rPr>
          <w:rFonts w:ascii="仿宋_GB2312" w:hAnsi="宋体" w:eastAsia="仿宋_GB2312"/>
          <w:color w:val="auto"/>
          <w:spacing w:val="10"/>
          <w:szCs w:val="28"/>
        </w:rPr>
      </w:pPr>
      <w:r>
        <w:rPr>
          <w:rFonts w:hint="eastAsia" w:ascii="仿宋_GB2312" w:hAnsi="宋体" w:eastAsia="仿宋_GB2312"/>
          <w:color w:val="auto"/>
          <w:szCs w:val="28"/>
        </w:rPr>
        <w:t>4、</w:t>
      </w:r>
      <w:r>
        <w:rPr>
          <w:rFonts w:hint="eastAsia" w:ascii="仿宋_GB2312" w:eastAsia="仿宋_GB2312"/>
          <w:color w:val="auto"/>
        </w:rPr>
        <w:t>估价对象证载用途</w:t>
      </w:r>
      <w:r>
        <w:rPr>
          <w:rFonts w:hint="eastAsia" w:ascii="仿宋_GB2312" w:eastAsia="仿宋_GB2312"/>
          <w:color w:val="auto"/>
          <w:lang w:eastAsia="zh-CN"/>
        </w:rPr>
        <w:t>为商住、</w:t>
      </w:r>
      <w:r>
        <w:rPr>
          <w:rFonts w:hint="eastAsia" w:ascii="仿宋_GB2312" w:eastAsia="仿宋_GB2312"/>
          <w:color w:val="auto"/>
        </w:rPr>
        <w:t>实际用途为</w:t>
      </w:r>
      <w:r>
        <w:rPr>
          <w:rFonts w:hint="eastAsia" w:ascii="仿宋_GB2312" w:eastAsia="仿宋_GB2312"/>
          <w:color w:val="auto"/>
          <w:lang w:eastAsia="zh-CN"/>
        </w:rPr>
        <w:t>商住</w:t>
      </w:r>
      <w:r>
        <w:rPr>
          <w:rFonts w:hint="eastAsia" w:ascii="仿宋_GB2312" w:eastAsia="仿宋_GB2312"/>
          <w:color w:val="auto"/>
        </w:rPr>
        <w:t>，符合最高最佳利用原则，我们所评估的价值是基于估价对象能按维持现状正常使用为前提进行评估的</w:t>
      </w:r>
      <w:r>
        <w:rPr>
          <w:rFonts w:hint="eastAsia" w:ascii="仿宋_GB2312" w:hAnsi="宋体" w:eastAsia="仿宋_GB2312"/>
          <w:color w:val="auto"/>
          <w:spacing w:val="10"/>
          <w:szCs w:val="28"/>
        </w:rPr>
        <w:t>。</w:t>
      </w:r>
    </w:p>
    <w:p>
      <w:pPr>
        <w:pStyle w:val="12"/>
        <w:keepNext w:val="0"/>
        <w:keepLines w:val="0"/>
        <w:pageBreakBefore w:val="0"/>
        <w:kinsoku/>
        <w:overflowPunct/>
        <w:topLinePunct w:val="0"/>
        <w:bidi w:val="0"/>
        <w:snapToGrid w:val="0"/>
        <w:spacing w:line="540" w:lineRule="exact"/>
        <w:rPr>
          <w:rFonts w:ascii="仿宋_GB2312" w:hAnsi="宋体" w:eastAsia="仿宋_GB2312"/>
          <w:b/>
          <w:bCs/>
          <w:color w:val="auto"/>
          <w:spacing w:val="10"/>
          <w:szCs w:val="28"/>
        </w:rPr>
      </w:pPr>
      <w:r>
        <w:rPr>
          <w:rFonts w:hint="eastAsia" w:ascii="仿宋_GB2312" w:hAnsi="宋体" w:eastAsia="仿宋_GB2312"/>
          <w:b/>
          <w:bCs/>
          <w:color w:val="auto"/>
          <w:spacing w:val="10"/>
          <w:szCs w:val="28"/>
        </w:rPr>
        <w:t>（二）、估价中未考虑的因素及一些特殊处理</w:t>
      </w:r>
    </w:p>
    <w:p>
      <w:pPr>
        <w:keepNext w:val="0"/>
        <w:keepLines w:val="0"/>
        <w:pageBreakBefore w:val="0"/>
        <w:kinsoku/>
        <w:overflowPunct/>
        <w:topLinePunct w:val="0"/>
        <w:bidi w:val="0"/>
        <w:spacing w:line="540" w:lineRule="exact"/>
        <w:ind w:firstLine="600" w:firstLineChars="200"/>
        <w:jc w:val="left"/>
        <w:rPr>
          <w:rFonts w:ascii="仿宋_GB2312" w:hAnsi="仿宋_GB2312" w:eastAsia="仿宋_GB2312" w:cs="仿宋_GB2312"/>
          <w:color w:val="auto"/>
          <w:szCs w:val="28"/>
        </w:rPr>
      </w:pPr>
      <w:r>
        <w:rPr>
          <w:rFonts w:hint="eastAsia" w:ascii="仿宋_GB2312" w:hAnsi="仿宋_GB2312" w:eastAsia="仿宋_GB2312" w:cs="仿宋_GB2312"/>
          <w:color w:val="auto"/>
          <w:szCs w:val="28"/>
          <w:lang w:val="en-US" w:eastAsia="zh-CN"/>
        </w:rPr>
        <w:t>1</w:t>
      </w:r>
      <w:r>
        <w:rPr>
          <w:rFonts w:hint="eastAsia" w:ascii="仿宋_GB2312" w:hAnsi="仿宋_GB2312" w:eastAsia="仿宋_GB2312" w:cs="仿宋_GB2312"/>
          <w:color w:val="auto"/>
          <w:szCs w:val="28"/>
        </w:rPr>
        <w:t xml:space="preserve">、背离事实假设 </w:t>
      </w:r>
    </w:p>
    <w:p>
      <w:pPr>
        <w:keepNext w:val="0"/>
        <w:keepLines w:val="0"/>
        <w:pageBreakBefore w:val="0"/>
        <w:kinsoku/>
        <w:overflowPunct/>
        <w:topLinePunct w:val="0"/>
        <w:bidi w:val="0"/>
        <w:spacing w:line="540" w:lineRule="exact"/>
        <w:rPr>
          <w:rFonts w:ascii="仿宋_GB2312" w:hAnsi="仿宋_GB2312" w:eastAsia="仿宋_GB2312" w:cs="仿宋_GB2312"/>
          <w:color w:val="auto"/>
          <w:szCs w:val="28"/>
        </w:rPr>
      </w:pPr>
      <w:r>
        <w:rPr>
          <w:rFonts w:hint="eastAsia" w:ascii="仿宋_GB2312" w:hAnsi="仿宋_GB2312" w:eastAsia="仿宋_GB2312" w:cs="仿宋_GB2312"/>
          <w:color w:val="auto"/>
          <w:szCs w:val="28"/>
        </w:rPr>
        <w:t xml:space="preserve">   </w:t>
      </w:r>
      <w:r>
        <w:rPr>
          <w:rFonts w:hint="eastAsia" w:ascii="仿宋_GB2312" w:hAnsi="仿宋_GB2312" w:eastAsia="仿宋_GB2312" w:cs="仿宋_GB2312"/>
          <w:color w:val="auto"/>
          <w:spacing w:val="-10"/>
          <w:szCs w:val="28"/>
        </w:rPr>
        <w:t>设定的估价对象状况与估价对象实际状况一致，无背离事实假设。</w:t>
      </w:r>
    </w:p>
    <w:p>
      <w:pPr>
        <w:keepNext w:val="0"/>
        <w:keepLines w:val="0"/>
        <w:pageBreakBefore w:val="0"/>
        <w:kinsoku/>
        <w:overflowPunct/>
        <w:topLinePunct w:val="0"/>
        <w:bidi w:val="0"/>
        <w:spacing w:line="540" w:lineRule="exact"/>
        <w:ind w:firstLine="600" w:firstLineChars="200"/>
        <w:rPr>
          <w:rFonts w:ascii="仿宋_GB2312" w:hAnsi="仿宋_GB2312" w:eastAsia="仿宋_GB2312" w:cs="仿宋_GB2312"/>
          <w:color w:val="auto"/>
          <w:szCs w:val="28"/>
        </w:rPr>
      </w:pPr>
      <w:r>
        <w:rPr>
          <w:rFonts w:hint="eastAsia" w:ascii="仿宋_GB2312" w:hAnsi="仿宋_GB2312" w:eastAsia="仿宋_GB2312" w:cs="仿宋_GB2312"/>
          <w:color w:val="auto"/>
          <w:szCs w:val="28"/>
          <w:lang w:val="en-US" w:eastAsia="zh-CN"/>
        </w:rPr>
        <w:t>2</w:t>
      </w:r>
      <w:r>
        <w:rPr>
          <w:rFonts w:hint="eastAsia" w:ascii="仿宋_GB2312" w:hAnsi="仿宋_GB2312" w:eastAsia="仿宋_GB2312" w:cs="仿宋_GB2312"/>
          <w:color w:val="auto"/>
          <w:szCs w:val="28"/>
        </w:rPr>
        <w:t>、依据不足假设</w:t>
      </w:r>
    </w:p>
    <w:p>
      <w:pPr>
        <w:keepNext w:val="0"/>
        <w:keepLines w:val="0"/>
        <w:pageBreakBefore w:val="0"/>
        <w:kinsoku/>
        <w:overflowPunct/>
        <w:topLinePunct w:val="0"/>
        <w:bidi w:val="0"/>
        <w:spacing w:line="540" w:lineRule="exact"/>
        <w:ind w:firstLine="600" w:firstLineChars="200"/>
        <w:rPr>
          <w:rFonts w:hint="eastAsia" w:ascii="仿宋_GB2312" w:hAnsi="仿宋_GB2312" w:eastAsia="仿宋_GB2312" w:cs="仿宋_GB2312"/>
          <w:color w:val="auto"/>
          <w:szCs w:val="28"/>
        </w:rPr>
      </w:pPr>
      <w:r>
        <w:rPr>
          <w:rFonts w:hint="eastAsia" w:ascii="仿宋_GB2312" w:hAnsi="仿宋_GB2312" w:eastAsia="仿宋_GB2312" w:cs="仿宋_GB2312"/>
          <w:color w:val="auto"/>
          <w:szCs w:val="28"/>
        </w:rPr>
        <w:t>估价委托人提供了相应的估价资料，估价人员进行了尽职调查，估价对象状况的相关依据充分，无依据不足假设。</w:t>
      </w:r>
    </w:p>
    <w:p>
      <w:pPr>
        <w:keepNext w:val="0"/>
        <w:keepLines w:val="0"/>
        <w:pageBreakBefore w:val="0"/>
        <w:kinsoku/>
        <w:overflowPunct/>
        <w:topLinePunct w:val="0"/>
        <w:bidi w:val="0"/>
        <w:spacing w:line="540" w:lineRule="exact"/>
        <w:ind w:firstLine="600" w:firstLineChars="200"/>
        <w:rPr>
          <w:rFonts w:hint="eastAsia" w:ascii="仿宋_GB2312" w:hAnsi="仿宋_GB2312" w:eastAsia="仿宋_GB2312" w:cs="仿宋_GB2312"/>
          <w:color w:val="auto"/>
          <w:szCs w:val="28"/>
        </w:rPr>
      </w:pPr>
      <w:r>
        <w:rPr>
          <w:rFonts w:hint="eastAsia" w:ascii="仿宋_GB2312" w:hAnsi="仿宋_GB2312" w:eastAsia="仿宋_GB2312" w:cs="仿宋_GB2312"/>
          <w:color w:val="auto"/>
          <w:szCs w:val="28"/>
          <w:lang w:val="en-US" w:eastAsia="zh-CN"/>
        </w:rPr>
        <w:t>3、</w:t>
      </w:r>
      <w:r>
        <w:rPr>
          <w:rFonts w:hint="eastAsia" w:ascii="仿宋_GB2312" w:hAnsi="仿宋_GB2312" w:eastAsia="仿宋_GB2312" w:cs="仿宋_GB2312"/>
          <w:color w:val="auto"/>
          <w:szCs w:val="28"/>
        </w:rPr>
        <w:t>估价结果是反映估价对象在本次估价目的下的市场价格参考，估价对象在价值时点的房地产市场为公开、平等、自愿的交易市场，即能满足以下条件：①交易双方自愿的进行交易；②交易双方处于利己动机进行交易；③交易双方谨慎行事，并了解交易对象、知晓市场行情；④交易双方有较充裕的时间进行交易；⑤不存在买者因特殊兴趣而给予附加出价。</w:t>
      </w:r>
    </w:p>
    <w:p>
      <w:pPr>
        <w:keepNext w:val="0"/>
        <w:keepLines w:val="0"/>
        <w:pageBreakBefore w:val="0"/>
        <w:kinsoku/>
        <w:overflowPunct/>
        <w:topLinePunct w:val="0"/>
        <w:bidi w:val="0"/>
        <w:spacing w:line="540" w:lineRule="exact"/>
        <w:ind w:firstLine="600" w:firstLineChars="200"/>
        <w:rPr>
          <w:rFonts w:hint="eastAsia" w:ascii="仿宋_GB2312" w:hAnsi="仿宋_GB2312" w:eastAsia="仿宋_GB2312" w:cs="仿宋_GB2312"/>
          <w:color w:val="auto"/>
          <w:szCs w:val="28"/>
        </w:rPr>
      </w:pPr>
      <w:r>
        <w:rPr>
          <w:rFonts w:hint="eastAsia" w:ascii="仿宋_GB2312" w:hAnsi="仿宋_GB2312" w:eastAsia="仿宋_GB2312" w:cs="仿宋_GB2312"/>
          <w:color w:val="auto"/>
          <w:szCs w:val="28"/>
        </w:rPr>
        <w:t>估价时没有考虑国家宏观经济政策发生变化、市场供应关系变化、市场结构转变、遇有自然力和其它不可抗力等因素对房地产价值的影响，也没有考虑估价对象将来可能承担违约责任的事宜，以及特殊交易方式下的特殊交易价格等对评估价值的影响。当上述条件发生变化时，评估结果一般亦会发生变化。</w:t>
      </w:r>
    </w:p>
    <w:p>
      <w:pPr>
        <w:pStyle w:val="16"/>
        <w:keepNext w:val="0"/>
        <w:keepLines w:val="0"/>
        <w:pageBreakBefore w:val="0"/>
        <w:kinsoku/>
        <w:overflowPunct/>
        <w:topLinePunct w:val="0"/>
        <w:bidi w:val="0"/>
        <w:snapToGrid w:val="0"/>
        <w:spacing w:line="540" w:lineRule="exact"/>
        <w:rPr>
          <w:rFonts w:ascii="仿宋_GB2312" w:hAnsi="宋体" w:eastAsia="仿宋_GB2312"/>
          <w:b/>
          <w:bCs/>
          <w:color w:val="auto"/>
          <w:sz w:val="28"/>
          <w:szCs w:val="28"/>
        </w:rPr>
      </w:pPr>
      <w:r>
        <w:rPr>
          <w:rFonts w:hint="eastAsia" w:ascii="仿宋_GB2312" w:hAnsi="宋体" w:eastAsia="仿宋_GB2312"/>
          <w:b/>
          <w:bCs/>
          <w:color w:val="auto"/>
          <w:sz w:val="28"/>
          <w:szCs w:val="28"/>
        </w:rPr>
        <w:t>二、估价报告使用限制条件</w:t>
      </w:r>
    </w:p>
    <w:p>
      <w:pPr>
        <w:keepNext w:val="0"/>
        <w:keepLines w:val="0"/>
        <w:pageBreakBefore w:val="0"/>
        <w:tabs>
          <w:tab w:val="left" w:pos="7797"/>
        </w:tabs>
        <w:kinsoku/>
        <w:overflowPunct/>
        <w:topLinePunct w:val="0"/>
        <w:bidi w:val="0"/>
        <w:spacing w:line="540" w:lineRule="exact"/>
        <w:ind w:firstLine="600" w:firstLineChars="200"/>
        <w:rPr>
          <w:rFonts w:ascii="仿宋_GB2312" w:hAnsi="宋体" w:eastAsia="仿宋_GB2312"/>
          <w:color w:val="auto"/>
          <w:spacing w:val="0"/>
          <w:szCs w:val="28"/>
        </w:rPr>
      </w:pPr>
      <w:r>
        <w:rPr>
          <w:rFonts w:hint="eastAsia" w:ascii="仿宋_GB2312" w:eastAsia="仿宋_GB2312"/>
          <w:color w:val="auto"/>
          <w:szCs w:val="28"/>
        </w:rPr>
        <w:t>1、本报告正文与附件仅供估价委托人本次评估目的使用，即</w:t>
      </w:r>
      <w:r>
        <w:rPr>
          <w:rFonts w:hint="eastAsia" w:ascii="仿宋_GB2312" w:hAnsi="宋体" w:eastAsia="仿宋_GB2312"/>
          <w:color w:val="auto"/>
          <w:spacing w:val="0"/>
          <w:szCs w:val="28"/>
        </w:rPr>
        <w:t>为委托方执行涉及估价对象的司法裁决提供价值鉴定意见而评估房地产的市场价值。</w:t>
      </w:r>
      <w:r>
        <w:rPr>
          <w:rFonts w:hint="eastAsia" w:ascii="仿宋_GB2312" w:eastAsia="仿宋_GB2312"/>
          <w:color w:val="auto"/>
          <w:szCs w:val="28"/>
        </w:rPr>
        <w:t>本报告的全部或者部分内容除获得我们同意外，不得用作其他用途，不得转载或引用于任何文字载体（包括文章、文件、报告、公告和声明等）。</w:t>
      </w:r>
    </w:p>
    <w:p>
      <w:pPr>
        <w:pStyle w:val="12"/>
        <w:keepNext w:val="0"/>
        <w:keepLines w:val="0"/>
        <w:pageBreakBefore w:val="0"/>
        <w:kinsoku/>
        <w:overflowPunct/>
        <w:topLinePunct w:val="0"/>
        <w:bidi w:val="0"/>
        <w:snapToGrid w:val="0"/>
        <w:spacing w:line="540" w:lineRule="exact"/>
        <w:ind w:firstLine="560" w:firstLineChars="200"/>
        <w:rPr>
          <w:rFonts w:ascii="仿宋_GB2312" w:hAnsi="宋体" w:eastAsia="仿宋_GB2312" w:cs="宋体"/>
          <w:color w:val="auto"/>
          <w:szCs w:val="28"/>
        </w:rPr>
      </w:pPr>
      <w:r>
        <w:rPr>
          <w:rFonts w:hint="eastAsia" w:ascii="仿宋_GB2312" w:hAnsi="宋体" w:eastAsia="仿宋_GB2312"/>
          <w:color w:val="auto"/>
          <w:szCs w:val="28"/>
        </w:rPr>
        <w:t>2、本估价报告使用期限自</w:t>
      </w:r>
      <w:r>
        <w:rPr>
          <w:rFonts w:hint="eastAsia" w:ascii="仿宋_GB2312" w:hAnsi="宋体" w:eastAsia="仿宋_GB2312"/>
          <w:color w:val="auto"/>
          <w:szCs w:val="28"/>
          <w:lang w:eastAsia="zh-CN"/>
        </w:rPr>
        <w:t>2019年1月28日</w:t>
      </w:r>
      <w:r>
        <w:rPr>
          <w:rFonts w:hint="eastAsia" w:ascii="仿宋_GB2312" w:hAnsi="宋体" w:eastAsia="仿宋_GB2312"/>
          <w:color w:val="auto"/>
          <w:szCs w:val="28"/>
        </w:rPr>
        <w:t>至20</w:t>
      </w:r>
      <w:r>
        <w:rPr>
          <w:rFonts w:hint="eastAsia" w:ascii="仿宋_GB2312" w:hAnsi="宋体" w:eastAsia="仿宋_GB2312"/>
          <w:color w:val="auto"/>
          <w:szCs w:val="28"/>
          <w:lang w:val="en-US" w:eastAsia="zh-CN"/>
        </w:rPr>
        <w:t>20</w:t>
      </w:r>
      <w:r>
        <w:rPr>
          <w:rFonts w:hint="eastAsia" w:ascii="仿宋_GB2312" w:hAnsi="宋体" w:eastAsia="仿宋_GB2312"/>
          <w:color w:val="auto"/>
          <w:szCs w:val="28"/>
        </w:rPr>
        <w:t>年</w:t>
      </w:r>
      <w:r>
        <w:rPr>
          <w:rFonts w:hint="eastAsia" w:ascii="仿宋_GB2312" w:hAnsi="宋体" w:eastAsia="仿宋_GB2312"/>
          <w:color w:val="auto"/>
          <w:szCs w:val="28"/>
          <w:lang w:val="en-US" w:eastAsia="zh-CN"/>
        </w:rPr>
        <w:t>1</w:t>
      </w:r>
      <w:r>
        <w:rPr>
          <w:rFonts w:hint="eastAsia" w:ascii="仿宋_GB2312" w:hAnsi="宋体" w:eastAsia="仿宋_GB2312"/>
          <w:color w:val="auto"/>
          <w:szCs w:val="28"/>
        </w:rPr>
        <w:t>月</w:t>
      </w:r>
      <w:r>
        <w:rPr>
          <w:rFonts w:hint="eastAsia" w:ascii="仿宋_GB2312" w:hAnsi="宋体" w:eastAsia="仿宋_GB2312"/>
          <w:color w:val="auto"/>
          <w:szCs w:val="28"/>
          <w:lang w:val="en-US" w:eastAsia="zh-CN"/>
        </w:rPr>
        <w:t>27</w:t>
      </w:r>
      <w:r>
        <w:rPr>
          <w:rFonts w:hint="eastAsia" w:ascii="仿宋_GB2312" w:hAnsi="宋体" w:eastAsia="仿宋_GB2312"/>
          <w:color w:val="auto"/>
          <w:szCs w:val="28"/>
        </w:rPr>
        <w:t>日止。</w:t>
      </w:r>
    </w:p>
    <w:p>
      <w:pPr>
        <w:pStyle w:val="16"/>
        <w:keepNext w:val="0"/>
        <w:keepLines w:val="0"/>
        <w:pageBreakBefore w:val="0"/>
        <w:kinsoku/>
        <w:overflowPunct/>
        <w:topLinePunct w:val="0"/>
        <w:bidi w:val="0"/>
        <w:spacing w:line="540" w:lineRule="exact"/>
        <w:jc w:val="center"/>
        <w:outlineLvl w:val="0"/>
        <w:rPr>
          <w:rFonts w:ascii="仿宋_GB2312" w:hAnsi="宋体" w:eastAsia="仿宋_GB2312"/>
          <w:b/>
          <w:bCs/>
          <w:color w:val="auto"/>
          <w:sz w:val="44"/>
        </w:rPr>
      </w:pPr>
    </w:p>
    <w:p>
      <w:pPr>
        <w:pStyle w:val="16"/>
        <w:keepNext w:val="0"/>
        <w:keepLines w:val="0"/>
        <w:pageBreakBefore w:val="0"/>
        <w:kinsoku/>
        <w:overflowPunct/>
        <w:topLinePunct w:val="0"/>
        <w:bidi w:val="0"/>
        <w:spacing w:line="540" w:lineRule="exact"/>
        <w:jc w:val="both"/>
        <w:outlineLvl w:val="0"/>
        <w:rPr>
          <w:rFonts w:ascii="仿宋_GB2312" w:hAnsi="宋体" w:eastAsia="仿宋_GB2312"/>
          <w:b/>
          <w:bCs/>
          <w:color w:val="auto"/>
          <w:sz w:val="44"/>
        </w:rPr>
      </w:pPr>
    </w:p>
    <w:p>
      <w:pPr>
        <w:pStyle w:val="16"/>
        <w:keepNext w:val="0"/>
        <w:keepLines w:val="0"/>
        <w:pageBreakBefore w:val="0"/>
        <w:kinsoku/>
        <w:overflowPunct/>
        <w:topLinePunct w:val="0"/>
        <w:bidi w:val="0"/>
        <w:spacing w:line="540" w:lineRule="exact"/>
        <w:jc w:val="both"/>
        <w:outlineLvl w:val="0"/>
        <w:rPr>
          <w:rFonts w:ascii="仿宋_GB2312" w:hAnsi="宋体" w:eastAsia="仿宋_GB2312"/>
          <w:b/>
          <w:bCs/>
          <w:color w:val="auto"/>
          <w:sz w:val="44"/>
        </w:rPr>
      </w:pPr>
    </w:p>
    <w:p>
      <w:pPr>
        <w:pStyle w:val="16"/>
        <w:keepNext w:val="0"/>
        <w:keepLines w:val="0"/>
        <w:pageBreakBefore w:val="0"/>
        <w:kinsoku/>
        <w:overflowPunct/>
        <w:topLinePunct w:val="0"/>
        <w:bidi w:val="0"/>
        <w:spacing w:line="540" w:lineRule="exact"/>
        <w:jc w:val="both"/>
        <w:outlineLvl w:val="0"/>
        <w:rPr>
          <w:rFonts w:ascii="仿宋_GB2312" w:hAnsi="宋体" w:eastAsia="仿宋_GB2312"/>
          <w:b/>
          <w:bCs/>
          <w:color w:val="auto"/>
          <w:sz w:val="44"/>
        </w:rPr>
      </w:pPr>
    </w:p>
    <w:p>
      <w:pPr>
        <w:pStyle w:val="16"/>
        <w:keepNext w:val="0"/>
        <w:keepLines w:val="0"/>
        <w:pageBreakBefore w:val="0"/>
        <w:kinsoku/>
        <w:overflowPunct/>
        <w:topLinePunct w:val="0"/>
        <w:bidi w:val="0"/>
        <w:spacing w:line="540" w:lineRule="exact"/>
        <w:jc w:val="both"/>
        <w:outlineLvl w:val="0"/>
        <w:rPr>
          <w:rFonts w:ascii="仿宋_GB2312" w:hAnsi="宋体" w:eastAsia="仿宋_GB2312"/>
          <w:b/>
          <w:bCs/>
          <w:color w:val="auto"/>
          <w:sz w:val="44"/>
        </w:rPr>
      </w:pPr>
    </w:p>
    <w:p>
      <w:pPr>
        <w:pStyle w:val="16"/>
        <w:keepNext w:val="0"/>
        <w:keepLines w:val="0"/>
        <w:pageBreakBefore w:val="0"/>
        <w:kinsoku/>
        <w:overflowPunct/>
        <w:topLinePunct w:val="0"/>
        <w:bidi w:val="0"/>
        <w:spacing w:line="540" w:lineRule="exact"/>
        <w:jc w:val="center"/>
        <w:outlineLvl w:val="0"/>
        <w:rPr>
          <w:rFonts w:ascii="仿宋_GB2312" w:hAnsi="宋体" w:eastAsia="仿宋_GB2312"/>
          <w:b/>
          <w:bCs/>
          <w:color w:val="auto"/>
          <w:sz w:val="44"/>
        </w:rPr>
      </w:pPr>
    </w:p>
    <w:p>
      <w:pPr>
        <w:pStyle w:val="2"/>
        <w:numPr>
          <w:ilvl w:val="0"/>
          <w:numId w:val="0"/>
        </w:numPr>
        <w:tabs>
          <w:tab w:val="clear" w:pos="-510"/>
        </w:tabs>
        <w:ind w:left="-540" w:leftChars="0"/>
        <w:jc w:val="center"/>
        <w:rPr>
          <w:color w:val="auto"/>
        </w:rPr>
      </w:pPr>
      <w:bookmarkStart w:id="3" w:name="_Toc4510"/>
      <w:r>
        <w:rPr>
          <w:rFonts w:hint="eastAsia"/>
          <w:color w:val="auto"/>
          <w:lang w:eastAsia="zh-CN"/>
        </w:rPr>
        <w:t>三、</w:t>
      </w:r>
      <w:r>
        <w:rPr>
          <w:rFonts w:hint="eastAsia"/>
          <w:color w:val="auto"/>
        </w:rPr>
        <w:t>估价结果报告</w:t>
      </w:r>
      <w:bookmarkEnd w:id="3"/>
    </w:p>
    <w:p>
      <w:pPr>
        <w:pStyle w:val="3"/>
        <w:keepLines w:val="0"/>
        <w:pageBreakBefore w:val="0"/>
        <w:kinsoku/>
        <w:wordWrap/>
        <w:overflowPunct/>
        <w:topLinePunct w:val="0"/>
        <w:autoSpaceDE/>
        <w:autoSpaceDN/>
        <w:bidi w:val="0"/>
        <w:spacing w:line="500" w:lineRule="exact"/>
        <w:rPr>
          <w:color w:val="auto"/>
        </w:rPr>
      </w:pPr>
      <w:bookmarkStart w:id="4" w:name="_Toc28706"/>
      <w:r>
        <w:rPr>
          <w:rFonts w:hint="eastAsia"/>
          <w:color w:val="auto"/>
        </w:rPr>
        <w:t>一、估价委托人</w:t>
      </w:r>
      <w:bookmarkEnd w:id="4"/>
    </w:p>
    <w:p>
      <w:pPr>
        <w:keepNext w:val="0"/>
        <w:keepLines w:val="0"/>
        <w:pageBreakBefore w:val="0"/>
        <w:kinsoku/>
        <w:wordWrap/>
        <w:overflowPunct/>
        <w:topLinePunct w:val="0"/>
        <w:autoSpaceDE/>
        <w:autoSpaceDN/>
        <w:bidi w:val="0"/>
        <w:snapToGrid w:val="0"/>
        <w:spacing w:line="500" w:lineRule="exact"/>
        <w:ind w:firstLine="560" w:firstLineChars="200"/>
        <w:rPr>
          <w:rFonts w:ascii="仿宋_GB2312" w:hAnsi="宋体" w:eastAsia="仿宋_GB2312"/>
          <w:color w:val="auto"/>
          <w:spacing w:val="0"/>
          <w:szCs w:val="28"/>
        </w:rPr>
      </w:pPr>
      <w:r>
        <w:rPr>
          <w:rFonts w:hint="eastAsia" w:ascii="仿宋_GB2312" w:hAnsi="宋体" w:eastAsia="仿宋_GB2312"/>
          <w:color w:val="auto"/>
          <w:spacing w:val="0"/>
          <w:szCs w:val="28"/>
        </w:rPr>
        <w:t>委托单位全称：</w:t>
      </w:r>
      <w:r>
        <w:rPr>
          <w:rFonts w:hint="eastAsia" w:ascii="仿宋_GB2312" w:hAnsi="宋体" w:eastAsia="仿宋_GB2312"/>
          <w:color w:val="auto"/>
          <w:szCs w:val="28"/>
        </w:rPr>
        <w:t>高青县人民法院司法技术和装备管理局</w:t>
      </w:r>
    </w:p>
    <w:p>
      <w:pPr>
        <w:keepNext w:val="0"/>
        <w:keepLines w:val="0"/>
        <w:pageBreakBefore w:val="0"/>
        <w:numPr>
          <w:ilvl w:val="0"/>
          <w:numId w:val="6"/>
        </w:numPr>
        <w:kinsoku/>
        <w:wordWrap/>
        <w:overflowPunct/>
        <w:topLinePunct w:val="0"/>
        <w:autoSpaceDE/>
        <w:autoSpaceDN/>
        <w:bidi w:val="0"/>
        <w:snapToGrid w:val="0"/>
        <w:spacing w:line="500" w:lineRule="exact"/>
        <w:outlineLvl w:val="1"/>
        <w:rPr>
          <w:rFonts w:ascii="仿宋_GB2312" w:hAnsi="宋体" w:eastAsia="仿宋_GB2312"/>
          <w:b/>
          <w:bCs/>
          <w:color w:val="auto"/>
          <w:spacing w:val="0"/>
          <w:szCs w:val="28"/>
        </w:rPr>
      </w:pPr>
      <w:bookmarkStart w:id="5" w:name="_Toc2251"/>
      <w:r>
        <w:rPr>
          <w:rStyle w:val="74"/>
          <w:rFonts w:hint="eastAsia"/>
          <w:color w:val="auto"/>
        </w:rPr>
        <w:t>房地产估价机</w:t>
      </w:r>
      <w:r>
        <w:rPr>
          <w:rStyle w:val="74"/>
          <w:rFonts w:hint="eastAsia"/>
          <w:color w:val="auto"/>
          <w:lang w:eastAsia="zh-CN"/>
        </w:rPr>
        <w:t>构</w:t>
      </w:r>
      <w:bookmarkEnd w:id="5"/>
    </w:p>
    <w:p>
      <w:pPr>
        <w:keepNext w:val="0"/>
        <w:keepLines w:val="0"/>
        <w:pageBreakBefore w:val="0"/>
        <w:numPr>
          <w:ilvl w:val="0"/>
          <w:numId w:val="0"/>
        </w:numPr>
        <w:kinsoku/>
        <w:wordWrap/>
        <w:overflowPunct/>
        <w:topLinePunct w:val="0"/>
        <w:autoSpaceDE/>
        <w:autoSpaceDN/>
        <w:bidi w:val="0"/>
        <w:snapToGrid w:val="0"/>
        <w:spacing w:line="500" w:lineRule="exact"/>
        <w:ind w:firstLine="600" w:firstLineChars="200"/>
        <w:outlineLvl w:val="1"/>
        <w:rPr>
          <w:rFonts w:ascii="仿宋_GB2312" w:hAnsi="宋体" w:eastAsia="仿宋_GB2312"/>
          <w:b/>
          <w:bCs/>
          <w:color w:val="auto"/>
          <w:spacing w:val="0"/>
          <w:szCs w:val="28"/>
        </w:rPr>
      </w:pPr>
      <w:bookmarkStart w:id="6" w:name="_Toc26592"/>
      <w:bookmarkStart w:id="7" w:name="_Toc4302"/>
      <w:bookmarkStart w:id="8" w:name="_Toc29124"/>
      <w:r>
        <w:rPr>
          <w:rFonts w:hint="eastAsia" w:ascii="仿宋_GB2312" w:hAnsi="华文细黑" w:eastAsia="仿宋_GB2312" w:cs="宋体"/>
          <w:color w:val="auto"/>
          <w:szCs w:val="28"/>
          <w:lang w:eastAsia="zh-CN"/>
        </w:rPr>
        <w:t>委估机构</w:t>
      </w:r>
      <w:r>
        <w:rPr>
          <w:rFonts w:hint="eastAsia" w:ascii="仿宋_GB2312" w:hAnsi="华文细黑" w:eastAsia="仿宋_GB2312" w:cs="宋体"/>
          <w:color w:val="auto"/>
          <w:szCs w:val="28"/>
          <w:lang w:val="en-US" w:eastAsia="zh-CN"/>
        </w:rPr>
        <w:t>全称：</w:t>
      </w:r>
      <w:r>
        <w:rPr>
          <w:rFonts w:hint="eastAsia" w:ascii="仿宋_GB2312" w:hAnsi="华文细黑" w:eastAsia="仿宋_GB2312" w:cs="宋体"/>
          <w:color w:val="auto"/>
          <w:szCs w:val="28"/>
        </w:rPr>
        <w:t>山东明嘉正德土地房地产评估有限公司</w:t>
      </w:r>
      <w:bookmarkEnd w:id="6"/>
      <w:bookmarkEnd w:id="7"/>
      <w:bookmarkEnd w:id="8"/>
    </w:p>
    <w:p>
      <w:pPr>
        <w:keepNext w:val="0"/>
        <w:keepLines w:val="0"/>
        <w:pageBreakBefore w:val="0"/>
        <w:kinsoku/>
        <w:wordWrap/>
        <w:overflowPunct/>
        <w:topLinePunct w:val="0"/>
        <w:autoSpaceDE/>
        <w:autoSpaceDN/>
        <w:bidi w:val="0"/>
        <w:spacing w:line="500" w:lineRule="exact"/>
        <w:ind w:firstLine="600" w:firstLineChars="200"/>
        <w:rPr>
          <w:rFonts w:ascii="仿宋_GB2312" w:hAnsi="华文细黑" w:eastAsia="仿宋_GB2312"/>
          <w:color w:val="auto"/>
          <w:szCs w:val="28"/>
        </w:rPr>
      </w:pPr>
      <w:r>
        <w:rPr>
          <w:rFonts w:hint="eastAsia" w:ascii="仿宋_GB2312" w:hAnsi="华文细黑" w:eastAsia="仿宋_GB2312"/>
          <w:color w:val="auto"/>
          <w:szCs w:val="28"/>
        </w:rPr>
        <w:t>住   所：</w:t>
      </w:r>
      <w:r>
        <w:rPr>
          <w:rFonts w:hint="eastAsia" w:ascii="仿宋_GB2312" w:hAnsi="华文细黑" w:eastAsia="仿宋_GB2312" w:cs="宋体"/>
          <w:color w:val="auto"/>
          <w:szCs w:val="28"/>
        </w:rPr>
        <w:t>张店区共青团西路122号3层309号</w:t>
      </w:r>
    </w:p>
    <w:p>
      <w:pPr>
        <w:keepNext w:val="0"/>
        <w:keepLines w:val="0"/>
        <w:pageBreakBefore w:val="0"/>
        <w:kinsoku/>
        <w:wordWrap/>
        <w:overflowPunct/>
        <w:topLinePunct w:val="0"/>
        <w:autoSpaceDE/>
        <w:autoSpaceDN/>
        <w:bidi w:val="0"/>
        <w:spacing w:line="500" w:lineRule="exact"/>
        <w:ind w:firstLine="600" w:firstLineChars="200"/>
        <w:rPr>
          <w:rFonts w:ascii="仿宋_GB2312" w:hAnsi="华文细黑" w:eastAsia="仿宋_GB2312"/>
          <w:color w:val="auto"/>
          <w:szCs w:val="28"/>
        </w:rPr>
      </w:pPr>
      <w:r>
        <w:rPr>
          <w:rFonts w:hint="eastAsia" w:ascii="仿宋_GB2312" w:hAnsi="华文细黑" w:eastAsia="仿宋_GB2312"/>
          <w:color w:val="auto"/>
          <w:szCs w:val="28"/>
        </w:rPr>
        <w:t>法人代表：</w:t>
      </w:r>
      <w:r>
        <w:rPr>
          <w:rFonts w:hint="eastAsia" w:ascii="仿宋_GB2312" w:hAnsi="华文细黑" w:eastAsia="仿宋_GB2312" w:cs="宋体"/>
          <w:color w:val="auto"/>
          <w:szCs w:val="28"/>
        </w:rPr>
        <w:t>韩颖</w:t>
      </w:r>
    </w:p>
    <w:p>
      <w:pPr>
        <w:keepNext w:val="0"/>
        <w:keepLines w:val="0"/>
        <w:pageBreakBefore w:val="0"/>
        <w:kinsoku/>
        <w:wordWrap/>
        <w:overflowPunct/>
        <w:topLinePunct w:val="0"/>
        <w:autoSpaceDE/>
        <w:autoSpaceDN/>
        <w:bidi w:val="0"/>
        <w:spacing w:line="500" w:lineRule="exact"/>
        <w:ind w:firstLine="600" w:firstLineChars="200"/>
        <w:rPr>
          <w:rFonts w:ascii="仿宋_GB2312" w:hAnsi="华文细黑" w:eastAsia="仿宋_GB2312"/>
          <w:color w:val="auto"/>
          <w:szCs w:val="28"/>
        </w:rPr>
      </w:pPr>
      <w:r>
        <w:rPr>
          <w:rFonts w:hint="eastAsia" w:ascii="仿宋_GB2312" w:hAnsi="华文细黑" w:eastAsia="仿宋_GB2312"/>
          <w:color w:val="auto"/>
          <w:szCs w:val="28"/>
        </w:rPr>
        <w:t>资质等级：房地产</w:t>
      </w:r>
      <w:r>
        <w:rPr>
          <w:rFonts w:hint="eastAsia" w:ascii="仿宋_GB2312" w:hAnsi="华文细黑" w:eastAsia="仿宋_GB2312" w:cs="宋体"/>
          <w:color w:val="auto"/>
          <w:szCs w:val="28"/>
        </w:rPr>
        <w:t>贰级</w:t>
      </w:r>
      <w:r>
        <w:rPr>
          <w:rFonts w:hint="eastAsia" w:ascii="仿宋_GB2312" w:hAnsi="华文细黑" w:eastAsia="仿宋_GB2312" w:cs="宋体"/>
          <w:color w:val="auto"/>
          <w:szCs w:val="28"/>
          <w:lang w:val="en-US" w:eastAsia="zh-CN"/>
        </w:rPr>
        <w:t xml:space="preserve">   </w:t>
      </w:r>
      <w:r>
        <w:rPr>
          <w:rFonts w:hint="eastAsia" w:ascii="仿宋_GB2312" w:hAnsi="华文细黑" w:eastAsia="仿宋_GB2312"/>
          <w:color w:val="auto"/>
          <w:szCs w:val="28"/>
        </w:rPr>
        <w:t>证书编号：鲁评</w:t>
      </w:r>
      <w:r>
        <w:rPr>
          <w:rFonts w:hint="eastAsia" w:ascii="仿宋_GB2312" w:hAnsi="华文细黑" w:eastAsia="仿宋_GB2312"/>
          <w:color w:val="auto"/>
          <w:szCs w:val="28"/>
          <w:lang w:val="en-US" w:eastAsia="zh-CN"/>
        </w:rPr>
        <w:t>0</w:t>
      </w:r>
      <w:r>
        <w:rPr>
          <w:rFonts w:hint="eastAsia" w:ascii="仿宋_GB2312" w:hAnsi="华文细黑" w:eastAsia="仿宋_GB2312"/>
          <w:color w:val="auto"/>
          <w:szCs w:val="28"/>
        </w:rPr>
        <w:t>32014</w:t>
      </w:r>
    </w:p>
    <w:p>
      <w:pPr>
        <w:keepNext w:val="0"/>
        <w:keepLines w:val="0"/>
        <w:pageBreakBefore w:val="0"/>
        <w:kinsoku/>
        <w:wordWrap/>
        <w:overflowPunct/>
        <w:topLinePunct w:val="0"/>
        <w:autoSpaceDE/>
        <w:autoSpaceDN/>
        <w:bidi w:val="0"/>
        <w:spacing w:line="500" w:lineRule="exact"/>
        <w:ind w:firstLine="600" w:firstLineChars="200"/>
        <w:contextualSpacing/>
        <w:rPr>
          <w:rFonts w:hint="eastAsia" w:ascii="仿宋_GB2312" w:hAnsi="华文细黑" w:eastAsia="仿宋_GB2312"/>
          <w:color w:val="auto"/>
          <w:szCs w:val="28"/>
          <w:lang w:val="en-US" w:eastAsia="zh-CN"/>
        </w:rPr>
      </w:pPr>
      <w:r>
        <w:rPr>
          <w:rFonts w:hint="eastAsia" w:ascii="仿宋_GB2312" w:hAnsi="华文细黑" w:eastAsia="仿宋_GB2312"/>
          <w:color w:val="auto"/>
          <w:szCs w:val="28"/>
        </w:rPr>
        <w:t>联系电话：</w:t>
      </w:r>
      <w:r>
        <w:rPr>
          <w:rFonts w:hint="eastAsia" w:ascii="仿宋_GB2312" w:hAnsi="华文细黑" w:eastAsia="仿宋_GB2312"/>
          <w:color w:val="auto"/>
          <w:szCs w:val="28"/>
          <w:lang w:val="en-US" w:eastAsia="zh-CN"/>
        </w:rPr>
        <w:t>05336679913</w:t>
      </w:r>
    </w:p>
    <w:p>
      <w:pPr>
        <w:keepNext w:val="0"/>
        <w:keepLines w:val="0"/>
        <w:pageBreakBefore w:val="0"/>
        <w:tabs>
          <w:tab w:val="left" w:pos="2868"/>
          <w:tab w:val="left" w:pos="8856"/>
        </w:tabs>
        <w:kinsoku/>
        <w:wordWrap/>
        <w:overflowPunct/>
        <w:topLinePunct w:val="0"/>
        <w:autoSpaceDE/>
        <w:autoSpaceDN/>
        <w:bidi w:val="0"/>
        <w:spacing w:line="500" w:lineRule="exact"/>
        <w:outlineLvl w:val="1"/>
        <w:rPr>
          <w:rFonts w:ascii="仿宋_GB2312" w:hAnsi="宋体" w:eastAsia="仿宋_GB2312"/>
          <w:color w:val="auto"/>
          <w:szCs w:val="28"/>
        </w:rPr>
      </w:pPr>
      <w:bookmarkStart w:id="9" w:name="_Toc15972"/>
      <w:r>
        <w:rPr>
          <w:rStyle w:val="74"/>
          <w:rFonts w:hint="eastAsia"/>
          <w:color w:val="auto"/>
        </w:rPr>
        <w:t>三、估价目的</w:t>
      </w:r>
      <w:bookmarkEnd w:id="9"/>
      <w:r>
        <w:rPr>
          <w:rFonts w:hint="eastAsia" w:ascii="仿宋_GB2312" w:hAnsi="宋体" w:eastAsia="仿宋_GB2312"/>
          <w:b/>
          <w:bCs/>
          <w:color w:val="auto"/>
          <w:spacing w:val="0"/>
          <w:szCs w:val="28"/>
        </w:rPr>
        <w:t xml:space="preserve">  </w:t>
      </w:r>
    </w:p>
    <w:p>
      <w:pPr>
        <w:keepNext w:val="0"/>
        <w:keepLines w:val="0"/>
        <w:pageBreakBefore w:val="0"/>
        <w:kinsoku/>
        <w:wordWrap/>
        <w:overflowPunct/>
        <w:topLinePunct w:val="0"/>
        <w:autoSpaceDE/>
        <w:autoSpaceDN/>
        <w:bidi w:val="0"/>
        <w:spacing w:line="500" w:lineRule="exact"/>
        <w:ind w:firstLine="560" w:firstLineChars="200"/>
        <w:rPr>
          <w:rFonts w:ascii="仿宋_GB2312" w:hAnsi="宋体" w:eastAsia="仿宋_GB2312"/>
          <w:color w:val="auto"/>
          <w:spacing w:val="0"/>
          <w:szCs w:val="28"/>
        </w:rPr>
      </w:pPr>
      <w:r>
        <w:rPr>
          <w:rFonts w:hint="eastAsia" w:ascii="仿宋_GB2312" w:hAnsi="宋体" w:eastAsia="仿宋_GB2312"/>
          <w:color w:val="auto"/>
          <w:spacing w:val="0"/>
          <w:szCs w:val="28"/>
        </w:rPr>
        <w:t>为委托方执行涉及估价对象的司法裁决提供价值鉴定意见而评估房地产的市场价值。</w:t>
      </w:r>
    </w:p>
    <w:p>
      <w:pPr>
        <w:pStyle w:val="3"/>
        <w:keepLines w:val="0"/>
        <w:pageBreakBefore w:val="0"/>
        <w:kinsoku/>
        <w:wordWrap/>
        <w:overflowPunct/>
        <w:topLinePunct w:val="0"/>
        <w:autoSpaceDE/>
        <w:autoSpaceDN/>
        <w:bidi w:val="0"/>
        <w:spacing w:line="500" w:lineRule="exact"/>
        <w:rPr>
          <w:color w:val="auto"/>
        </w:rPr>
      </w:pPr>
      <w:bookmarkStart w:id="10" w:name="_Toc21184"/>
      <w:r>
        <w:rPr>
          <w:rFonts w:hint="eastAsia"/>
          <w:color w:val="auto"/>
        </w:rPr>
        <w:t>四、估价对象</w:t>
      </w:r>
      <w:bookmarkEnd w:id="10"/>
    </w:p>
    <w:p>
      <w:pPr>
        <w:keepNext w:val="0"/>
        <w:keepLines w:val="0"/>
        <w:pageBreakBefore w:val="0"/>
        <w:tabs>
          <w:tab w:val="left" w:pos="7797"/>
        </w:tabs>
        <w:kinsoku/>
        <w:wordWrap/>
        <w:overflowPunct/>
        <w:topLinePunct w:val="0"/>
        <w:autoSpaceDE/>
        <w:autoSpaceDN/>
        <w:bidi w:val="0"/>
        <w:spacing w:line="500" w:lineRule="exact"/>
        <w:ind w:firstLine="560" w:firstLineChars="200"/>
        <w:rPr>
          <w:rFonts w:hint="eastAsia" w:ascii="仿宋_GB2312" w:eastAsia="仿宋_GB2312"/>
          <w:color w:val="auto"/>
        </w:rPr>
      </w:pPr>
      <w:r>
        <w:rPr>
          <w:rFonts w:hint="eastAsia" w:ascii="仿宋_GB2312" w:hAnsi="宋体" w:eastAsia="仿宋_GB2312"/>
          <w:color w:val="auto"/>
          <w:spacing w:val="0"/>
          <w:szCs w:val="28"/>
          <w:lang w:eastAsia="zh-CN"/>
        </w:rPr>
        <w:t>估价对象</w:t>
      </w:r>
      <w:r>
        <w:rPr>
          <w:rFonts w:hint="eastAsia" w:ascii="仿宋_GB2312" w:hAnsi="宋体" w:eastAsia="仿宋_GB2312"/>
          <w:color w:val="auto"/>
          <w:spacing w:val="0"/>
          <w:szCs w:val="28"/>
        </w:rPr>
        <w:t>为位于</w:t>
      </w:r>
      <w:r>
        <w:rPr>
          <w:rFonts w:hint="eastAsia" w:ascii="仿宋_GB2312" w:eastAsia="仿宋_GB2312"/>
          <w:color w:val="auto"/>
          <w:lang w:eastAsia="zh-CN"/>
        </w:rPr>
        <w:t>高青县中心路西侧一处商住房地产</w:t>
      </w:r>
      <w:r>
        <w:rPr>
          <w:rFonts w:hint="eastAsia" w:ascii="仿宋_GB2312" w:eastAsia="仿宋_GB2312"/>
          <w:color w:val="auto"/>
        </w:rPr>
        <w:t>。详细情况见下表：</w:t>
      </w:r>
    </w:p>
    <w:tbl>
      <w:tblPr>
        <w:tblStyle w:val="36"/>
        <w:tblW w:w="9951" w:type="dxa"/>
        <w:jc w:val="center"/>
        <w:tblInd w:w="-669"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4"/>
        <w:gridCol w:w="1808"/>
        <w:gridCol w:w="780"/>
        <w:gridCol w:w="2565"/>
        <w:gridCol w:w="243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jc w:val="center"/>
        </w:trPr>
        <w:tc>
          <w:tcPr>
            <w:tcW w:w="236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before="100" w:beforeAutospacing="0" w:line="300" w:lineRule="exact"/>
              <w:jc w:val="center"/>
              <w:textAlignment w:val="baseline"/>
              <w:outlineLvl w:val="9"/>
              <w:rPr>
                <w:rFonts w:hint="eastAsia" w:ascii="仿宋_GB2312" w:hAnsi="宋体" w:eastAsia="仿宋_GB2312" w:cs="宋体"/>
                <w:color w:val="auto"/>
                <w:sz w:val="24"/>
                <w:szCs w:val="24"/>
                <w:lang w:eastAsia="zh-CN"/>
              </w:rPr>
            </w:pPr>
            <w:r>
              <w:rPr>
                <w:rFonts w:hint="eastAsia" w:ascii="仿宋_GB2312" w:hAnsi="宋体" w:eastAsia="仿宋_GB2312" w:cs="宋体"/>
                <w:color w:val="auto"/>
                <w:sz w:val="24"/>
                <w:szCs w:val="24"/>
                <w:lang w:eastAsia="zh-CN"/>
              </w:rPr>
              <w:t>房屋产权证号</w:t>
            </w:r>
          </w:p>
        </w:tc>
        <w:tc>
          <w:tcPr>
            <w:tcW w:w="180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before="100" w:beforeAutospacing="0" w:line="300" w:lineRule="exact"/>
              <w:jc w:val="center"/>
              <w:textAlignment w:val="baseline"/>
              <w:outlineLvl w:val="9"/>
              <w:rPr>
                <w:rFonts w:hint="eastAsia" w:ascii="仿宋_GB2312" w:hAnsi="宋体" w:eastAsia="仿宋_GB2312" w:cs="宋体"/>
                <w:color w:val="auto"/>
                <w:sz w:val="24"/>
                <w:szCs w:val="24"/>
                <w:lang w:val="en-US" w:eastAsia="zh-CN"/>
              </w:rPr>
            </w:pPr>
            <w:r>
              <w:rPr>
                <w:rFonts w:hint="eastAsia" w:ascii="仿宋_GB2312" w:hAnsi="宋体" w:eastAsia="仿宋_GB2312" w:cs="宋体"/>
                <w:color w:val="auto"/>
                <w:sz w:val="24"/>
                <w:szCs w:val="24"/>
                <w:lang w:val="en-US" w:eastAsia="zh-CN"/>
              </w:rPr>
              <w:t>09-0002898</w:t>
            </w:r>
          </w:p>
        </w:tc>
        <w:tc>
          <w:tcPr>
            <w:tcW w:w="3345"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before="100" w:beforeAutospacing="0" w:line="300" w:lineRule="exact"/>
              <w:jc w:val="center"/>
              <w:textAlignment w:val="baseline"/>
              <w:outlineLvl w:val="9"/>
              <w:rPr>
                <w:rFonts w:hint="eastAsia" w:ascii="仿宋_GB2312" w:hAnsi="宋体" w:eastAsia="仿宋_GB2312" w:cs="宋体"/>
                <w:color w:val="auto"/>
                <w:sz w:val="24"/>
                <w:szCs w:val="24"/>
                <w:lang w:val="en-US" w:eastAsia="zh-CN"/>
              </w:rPr>
            </w:pPr>
            <w:r>
              <w:rPr>
                <w:rFonts w:hint="eastAsia" w:ascii="仿宋_GB2312" w:hAnsi="宋体" w:eastAsia="仿宋_GB2312" w:cs="宋体"/>
                <w:color w:val="auto"/>
                <w:sz w:val="24"/>
                <w:szCs w:val="24"/>
                <w:lang w:val="en-US" w:eastAsia="zh-CN"/>
              </w:rPr>
              <w:t>证载建筑面积（㎡）</w:t>
            </w:r>
          </w:p>
        </w:tc>
        <w:tc>
          <w:tcPr>
            <w:tcW w:w="24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before="100" w:beforeAutospacing="0" w:line="300" w:lineRule="exact"/>
              <w:jc w:val="center"/>
              <w:textAlignment w:val="baseline"/>
              <w:outlineLvl w:val="9"/>
              <w:rPr>
                <w:rFonts w:hint="eastAsia" w:ascii="仿宋_GB2312" w:hAnsi="宋体" w:eastAsia="仿宋_GB2312" w:cs="宋体"/>
                <w:color w:val="auto"/>
                <w:sz w:val="24"/>
                <w:szCs w:val="24"/>
                <w:lang w:val="en-US" w:eastAsia="zh-CN"/>
              </w:rPr>
            </w:pPr>
            <w:r>
              <w:rPr>
                <w:rFonts w:hint="eastAsia" w:ascii="仿宋_GB2312" w:hAnsi="宋体" w:eastAsia="仿宋_GB2312" w:cs="宋体"/>
                <w:color w:val="auto"/>
                <w:sz w:val="24"/>
                <w:szCs w:val="24"/>
                <w:lang w:val="en-US" w:eastAsia="zh-CN"/>
              </w:rPr>
              <w:t>576.45</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jc w:val="center"/>
        </w:trPr>
        <w:tc>
          <w:tcPr>
            <w:tcW w:w="236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before="100" w:beforeAutospacing="0" w:line="300" w:lineRule="exact"/>
              <w:jc w:val="center"/>
              <w:textAlignment w:val="baseline"/>
              <w:outlineLvl w:val="9"/>
              <w:rPr>
                <w:rFonts w:ascii="仿宋_GB2312" w:hAnsi="宋体" w:eastAsia="仿宋_GB2312" w:cs="宋体"/>
                <w:color w:val="auto"/>
                <w:sz w:val="24"/>
                <w:szCs w:val="24"/>
              </w:rPr>
            </w:pPr>
            <w:r>
              <w:rPr>
                <w:rFonts w:hint="eastAsia" w:ascii="仿宋_GB2312" w:hAnsi="宋体" w:eastAsia="仿宋_GB2312" w:cs="宋体"/>
                <w:color w:val="auto"/>
                <w:sz w:val="24"/>
                <w:szCs w:val="24"/>
              </w:rPr>
              <w:t>房屋所有权人</w:t>
            </w:r>
          </w:p>
        </w:tc>
        <w:tc>
          <w:tcPr>
            <w:tcW w:w="180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before="100" w:beforeAutospacing="0" w:line="300" w:lineRule="exact"/>
              <w:jc w:val="center"/>
              <w:textAlignment w:val="baseline"/>
              <w:outlineLvl w:val="9"/>
              <w:rPr>
                <w:rFonts w:hint="eastAsia" w:ascii="仿宋_GB2312" w:hAnsi="宋体" w:eastAsia="仿宋_GB2312" w:cs="宋体"/>
                <w:color w:val="auto"/>
                <w:sz w:val="24"/>
                <w:szCs w:val="24"/>
                <w:lang w:eastAsia="zh-CN"/>
              </w:rPr>
            </w:pPr>
            <w:r>
              <w:rPr>
                <w:rFonts w:hint="eastAsia" w:ascii="仿宋_GB2312" w:eastAsia="仿宋_GB2312"/>
                <w:color w:val="auto"/>
                <w:sz w:val="24"/>
                <w:szCs w:val="24"/>
                <w:lang w:eastAsia="zh-CN"/>
              </w:rPr>
              <w:t>李军</w:t>
            </w:r>
          </w:p>
        </w:tc>
        <w:tc>
          <w:tcPr>
            <w:tcW w:w="3345"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before="100" w:beforeAutospacing="0" w:line="300" w:lineRule="exact"/>
              <w:jc w:val="center"/>
              <w:textAlignment w:val="baseline"/>
              <w:outlineLvl w:val="9"/>
              <w:rPr>
                <w:rFonts w:ascii="仿宋_GB2312" w:hAnsi="宋体" w:eastAsia="仿宋_GB2312" w:cs="宋体"/>
                <w:color w:val="auto"/>
                <w:sz w:val="24"/>
                <w:szCs w:val="24"/>
              </w:rPr>
            </w:pPr>
            <w:r>
              <w:rPr>
                <w:rFonts w:hint="eastAsia" w:ascii="仿宋_GB2312" w:hAnsi="宋体" w:eastAsia="仿宋_GB2312" w:cs="宋体"/>
                <w:color w:val="auto"/>
                <w:sz w:val="24"/>
                <w:szCs w:val="24"/>
              </w:rPr>
              <w:t>身份证号</w:t>
            </w:r>
          </w:p>
        </w:tc>
        <w:tc>
          <w:tcPr>
            <w:tcW w:w="24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before="100" w:beforeAutospacing="0" w:line="300" w:lineRule="exact"/>
              <w:jc w:val="center"/>
              <w:textAlignment w:val="baseline"/>
              <w:outlineLvl w:val="9"/>
              <w:rPr>
                <w:rFonts w:hint="eastAsia" w:ascii="仿宋_GB2312" w:hAnsi="宋体" w:eastAsia="仿宋_GB2312" w:cs="宋体"/>
                <w:color w:val="auto"/>
                <w:sz w:val="24"/>
                <w:szCs w:val="24"/>
                <w:lang w:val="en-US" w:eastAsia="zh-CN"/>
              </w:rPr>
            </w:pPr>
            <w:r>
              <w:rPr>
                <w:rFonts w:hint="eastAsia" w:ascii="仿宋_GB2312" w:hAnsi="宋体" w:eastAsia="仿宋_GB2312" w:cs="宋体"/>
                <w:color w:val="auto"/>
                <w:sz w:val="24"/>
                <w:szCs w:val="24"/>
                <w:lang w:val="en-US" w:eastAsia="zh-CN"/>
              </w:rPr>
              <w:t>372331580918003</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jc w:val="center"/>
        </w:trPr>
        <w:tc>
          <w:tcPr>
            <w:tcW w:w="236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before="100" w:beforeAutospacing="0" w:line="300" w:lineRule="exact"/>
              <w:jc w:val="center"/>
              <w:textAlignment w:val="baseline"/>
              <w:outlineLvl w:val="9"/>
              <w:rPr>
                <w:rFonts w:ascii="仿宋_GB2312" w:hAnsi="宋体" w:eastAsia="仿宋_GB2312" w:cs="宋体"/>
                <w:color w:val="auto"/>
                <w:sz w:val="24"/>
                <w:szCs w:val="24"/>
              </w:rPr>
            </w:pPr>
            <w:r>
              <w:rPr>
                <w:rFonts w:hint="eastAsia" w:ascii="仿宋_GB2312" w:hAnsi="宋体" w:eastAsia="仿宋_GB2312" w:cs="宋体"/>
                <w:color w:val="auto"/>
                <w:sz w:val="24"/>
                <w:szCs w:val="24"/>
              </w:rPr>
              <w:t>结构</w:t>
            </w:r>
          </w:p>
        </w:tc>
        <w:tc>
          <w:tcPr>
            <w:tcW w:w="180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before="100" w:beforeAutospacing="0" w:line="300" w:lineRule="exact"/>
              <w:jc w:val="center"/>
              <w:textAlignment w:val="baseline"/>
              <w:outlineLvl w:val="9"/>
              <w:rPr>
                <w:rFonts w:hint="eastAsia" w:ascii="仿宋_GB2312" w:hAnsi="宋体" w:eastAsia="仿宋_GB2312" w:cs="宋体"/>
                <w:color w:val="auto"/>
                <w:sz w:val="24"/>
                <w:szCs w:val="24"/>
                <w:lang w:eastAsia="zh-CN"/>
              </w:rPr>
            </w:pPr>
            <w:r>
              <w:rPr>
                <w:rFonts w:hint="eastAsia" w:ascii="仿宋_GB2312" w:hAnsi="宋体" w:eastAsia="仿宋_GB2312" w:cs="宋体"/>
                <w:color w:val="auto"/>
                <w:sz w:val="24"/>
                <w:szCs w:val="24"/>
                <w:lang w:eastAsia="zh-CN"/>
              </w:rPr>
              <w:t>混合</w:t>
            </w:r>
          </w:p>
        </w:tc>
        <w:tc>
          <w:tcPr>
            <w:tcW w:w="3345"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before="100" w:beforeAutospacing="0" w:line="300" w:lineRule="exact"/>
              <w:jc w:val="center"/>
              <w:textAlignment w:val="baseline"/>
              <w:outlineLvl w:val="9"/>
              <w:rPr>
                <w:rFonts w:hint="eastAsia" w:ascii="仿宋_GB2312" w:hAnsi="宋体" w:eastAsia="仿宋_GB2312" w:cs="宋体"/>
                <w:color w:val="auto"/>
                <w:sz w:val="24"/>
                <w:szCs w:val="24"/>
                <w:lang w:val="en-US" w:eastAsia="zh-CN"/>
              </w:rPr>
            </w:pPr>
            <w:r>
              <w:rPr>
                <w:rFonts w:hint="eastAsia" w:ascii="仿宋_GB2312" w:hAnsi="宋体" w:eastAsia="仿宋_GB2312" w:cs="宋体"/>
                <w:color w:val="auto"/>
                <w:sz w:val="24"/>
                <w:szCs w:val="24"/>
                <w:lang w:eastAsia="zh-CN"/>
              </w:rPr>
              <w:t>房屋所在</w:t>
            </w:r>
            <w:r>
              <w:rPr>
                <w:rFonts w:hint="eastAsia" w:ascii="仿宋_GB2312" w:hAnsi="宋体" w:eastAsia="仿宋_GB2312" w:cs="宋体"/>
                <w:color w:val="auto"/>
                <w:sz w:val="24"/>
                <w:szCs w:val="24"/>
              </w:rPr>
              <w:t>楼层</w:t>
            </w:r>
            <w:r>
              <w:rPr>
                <w:rFonts w:hint="eastAsia" w:ascii="仿宋_GB2312" w:hAnsi="宋体" w:eastAsia="仿宋_GB2312" w:cs="宋体"/>
                <w:color w:val="auto"/>
                <w:sz w:val="24"/>
                <w:szCs w:val="24"/>
                <w:lang w:val="en-US" w:eastAsia="zh-CN"/>
              </w:rPr>
              <w:t>/房屋总楼层</w:t>
            </w:r>
          </w:p>
        </w:tc>
        <w:tc>
          <w:tcPr>
            <w:tcW w:w="24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before="100" w:beforeAutospacing="0" w:line="300" w:lineRule="exact"/>
              <w:jc w:val="center"/>
              <w:textAlignment w:val="baseline"/>
              <w:outlineLvl w:val="9"/>
              <w:rPr>
                <w:rFonts w:hint="eastAsia" w:ascii="仿宋_GB2312" w:hAnsi="宋体" w:eastAsia="仿宋_GB2312" w:cs="宋体"/>
                <w:color w:val="auto"/>
                <w:sz w:val="24"/>
                <w:szCs w:val="24"/>
                <w:lang w:val="en-US" w:eastAsia="zh-CN"/>
              </w:rPr>
            </w:pPr>
            <w:r>
              <w:rPr>
                <w:rFonts w:hint="eastAsia" w:ascii="仿宋_GB2312" w:hAnsi="宋体" w:eastAsia="仿宋_GB2312" w:cs="宋体"/>
                <w:color w:val="auto"/>
                <w:sz w:val="24"/>
                <w:szCs w:val="24"/>
                <w:lang w:val="en-US" w:eastAsia="zh-CN"/>
              </w:rPr>
              <w:t>1-3/3</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236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before="100" w:beforeAutospacing="0" w:line="300" w:lineRule="exact"/>
              <w:jc w:val="center"/>
              <w:textAlignment w:val="baseline"/>
              <w:outlineLvl w:val="9"/>
              <w:rPr>
                <w:rFonts w:ascii="仿宋_GB2312" w:hAnsi="宋体" w:eastAsia="仿宋_GB2312" w:cs="宋体"/>
                <w:color w:val="auto"/>
                <w:sz w:val="24"/>
                <w:szCs w:val="24"/>
              </w:rPr>
            </w:pPr>
            <w:r>
              <w:rPr>
                <w:rFonts w:hint="eastAsia" w:ascii="仿宋_GB2312" w:hAnsi="宋体" w:eastAsia="仿宋_GB2312" w:cs="宋体"/>
                <w:color w:val="auto"/>
                <w:sz w:val="24"/>
                <w:szCs w:val="24"/>
              </w:rPr>
              <w:t>建成年代</w:t>
            </w:r>
          </w:p>
        </w:tc>
        <w:tc>
          <w:tcPr>
            <w:tcW w:w="2588"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before="100" w:beforeAutospacing="0" w:line="300" w:lineRule="exact"/>
              <w:jc w:val="center"/>
              <w:textAlignment w:val="baseline"/>
              <w:outlineLvl w:val="9"/>
              <w:rPr>
                <w:rFonts w:hint="eastAsia" w:ascii="仿宋_GB2312" w:hAnsi="宋体" w:eastAsia="仿宋_GB2312" w:cs="宋体"/>
                <w:color w:val="auto"/>
                <w:sz w:val="24"/>
                <w:szCs w:val="24"/>
                <w:lang w:val="en-US" w:eastAsia="zh-CN"/>
              </w:rPr>
            </w:pPr>
            <w:r>
              <w:rPr>
                <w:rFonts w:hint="eastAsia" w:ascii="仿宋_GB2312" w:hAnsi="宋体" w:eastAsia="仿宋_GB2312" w:cs="宋体"/>
                <w:color w:val="auto"/>
                <w:sz w:val="24"/>
                <w:szCs w:val="24"/>
                <w:lang w:val="en-US" w:eastAsia="zh-CN"/>
              </w:rPr>
              <w:t>2000</w:t>
            </w:r>
          </w:p>
        </w:tc>
        <w:tc>
          <w:tcPr>
            <w:tcW w:w="256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beforeAutospacing="0" w:line="300" w:lineRule="exact"/>
              <w:jc w:val="center"/>
              <w:textAlignment w:val="baseline"/>
              <w:outlineLvl w:val="9"/>
              <w:rPr>
                <w:rFonts w:ascii="仿宋_GB2312" w:hAnsi="宋体" w:eastAsia="仿宋_GB2312" w:cs="宋体"/>
                <w:color w:val="auto"/>
                <w:sz w:val="24"/>
                <w:szCs w:val="24"/>
              </w:rPr>
            </w:pPr>
            <w:r>
              <w:rPr>
                <w:rFonts w:hint="eastAsia" w:ascii="仿宋_GB2312" w:eastAsia="仿宋_GB2312"/>
                <w:color w:val="auto"/>
                <w:sz w:val="24"/>
                <w:szCs w:val="24"/>
              </w:rPr>
              <w:t>规划用途</w:t>
            </w:r>
          </w:p>
        </w:tc>
        <w:tc>
          <w:tcPr>
            <w:tcW w:w="24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beforeAutospacing="0" w:line="300" w:lineRule="exact"/>
              <w:jc w:val="center"/>
              <w:textAlignment w:val="baseline"/>
              <w:outlineLvl w:val="9"/>
              <w:rPr>
                <w:rFonts w:hint="eastAsia" w:ascii="仿宋_GB2312" w:hAnsi="宋体" w:eastAsia="仿宋_GB2312" w:cs="宋体"/>
                <w:color w:val="auto"/>
                <w:sz w:val="24"/>
                <w:szCs w:val="24"/>
                <w:lang w:eastAsia="zh-CN"/>
              </w:rPr>
            </w:pPr>
            <w:r>
              <w:rPr>
                <w:rFonts w:hint="eastAsia" w:ascii="仿宋_GB2312" w:eastAsia="仿宋_GB2312"/>
                <w:color w:val="auto"/>
                <w:sz w:val="24"/>
                <w:szCs w:val="24"/>
                <w:lang w:eastAsia="zh-CN"/>
              </w:rPr>
              <w:t>商住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4952"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before="100" w:beforeAutospacing="0" w:line="300" w:lineRule="exact"/>
              <w:jc w:val="center"/>
              <w:textAlignment w:val="baseline"/>
              <w:outlineLvl w:val="9"/>
              <w:rPr>
                <w:rFonts w:hint="eastAsia" w:ascii="仿宋_GB2312" w:hAnsi="宋体" w:eastAsia="仿宋_GB2312" w:cs="宋体"/>
                <w:color w:val="auto"/>
                <w:sz w:val="24"/>
                <w:szCs w:val="24"/>
                <w:lang w:val="en-US" w:eastAsia="zh-CN"/>
              </w:rPr>
            </w:pPr>
            <w:r>
              <w:rPr>
                <w:rFonts w:hint="eastAsia" w:ascii="仿宋_GB2312" w:hAnsi="宋体" w:eastAsia="仿宋_GB2312" w:cs="宋体"/>
                <w:color w:val="auto"/>
                <w:sz w:val="24"/>
                <w:szCs w:val="24"/>
                <w:lang w:eastAsia="zh-CN"/>
              </w:rPr>
              <w:t>国有土地使用权证号</w:t>
            </w:r>
          </w:p>
        </w:tc>
        <w:tc>
          <w:tcPr>
            <w:tcW w:w="4999"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beforeAutospacing="0" w:line="300" w:lineRule="exact"/>
              <w:jc w:val="center"/>
              <w:textAlignment w:val="baseline"/>
              <w:outlineLvl w:val="9"/>
              <w:rPr>
                <w:rFonts w:hint="eastAsia" w:ascii="仿宋_GB2312" w:eastAsia="仿宋_GB2312"/>
                <w:color w:val="auto"/>
                <w:sz w:val="24"/>
                <w:szCs w:val="24"/>
                <w:lang w:eastAsia="zh-CN"/>
              </w:rPr>
            </w:pPr>
            <w:r>
              <w:rPr>
                <w:rFonts w:hint="eastAsia" w:ascii="仿宋_GB2312" w:hAnsi="宋体" w:eastAsia="仿宋_GB2312" w:cs="宋体"/>
                <w:color w:val="auto"/>
                <w:sz w:val="24"/>
                <w:szCs w:val="24"/>
                <w:lang w:val="en-US" w:eastAsia="zh-CN"/>
              </w:rPr>
              <w:t>高国用（2000）字第0030号</w:t>
            </w:r>
          </w:p>
        </w:tc>
      </w:tr>
    </w:tbl>
    <w:p>
      <w:pPr>
        <w:keepNext w:val="0"/>
        <w:keepLines w:val="0"/>
        <w:pageBreakBefore w:val="0"/>
        <w:kinsoku/>
        <w:wordWrap/>
        <w:overflowPunct/>
        <w:topLinePunct w:val="0"/>
        <w:autoSpaceDE/>
        <w:autoSpaceDN/>
        <w:bidi w:val="0"/>
        <w:snapToGrid w:val="0"/>
        <w:spacing w:line="460" w:lineRule="exact"/>
        <w:ind w:firstLine="551" w:firstLineChars="196"/>
        <w:outlineLvl w:val="9"/>
        <w:rPr>
          <w:rFonts w:ascii="仿宋_GB2312" w:hAnsi="宋体" w:eastAsia="仿宋_GB2312"/>
          <w:b/>
          <w:color w:val="auto"/>
          <w:spacing w:val="0"/>
          <w:szCs w:val="28"/>
        </w:rPr>
      </w:pPr>
      <w:r>
        <w:rPr>
          <w:rFonts w:hint="eastAsia" w:ascii="仿宋_GB2312" w:hAnsi="宋体" w:eastAsia="仿宋_GB2312"/>
          <w:b/>
          <w:color w:val="auto"/>
          <w:spacing w:val="0"/>
          <w:szCs w:val="28"/>
        </w:rPr>
        <w:t>1、区位状况</w:t>
      </w:r>
    </w:p>
    <w:p>
      <w:pPr>
        <w:keepNext w:val="0"/>
        <w:keepLines w:val="0"/>
        <w:pageBreakBefore w:val="0"/>
        <w:kinsoku/>
        <w:wordWrap/>
        <w:overflowPunct/>
        <w:topLinePunct w:val="0"/>
        <w:autoSpaceDE/>
        <w:autoSpaceDN/>
        <w:bidi w:val="0"/>
        <w:snapToGrid w:val="0"/>
        <w:spacing w:line="500" w:lineRule="exact"/>
        <w:ind w:firstLine="600" w:firstLineChars="200"/>
        <w:outlineLvl w:val="9"/>
        <w:rPr>
          <w:rFonts w:ascii="仿宋_GB2312" w:eastAsia="仿宋_GB2312"/>
          <w:color w:val="auto"/>
        </w:rPr>
      </w:pPr>
      <w:r>
        <w:rPr>
          <w:rFonts w:hint="eastAsia" w:ascii="仿宋_GB2312" w:eastAsia="仿宋_GB2312"/>
          <w:color w:val="auto"/>
          <w:lang w:eastAsia="zh-CN"/>
        </w:rPr>
        <w:t>估价对象所在建筑物位于高青县中心路西侧，</w:t>
      </w:r>
      <w:r>
        <w:rPr>
          <w:rFonts w:hint="eastAsia" w:ascii="仿宋_GB2312" w:eastAsia="仿宋_GB2312"/>
          <w:color w:val="auto"/>
        </w:rPr>
        <w:t>位于</w:t>
      </w:r>
      <w:r>
        <w:rPr>
          <w:rFonts w:hint="eastAsia" w:ascii="仿宋_GB2312" w:eastAsia="仿宋_GB2312"/>
          <w:color w:val="auto"/>
          <w:lang w:eastAsia="zh-CN"/>
        </w:rPr>
        <w:t>中心路以西、田镇街以北</w:t>
      </w:r>
      <w:r>
        <w:rPr>
          <w:rFonts w:hint="eastAsia" w:ascii="仿宋_GB2312" w:eastAsia="仿宋_GB2312"/>
          <w:color w:val="auto"/>
        </w:rPr>
        <w:t>。</w:t>
      </w:r>
      <w:bookmarkStart w:id="26" w:name="_GoBack"/>
      <w:bookmarkEnd w:id="26"/>
    </w:p>
    <w:p>
      <w:pPr>
        <w:keepNext w:val="0"/>
        <w:keepLines w:val="0"/>
        <w:pageBreakBefore w:val="0"/>
        <w:kinsoku/>
        <w:wordWrap/>
        <w:overflowPunct/>
        <w:topLinePunct w:val="0"/>
        <w:autoSpaceDE/>
        <w:autoSpaceDN/>
        <w:bidi w:val="0"/>
        <w:snapToGrid w:val="0"/>
        <w:spacing w:line="500" w:lineRule="exact"/>
        <w:ind w:firstLine="600" w:firstLineChars="200"/>
        <w:outlineLvl w:val="9"/>
        <w:rPr>
          <w:rFonts w:ascii="仿宋_GB2312" w:eastAsia="仿宋_GB2312"/>
          <w:color w:val="auto"/>
        </w:rPr>
      </w:pPr>
      <w:r>
        <w:rPr>
          <w:rFonts w:hint="eastAsia" w:ascii="仿宋_GB2312" w:eastAsia="仿宋_GB2312"/>
          <w:color w:val="auto"/>
        </w:rPr>
        <w:t>项目城市配套齐全；</w:t>
      </w:r>
      <w:r>
        <w:rPr>
          <w:rFonts w:hint="eastAsia" w:ascii="仿宋_GB2312" w:eastAsia="仿宋_GB2312"/>
          <w:color w:val="auto"/>
          <w:lang w:eastAsia="zh-CN"/>
        </w:rPr>
        <w:t>位于高青县中心路以西、田镇街以北</w:t>
      </w:r>
      <w:r>
        <w:rPr>
          <w:rFonts w:hint="eastAsia" w:ascii="仿宋_GB2312" w:eastAsia="仿宋_GB2312"/>
          <w:color w:val="auto"/>
        </w:rPr>
        <w:t>，交通非常方便。</w:t>
      </w:r>
      <w:r>
        <w:rPr>
          <w:rFonts w:hint="eastAsia" w:ascii="仿宋_GB2312" w:eastAsia="仿宋_GB2312"/>
          <w:color w:val="auto"/>
          <w:lang w:eastAsia="zh-CN"/>
        </w:rPr>
        <w:t>周围超市、医院等生活配套设施齐全</w:t>
      </w:r>
      <w:r>
        <w:rPr>
          <w:rFonts w:hint="eastAsia" w:ascii="仿宋_GB2312" w:eastAsia="仿宋_GB2312"/>
          <w:color w:val="auto"/>
        </w:rPr>
        <w:t>，</w:t>
      </w:r>
      <w:r>
        <w:rPr>
          <w:rFonts w:hint="eastAsia" w:ascii="仿宋_GB2312" w:eastAsia="仿宋_GB2312"/>
          <w:color w:val="auto"/>
          <w:lang w:eastAsia="zh-CN"/>
        </w:rPr>
        <w:t>商业、居住氛围较好生活便利</w:t>
      </w:r>
      <w:r>
        <w:rPr>
          <w:rFonts w:hint="eastAsia" w:ascii="仿宋_GB2312" w:eastAsia="仿宋_GB2312"/>
          <w:color w:val="auto"/>
        </w:rPr>
        <w:t>。</w:t>
      </w:r>
    </w:p>
    <w:p>
      <w:pPr>
        <w:keepNext w:val="0"/>
        <w:keepLines w:val="0"/>
        <w:pageBreakBefore w:val="0"/>
        <w:widowControl/>
        <w:kinsoku/>
        <w:wordWrap/>
        <w:overflowPunct/>
        <w:topLinePunct w:val="0"/>
        <w:autoSpaceDE/>
        <w:autoSpaceDN/>
        <w:bidi w:val="0"/>
        <w:adjustRightInd/>
        <w:spacing w:line="500" w:lineRule="exact"/>
        <w:ind w:firstLine="600" w:firstLineChars="200"/>
        <w:jc w:val="left"/>
        <w:textAlignment w:val="auto"/>
        <w:outlineLvl w:val="9"/>
        <w:rPr>
          <w:rFonts w:ascii="仿宋_GB2312" w:eastAsia="仿宋_GB2312"/>
          <w:color w:val="auto"/>
        </w:rPr>
      </w:pPr>
      <w:r>
        <w:rPr>
          <w:rFonts w:hint="eastAsia" w:ascii="仿宋_GB2312" w:eastAsia="仿宋_GB2312"/>
          <w:color w:val="auto"/>
        </w:rPr>
        <w:t>学校：</w:t>
      </w:r>
      <w:r>
        <w:rPr>
          <w:rFonts w:hint="eastAsia" w:ascii="仿宋_GB2312" w:eastAsia="仿宋_GB2312"/>
          <w:color w:val="auto"/>
          <w:lang w:eastAsia="zh-CN"/>
        </w:rPr>
        <w:t>高青县田镇中心幼儿园、高青县实验小学</w:t>
      </w:r>
      <w:r>
        <w:rPr>
          <w:rFonts w:hint="eastAsia" w:ascii="仿宋_GB2312" w:eastAsia="仿宋_GB2312"/>
          <w:color w:val="auto"/>
        </w:rPr>
        <w:t>；</w:t>
      </w:r>
    </w:p>
    <w:p>
      <w:pPr>
        <w:keepNext w:val="0"/>
        <w:keepLines w:val="0"/>
        <w:pageBreakBefore w:val="0"/>
        <w:widowControl/>
        <w:kinsoku/>
        <w:wordWrap/>
        <w:overflowPunct/>
        <w:topLinePunct w:val="0"/>
        <w:autoSpaceDE/>
        <w:autoSpaceDN/>
        <w:bidi w:val="0"/>
        <w:adjustRightInd/>
        <w:spacing w:line="500" w:lineRule="exact"/>
        <w:ind w:firstLine="600" w:firstLineChars="200"/>
        <w:jc w:val="left"/>
        <w:textAlignment w:val="auto"/>
        <w:outlineLvl w:val="9"/>
        <w:rPr>
          <w:rFonts w:ascii="仿宋_GB2312" w:eastAsia="仿宋_GB2312"/>
          <w:color w:val="auto"/>
        </w:rPr>
      </w:pPr>
      <w:r>
        <w:rPr>
          <w:rFonts w:hint="eastAsia" w:ascii="仿宋_GB2312" w:eastAsia="仿宋_GB2312"/>
          <w:color w:val="auto"/>
          <w:lang w:eastAsia="zh-CN"/>
        </w:rPr>
        <w:t>购物中心</w:t>
      </w:r>
      <w:r>
        <w:rPr>
          <w:rFonts w:hint="eastAsia" w:ascii="仿宋_GB2312" w:eastAsia="仿宋_GB2312"/>
          <w:color w:val="auto"/>
        </w:rPr>
        <w:t>：</w:t>
      </w:r>
      <w:r>
        <w:rPr>
          <w:rFonts w:hint="eastAsia" w:ascii="仿宋_GB2312" w:eastAsia="仿宋_GB2312"/>
          <w:color w:val="auto"/>
          <w:lang w:eastAsia="zh-CN"/>
        </w:rPr>
        <w:t>芦湖商城</w:t>
      </w:r>
      <w:r>
        <w:rPr>
          <w:rFonts w:hint="eastAsia" w:ascii="仿宋_GB2312" w:eastAsia="仿宋_GB2312"/>
          <w:color w:val="auto"/>
        </w:rPr>
        <w:t>；</w:t>
      </w:r>
    </w:p>
    <w:p>
      <w:pPr>
        <w:keepNext w:val="0"/>
        <w:keepLines w:val="0"/>
        <w:pageBreakBefore w:val="0"/>
        <w:widowControl/>
        <w:kinsoku/>
        <w:wordWrap/>
        <w:overflowPunct/>
        <w:topLinePunct w:val="0"/>
        <w:autoSpaceDE/>
        <w:autoSpaceDN/>
        <w:bidi w:val="0"/>
        <w:adjustRightInd/>
        <w:spacing w:line="500" w:lineRule="exact"/>
        <w:ind w:firstLine="600" w:firstLineChars="200"/>
        <w:jc w:val="left"/>
        <w:textAlignment w:val="auto"/>
        <w:outlineLvl w:val="9"/>
        <w:rPr>
          <w:rFonts w:ascii="仿宋_GB2312" w:eastAsia="仿宋_GB2312"/>
          <w:color w:val="auto"/>
        </w:rPr>
      </w:pPr>
      <w:r>
        <w:rPr>
          <w:rFonts w:hint="eastAsia" w:ascii="仿宋_GB2312" w:eastAsia="仿宋_GB2312"/>
          <w:color w:val="auto"/>
        </w:rPr>
        <w:t>银行：</w:t>
      </w:r>
      <w:r>
        <w:rPr>
          <w:rFonts w:hint="eastAsia" w:ascii="仿宋_GB2312" w:eastAsia="仿宋_GB2312"/>
          <w:color w:val="auto"/>
          <w:lang w:eastAsia="zh-CN"/>
        </w:rPr>
        <w:t>山东高青农村商业银行</w:t>
      </w:r>
      <w:r>
        <w:rPr>
          <w:rFonts w:hint="eastAsia" w:ascii="仿宋_GB2312" w:eastAsia="仿宋_GB2312"/>
          <w:color w:val="auto"/>
        </w:rPr>
        <w:t>。</w:t>
      </w:r>
    </w:p>
    <w:p>
      <w:pPr>
        <w:keepNext w:val="0"/>
        <w:keepLines w:val="0"/>
        <w:pageBreakBefore w:val="0"/>
        <w:kinsoku/>
        <w:wordWrap/>
        <w:overflowPunct/>
        <w:topLinePunct w:val="0"/>
        <w:autoSpaceDE/>
        <w:autoSpaceDN/>
        <w:bidi w:val="0"/>
        <w:snapToGrid w:val="0"/>
        <w:spacing w:line="460" w:lineRule="exact"/>
        <w:ind w:firstLine="562" w:firstLineChars="200"/>
        <w:outlineLvl w:val="9"/>
        <w:rPr>
          <w:rFonts w:ascii="仿宋_GB2312" w:hAnsi="宋体" w:eastAsia="仿宋_GB2312"/>
          <w:b/>
          <w:color w:val="auto"/>
          <w:spacing w:val="0"/>
          <w:szCs w:val="28"/>
        </w:rPr>
      </w:pPr>
      <w:r>
        <w:rPr>
          <w:rFonts w:hint="eastAsia" w:ascii="仿宋_GB2312" w:hAnsi="宋体" w:eastAsia="仿宋_GB2312"/>
          <w:b/>
          <w:color w:val="auto"/>
          <w:spacing w:val="0"/>
          <w:szCs w:val="28"/>
        </w:rPr>
        <w:t>2、实物状况</w:t>
      </w:r>
    </w:p>
    <w:p>
      <w:pPr>
        <w:keepNext w:val="0"/>
        <w:keepLines w:val="0"/>
        <w:pageBreakBefore w:val="0"/>
        <w:kinsoku/>
        <w:wordWrap/>
        <w:overflowPunct/>
        <w:topLinePunct w:val="0"/>
        <w:autoSpaceDE/>
        <w:autoSpaceDN/>
        <w:bidi w:val="0"/>
        <w:spacing w:line="460" w:lineRule="exact"/>
        <w:ind w:firstLine="560" w:firstLineChars="200"/>
        <w:outlineLvl w:val="9"/>
        <w:rPr>
          <w:rFonts w:ascii="仿宋_GB2312" w:hAnsi="宋体" w:eastAsia="仿宋_GB2312" w:cs="宋体"/>
          <w:color w:val="auto"/>
          <w:spacing w:val="0"/>
          <w:szCs w:val="28"/>
        </w:rPr>
      </w:pPr>
      <w:r>
        <w:rPr>
          <w:rFonts w:hint="eastAsia" w:ascii="仿宋_GB2312" w:hAnsi="宋体" w:eastAsia="仿宋_GB2312"/>
          <w:color w:val="auto"/>
          <w:spacing w:val="0"/>
          <w:szCs w:val="28"/>
        </w:rPr>
        <w:t>⑴土地实物状况</w:t>
      </w:r>
    </w:p>
    <w:p>
      <w:pPr>
        <w:pStyle w:val="16"/>
        <w:keepNext w:val="0"/>
        <w:keepLines w:val="0"/>
        <w:pageBreakBefore w:val="0"/>
        <w:tabs>
          <w:tab w:val="left" w:pos="180"/>
        </w:tabs>
        <w:kinsoku/>
        <w:wordWrap/>
        <w:overflowPunct/>
        <w:topLinePunct w:val="0"/>
        <w:autoSpaceDE/>
        <w:autoSpaceDN/>
        <w:bidi w:val="0"/>
        <w:spacing w:line="460" w:lineRule="exact"/>
        <w:ind w:firstLine="560" w:firstLineChars="200"/>
        <w:outlineLvl w:val="9"/>
        <w:rPr>
          <w:rFonts w:ascii="仿宋_GB2312" w:hAnsi="宋体" w:eastAsia="仿宋_GB2312"/>
          <w:color w:val="auto"/>
          <w:sz w:val="28"/>
          <w:szCs w:val="28"/>
        </w:rPr>
      </w:pPr>
      <w:r>
        <w:rPr>
          <w:rFonts w:hint="eastAsia" w:ascii="仿宋_GB2312" w:hAnsi="宋体" w:eastAsia="仿宋_GB2312"/>
          <w:color w:val="auto"/>
          <w:sz w:val="28"/>
          <w:szCs w:val="28"/>
          <w:lang w:eastAsia="zh-CN"/>
        </w:rPr>
        <w:t>委托方未提供估价对象国有土地使用权证</w:t>
      </w:r>
      <w:r>
        <w:rPr>
          <w:rFonts w:hint="eastAsia" w:ascii="仿宋_GB2312" w:hAnsi="宋体" w:eastAsia="仿宋_GB2312"/>
          <w:color w:val="auto"/>
          <w:sz w:val="28"/>
          <w:szCs w:val="28"/>
        </w:rPr>
        <w:t>。</w:t>
      </w:r>
    </w:p>
    <w:p>
      <w:pPr>
        <w:keepNext w:val="0"/>
        <w:keepLines w:val="0"/>
        <w:pageBreakBefore w:val="0"/>
        <w:kinsoku/>
        <w:wordWrap/>
        <w:overflowPunct/>
        <w:topLinePunct w:val="0"/>
        <w:autoSpaceDE/>
        <w:autoSpaceDN/>
        <w:bidi w:val="0"/>
        <w:snapToGrid w:val="0"/>
        <w:spacing w:line="460" w:lineRule="exact"/>
        <w:ind w:firstLine="560" w:firstLineChars="200"/>
        <w:outlineLvl w:val="9"/>
        <w:rPr>
          <w:rFonts w:ascii="仿宋_GB2312" w:eastAsia="仿宋_GB2312"/>
          <w:color w:val="auto"/>
        </w:rPr>
      </w:pPr>
      <w:r>
        <w:rPr>
          <w:rFonts w:hint="eastAsia" w:ascii="仿宋_GB2312" w:hAnsi="宋体" w:eastAsia="仿宋_GB2312"/>
          <w:color w:val="auto"/>
          <w:spacing w:val="0"/>
          <w:szCs w:val="28"/>
        </w:rPr>
        <w:t>开发程度：土地开发程度达到“七通一平”，即宗地外通路、通上水、通下水、通电、通讯、通燃气、通热和宗地内</w:t>
      </w:r>
      <w:r>
        <w:rPr>
          <w:rFonts w:hint="eastAsia" w:ascii="仿宋_GB2312" w:eastAsia="仿宋_GB2312"/>
          <w:color w:val="auto"/>
        </w:rPr>
        <w:t>平整；</w:t>
      </w:r>
    </w:p>
    <w:p>
      <w:pPr>
        <w:pStyle w:val="16"/>
        <w:keepNext w:val="0"/>
        <w:keepLines w:val="0"/>
        <w:pageBreakBefore w:val="0"/>
        <w:tabs>
          <w:tab w:val="left" w:pos="180"/>
        </w:tabs>
        <w:kinsoku/>
        <w:wordWrap/>
        <w:overflowPunct/>
        <w:topLinePunct w:val="0"/>
        <w:autoSpaceDE/>
        <w:autoSpaceDN/>
        <w:bidi w:val="0"/>
        <w:spacing w:line="460" w:lineRule="exact"/>
        <w:ind w:firstLine="560" w:firstLineChars="200"/>
        <w:outlineLvl w:val="9"/>
        <w:rPr>
          <w:rFonts w:ascii="仿宋_GB2312" w:eastAsia="仿宋_GB2312"/>
          <w:color w:val="auto"/>
          <w:sz w:val="28"/>
          <w:szCs w:val="28"/>
        </w:rPr>
      </w:pPr>
      <w:r>
        <w:rPr>
          <w:rFonts w:hint="eastAsia" w:ascii="仿宋_GB2312" w:eastAsia="仿宋_GB2312"/>
          <w:color w:val="auto"/>
          <w:sz w:val="28"/>
          <w:szCs w:val="28"/>
        </w:rPr>
        <w:t>⑵地上建筑物实物状况</w:t>
      </w:r>
    </w:p>
    <w:p>
      <w:pPr>
        <w:keepNext w:val="0"/>
        <w:keepLines w:val="0"/>
        <w:pageBreakBefore w:val="0"/>
        <w:tabs>
          <w:tab w:val="left" w:pos="2868"/>
          <w:tab w:val="left" w:pos="8856"/>
        </w:tabs>
        <w:kinsoku/>
        <w:wordWrap/>
        <w:overflowPunct/>
        <w:topLinePunct w:val="0"/>
        <w:autoSpaceDE/>
        <w:autoSpaceDN/>
        <w:bidi w:val="0"/>
        <w:spacing w:line="460" w:lineRule="exact"/>
        <w:ind w:firstLine="600" w:firstLineChars="200"/>
        <w:outlineLvl w:val="9"/>
        <w:rPr>
          <w:rFonts w:hint="eastAsia" w:ascii="仿宋_GB2312" w:eastAsia="仿宋_GB2312"/>
          <w:color w:val="auto"/>
          <w:lang w:val="en-US" w:eastAsia="zh-CN"/>
        </w:rPr>
      </w:pPr>
      <w:r>
        <w:rPr>
          <w:rFonts w:hint="eastAsia" w:ascii="仿宋_GB2312" w:eastAsia="仿宋_GB2312"/>
          <w:color w:val="auto"/>
          <w:lang w:eastAsia="zh-CN"/>
        </w:rPr>
        <w:t>估价对象所在建筑物</w:t>
      </w:r>
      <w:r>
        <w:rPr>
          <w:rFonts w:hint="eastAsia" w:ascii="仿宋_GB2312" w:eastAsia="仿宋_GB2312"/>
          <w:color w:val="auto"/>
        </w:rPr>
        <w:t>为</w:t>
      </w:r>
      <w:r>
        <w:rPr>
          <w:rFonts w:hint="eastAsia" w:ascii="仿宋_GB2312" w:eastAsia="仿宋_GB2312"/>
          <w:color w:val="auto"/>
          <w:lang w:eastAsia="zh-CN"/>
        </w:rPr>
        <w:t>总层数</w:t>
      </w:r>
      <w:r>
        <w:rPr>
          <w:rFonts w:hint="eastAsia" w:ascii="仿宋_GB2312" w:eastAsia="仿宋_GB2312"/>
          <w:color w:val="auto"/>
          <w:lang w:val="en-US" w:eastAsia="zh-CN"/>
        </w:rPr>
        <w:t>3</w:t>
      </w:r>
      <w:r>
        <w:rPr>
          <w:rFonts w:hint="eastAsia" w:ascii="仿宋_GB2312" w:eastAsia="仿宋_GB2312"/>
          <w:color w:val="auto"/>
        </w:rPr>
        <w:t>层的</w:t>
      </w:r>
      <w:r>
        <w:rPr>
          <w:rFonts w:hint="eastAsia" w:ascii="仿宋_GB2312" w:eastAsia="仿宋_GB2312"/>
          <w:color w:val="auto"/>
          <w:lang w:eastAsia="zh-CN"/>
        </w:rPr>
        <w:t>商住楼</w:t>
      </w:r>
      <w:r>
        <w:rPr>
          <w:rFonts w:hint="eastAsia" w:ascii="仿宋_GB2312" w:eastAsia="仿宋_GB2312"/>
          <w:color w:val="auto"/>
        </w:rPr>
        <w:t>，其</w:t>
      </w:r>
      <w:r>
        <w:rPr>
          <w:rFonts w:hint="eastAsia" w:ascii="仿宋_GB2312" w:hAnsi="Courier New" w:eastAsia="仿宋_GB2312"/>
          <w:color w:val="auto"/>
          <w:szCs w:val="28"/>
        </w:rPr>
        <w:t>外墙为</w:t>
      </w:r>
      <w:r>
        <w:rPr>
          <w:rFonts w:hint="eastAsia" w:ascii="仿宋_GB2312" w:hAnsi="Courier New" w:eastAsia="仿宋_GB2312"/>
          <w:color w:val="auto"/>
          <w:szCs w:val="28"/>
          <w:lang w:eastAsia="zh-CN"/>
        </w:rPr>
        <w:t>瓷砖贴面</w:t>
      </w:r>
      <w:r>
        <w:rPr>
          <w:rFonts w:hint="eastAsia" w:ascii="仿宋_GB2312" w:hAnsi="Courier New" w:eastAsia="仿宋_GB2312"/>
          <w:color w:val="auto"/>
          <w:szCs w:val="28"/>
        </w:rPr>
        <w:t>。</w:t>
      </w:r>
      <w:r>
        <w:rPr>
          <w:rFonts w:hint="eastAsia" w:ascii="仿宋_GB2312" w:hAnsi="宋体" w:eastAsia="仿宋_GB2312"/>
          <w:color w:val="auto"/>
          <w:spacing w:val="0"/>
          <w:szCs w:val="28"/>
        </w:rPr>
        <w:t>估价对象位于第</w:t>
      </w:r>
      <w:r>
        <w:rPr>
          <w:rFonts w:hint="eastAsia" w:ascii="仿宋_GB2312" w:hAnsi="宋体" w:eastAsia="仿宋_GB2312"/>
          <w:color w:val="auto"/>
          <w:spacing w:val="0"/>
          <w:szCs w:val="28"/>
          <w:lang w:val="en-US" w:eastAsia="zh-CN"/>
        </w:rPr>
        <w:t>1-3</w:t>
      </w:r>
      <w:r>
        <w:rPr>
          <w:rFonts w:hint="eastAsia" w:ascii="仿宋_GB2312" w:hAnsi="宋体" w:eastAsia="仿宋_GB2312"/>
          <w:color w:val="auto"/>
          <w:spacing w:val="0"/>
          <w:szCs w:val="28"/>
        </w:rPr>
        <w:t>层，</w:t>
      </w:r>
      <w:r>
        <w:rPr>
          <w:rFonts w:hint="eastAsia" w:ascii="仿宋_GB2312" w:hAnsi="宋体" w:eastAsia="仿宋_GB2312"/>
          <w:color w:val="auto"/>
          <w:spacing w:val="0"/>
          <w:szCs w:val="28"/>
          <w:lang w:val="en-US" w:eastAsia="zh-CN"/>
        </w:rPr>
        <w:t>1</w:t>
      </w:r>
      <w:r>
        <w:rPr>
          <w:rFonts w:hint="eastAsia" w:ascii="仿宋_GB2312" w:hAnsi="宋体" w:eastAsia="仿宋_GB2312"/>
          <w:color w:val="auto"/>
          <w:spacing w:val="0"/>
          <w:szCs w:val="28"/>
          <w:lang w:eastAsia="zh-CN"/>
        </w:rPr>
        <w:t>层为出租营业，</w:t>
      </w:r>
      <w:r>
        <w:rPr>
          <w:rFonts w:hint="eastAsia" w:ascii="仿宋_GB2312" w:hAnsi="宋体" w:eastAsia="仿宋_GB2312"/>
          <w:color w:val="auto"/>
          <w:spacing w:val="0"/>
          <w:szCs w:val="28"/>
          <w:lang w:val="en-US" w:eastAsia="zh-CN"/>
        </w:rPr>
        <w:t>2-3层为住宅，</w:t>
      </w:r>
      <w:r>
        <w:rPr>
          <w:rFonts w:hint="eastAsia" w:ascii="仿宋_GB2312" w:hAnsi="宋体" w:eastAsia="仿宋_GB2312"/>
          <w:color w:val="auto"/>
          <w:spacing w:val="0"/>
          <w:szCs w:val="28"/>
          <w:lang w:eastAsia="zh-CN"/>
        </w:rPr>
        <w:t>防盗门，铝合金窗，水、电、卫、通讯等设施齐全，</w:t>
      </w:r>
      <w:r>
        <w:rPr>
          <w:rFonts w:hint="eastAsia" w:ascii="仿宋_GB2312" w:hAnsi="宋体" w:eastAsia="仿宋_GB2312"/>
          <w:color w:val="auto"/>
          <w:spacing w:val="0"/>
          <w:szCs w:val="28"/>
          <w:lang w:val="en-US" w:eastAsia="zh-CN"/>
        </w:rPr>
        <w:t>室内装修状况一般。</w:t>
      </w:r>
    </w:p>
    <w:p>
      <w:pPr>
        <w:pStyle w:val="16"/>
        <w:keepNext w:val="0"/>
        <w:keepLines w:val="0"/>
        <w:pageBreakBefore w:val="0"/>
        <w:tabs>
          <w:tab w:val="left" w:pos="180"/>
        </w:tabs>
        <w:kinsoku/>
        <w:wordWrap/>
        <w:overflowPunct/>
        <w:topLinePunct w:val="0"/>
        <w:autoSpaceDE/>
        <w:autoSpaceDN/>
        <w:bidi w:val="0"/>
        <w:spacing w:line="460" w:lineRule="exact"/>
        <w:ind w:left="-3" w:leftChars="-1" w:firstLine="600" w:firstLineChars="200"/>
        <w:outlineLvl w:val="9"/>
        <w:rPr>
          <w:rFonts w:hint="eastAsia" w:ascii="仿宋_GB2312" w:hAnsi="宋体" w:eastAsia="仿宋_GB2312"/>
          <w:color w:val="auto"/>
          <w:spacing w:val="10"/>
          <w:sz w:val="28"/>
          <w:lang w:eastAsia="zh-CN"/>
        </w:rPr>
      </w:pPr>
      <w:r>
        <w:rPr>
          <w:rFonts w:hint="eastAsia" w:ascii="仿宋_GB2312" w:hAnsi="宋体" w:eastAsia="仿宋_GB2312"/>
          <w:color w:val="auto"/>
          <w:spacing w:val="10"/>
          <w:sz w:val="28"/>
        </w:rPr>
        <w:t>法定用途和实际用途</w:t>
      </w:r>
      <w:r>
        <w:rPr>
          <w:rFonts w:hint="eastAsia" w:ascii="仿宋_GB2312" w:hAnsi="宋体" w:eastAsia="仿宋_GB2312"/>
          <w:color w:val="auto"/>
          <w:spacing w:val="10"/>
          <w:sz w:val="28"/>
          <w:lang w:eastAsia="zh-CN"/>
        </w:rPr>
        <w:t>：</w:t>
      </w:r>
      <w:r>
        <w:rPr>
          <w:rFonts w:hint="eastAsia" w:ascii="仿宋_GB2312" w:hAnsi="宋体" w:eastAsia="仿宋_GB2312"/>
          <w:color w:val="auto"/>
          <w:spacing w:val="10"/>
          <w:sz w:val="28"/>
        </w:rPr>
        <w:t>法定用途</w:t>
      </w:r>
      <w:r>
        <w:rPr>
          <w:rFonts w:hint="eastAsia" w:ascii="仿宋_GB2312" w:hAnsi="宋体" w:eastAsia="仿宋_GB2312"/>
          <w:color w:val="auto"/>
          <w:spacing w:val="10"/>
          <w:sz w:val="28"/>
          <w:lang w:eastAsia="zh-CN"/>
        </w:rPr>
        <w:t>为商住；</w:t>
      </w:r>
      <w:r>
        <w:rPr>
          <w:rFonts w:hint="eastAsia" w:ascii="仿宋_GB2312" w:hAnsi="宋体" w:eastAsia="仿宋_GB2312"/>
          <w:color w:val="auto"/>
          <w:spacing w:val="10"/>
          <w:sz w:val="28"/>
        </w:rPr>
        <w:t>实际用途为</w:t>
      </w:r>
      <w:r>
        <w:rPr>
          <w:rFonts w:hint="eastAsia" w:ascii="仿宋_GB2312" w:hAnsi="宋体" w:eastAsia="仿宋_GB2312"/>
          <w:color w:val="auto"/>
          <w:spacing w:val="10"/>
          <w:sz w:val="28"/>
          <w:lang w:eastAsia="zh-CN"/>
        </w:rPr>
        <w:t>商住</w:t>
      </w:r>
    </w:p>
    <w:p>
      <w:pPr>
        <w:keepNext w:val="0"/>
        <w:keepLines w:val="0"/>
        <w:pageBreakBefore w:val="0"/>
        <w:tabs>
          <w:tab w:val="left" w:pos="2868"/>
          <w:tab w:val="left" w:pos="8856"/>
        </w:tabs>
        <w:kinsoku/>
        <w:wordWrap/>
        <w:overflowPunct/>
        <w:topLinePunct w:val="0"/>
        <w:autoSpaceDE/>
        <w:autoSpaceDN/>
        <w:bidi w:val="0"/>
        <w:spacing w:line="460" w:lineRule="exact"/>
        <w:ind w:firstLine="600" w:firstLineChars="200"/>
        <w:outlineLvl w:val="9"/>
        <w:rPr>
          <w:rFonts w:ascii="仿宋_GB2312" w:eastAsia="仿宋_GB2312"/>
          <w:color w:val="auto"/>
          <w:lang w:val="en-GB"/>
        </w:rPr>
      </w:pPr>
      <w:r>
        <w:rPr>
          <w:rFonts w:hint="eastAsia" w:ascii="仿宋_GB2312" w:hAnsi="宋体" w:eastAsia="仿宋_GB2312"/>
          <w:color w:val="auto"/>
        </w:rPr>
        <w:t>使用及维护状况：于价值时</w:t>
      </w:r>
      <w:r>
        <w:rPr>
          <w:rFonts w:hint="eastAsia" w:ascii="仿宋_GB2312" w:hAnsi="宋体" w:eastAsia="仿宋_GB2312"/>
          <w:color w:val="auto"/>
          <w:szCs w:val="28"/>
        </w:rPr>
        <w:t>点，估价对象正常使用中，维护保养状况</w:t>
      </w:r>
      <w:r>
        <w:rPr>
          <w:rFonts w:hint="eastAsia" w:ascii="仿宋_GB2312" w:hAnsi="宋体" w:eastAsia="仿宋_GB2312"/>
          <w:color w:val="auto"/>
          <w:szCs w:val="28"/>
          <w:lang w:eastAsia="zh-CN"/>
        </w:rPr>
        <w:t>较好</w:t>
      </w:r>
      <w:r>
        <w:rPr>
          <w:rFonts w:hint="eastAsia" w:ascii="仿宋_GB2312" w:hAnsi="宋体" w:eastAsia="仿宋_GB2312"/>
          <w:color w:val="auto"/>
          <w:szCs w:val="28"/>
        </w:rPr>
        <w:t>。</w:t>
      </w:r>
    </w:p>
    <w:p>
      <w:pPr>
        <w:keepNext w:val="0"/>
        <w:keepLines w:val="0"/>
        <w:pageBreakBefore w:val="0"/>
        <w:tabs>
          <w:tab w:val="left" w:pos="2868"/>
          <w:tab w:val="left" w:pos="8856"/>
        </w:tabs>
        <w:kinsoku/>
        <w:overflowPunct/>
        <w:topLinePunct w:val="0"/>
        <w:bidi w:val="0"/>
        <w:spacing w:line="540" w:lineRule="exact"/>
        <w:ind w:firstLine="562" w:firstLineChars="200"/>
        <w:rPr>
          <w:rFonts w:ascii="仿宋_GB2312" w:hAnsi="宋体" w:eastAsia="仿宋_GB2312"/>
          <w:color w:val="auto"/>
          <w:spacing w:val="0"/>
          <w:szCs w:val="28"/>
        </w:rPr>
      </w:pPr>
      <w:r>
        <w:rPr>
          <w:rFonts w:hint="eastAsia" w:ascii="仿宋_GB2312" w:hAnsi="宋体" w:eastAsia="仿宋_GB2312"/>
          <w:b/>
          <w:color w:val="auto"/>
          <w:spacing w:val="0"/>
          <w:szCs w:val="28"/>
        </w:rPr>
        <w:t>3、权益状况</w:t>
      </w:r>
    </w:p>
    <w:p>
      <w:pPr>
        <w:keepNext w:val="0"/>
        <w:keepLines w:val="0"/>
        <w:pageBreakBefore w:val="0"/>
        <w:kinsoku/>
        <w:overflowPunct/>
        <w:topLinePunct w:val="0"/>
        <w:bidi w:val="0"/>
        <w:snapToGrid w:val="0"/>
        <w:spacing w:line="540" w:lineRule="exact"/>
        <w:ind w:firstLine="560" w:firstLineChars="200"/>
        <w:rPr>
          <w:rFonts w:hint="eastAsia" w:ascii="仿宋_GB2312" w:eastAsia="仿宋_GB2312"/>
          <w:color w:val="auto"/>
        </w:rPr>
      </w:pPr>
      <w:bookmarkStart w:id="11" w:name="OLE_LINK1"/>
      <w:r>
        <w:rPr>
          <w:rFonts w:hint="eastAsia" w:ascii="仿宋_GB2312" w:hAnsi="宋体" w:eastAsia="仿宋_GB2312"/>
          <w:color w:val="auto"/>
          <w:spacing w:val="0"/>
          <w:szCs w:val="28"/>
        </w:rPr>
        <w:t>根据估价委托人提供的各项资料，</w:t>
      </w:r>
      <w:r>
        <w:rPr>
          <w:rFonts w:hint="eastAsia" w:ascii="仿宋_GB2312" w:eastAsia="仿宋_GB2312"/>
          <w:color w:val="auto"/>
        </w:rPr>
        <w:t>估价对象产权人为</w:t>
      </w:r>
      <w:r>
        <w:rPr>
          <w:rFonts w:hint="eastAsia" w:ascii="仿宋_GB2312" w:eastAsia="仿宋_GB2312"/>
          <w:color w:val="auto"/>
          <w:lang w:eastAsia="zh-CN"/>
        </w:rPr>
        <w:t>李军</w:t>
      </w:r>
      <w:r>
        <w:rPr>
          <w:rFonts w:hint="eastAsia" w:ascii="仿宋_GB2312" w:eastAsia="仿宋_GB2312"/>
          <w:color w:val="auto"/>
        </w:rPr>
        <w:t>。</w:t>
      </w:r>
    </w:p>
    <w:tbl>
      <w:tblPr>
        <w:tblStyle w:val="36"/>
        <w:tblW w:w="9951" w:type="dxa"/>
        <w:jc w:val="center"/>
        <w:tblInd w:w="-669"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4"/>
        <w:gridCol w:w="1808"/>
        <w:gridCol w:w="780"/>
        <w:gridCol w:w="2565"/>
        <w:gridCol w:w="243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jc w:val="center"/>
        </w:trPr>
        <w:tc>
          <w:tcPr>
            <w:tcW w:w="236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before="100" w:beforeAutospacing="0" w:line="300" w:lineRule="exact"/>
              <w:jc w:val="center"/>
              <w:textAlignment w:val="baseline"/>
              <w:outlineLvl w:val="9"/>
              <w:rPr>
                <w:rFonts w:hint="eastAsia" w:ascii="仿宋_GB2312" w:hAnsi="宋体" w:eastAsia="仿宋_GB2312" w:cs="宋体"/>
                <w:color w:val="auto"/>
                <w:sz w:val="24"/>
                <w:szCs w:val="24"/>
                <w:lang w:eastAsia="zh-CN"/>
              </w:rPr>
            </w:pPr>
            <w:r>
              <w:rPr>
                <w:rFonts w:hint="eastAsia" w:ascii="仿宋_GB2312" w:hAnsi="宋体" w:eastAsia="仿宋_GB2312" w:cs="宋体"/>
                <w:color w:val="auto"/>
                <w:sz w:val="24"/>
                <w:szCs w:val="24"/>
                <w:lang w:eastAsia="zh-CN"/>
              </w:rPr>
              <w:t>房屋产权证号</w:t>
            </w:r>
          </w:p>
        </w:tc>
        <w:tc>
          <w:tcPr>
            <w:tcW w:w="180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before="100" w:beforeAutospacing="0" w:line="300" w:lineRule="exact"/>
              <w:jc w:val="center"/>
              <w:textAlignment w:val="baseline"/>
              <w:outlineLvl w:val="9"/>
              <w:rPr>
                <w:rFonts w:hint="eastAsia" w:ascii="仿宋_GB2312" w:hAnsi="宋体" w:eastAsia="仿宋_GB2312" w:cs="宋体"/>
                <w:color w:val="auto"/>
                <w:sz w:val="24"/>
                <w:szCs w:val="24"/>
                <w:lang w:val="en-US" w:eastAsia="zh-CN"/>
              </w:rPr>
            </w:pPr>
            <w:r>
              <w:rPr>
                <w:rFonts w:hint="eastAsia" w:ascii="仿宋_GB2312" w:hAnsi="宋体" w:eastAsia="仿宋_GB2312" w:cs="宋体"/>
                <w:color w:val="auto"/>
                <w:sz w:val="24"/>
                <w:szCs w:val="24"/>
                <w:lang w:val="en-US" w:eastAsia="zh-CN"/>
              </w:rPr>
              <w:t>09-0002898</w:t>
            </w:r>
          </w:p>
        </w:tc>
        <w:tc>
          <w:tcPr>
            <w:tcW w:w="3345"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before="100" w:beforeAutospacing="0" w:line="300" w:lineRule="exact"/>
              <w:jc w:val="center"/>
              <w:textAlignment w:val="baseline"/>
              <w:outlineLvl w:val="9"/>
              <w:rPr>
                <w:rFonts w:hint="eastAsia" w:ascii="仿宋_GB2312" w:hAnsi="宋体" w:eastAsia="仿宋_GB2312" w:cs="宋体"/>
                <w:color w:val="auto"/>
                <w:sz w:val="24"/>
                <w:szCs w:val="24"/>
                <w:lang w:val="en-US" w:eastAsia="zh-CN"/>
              </w:rPr>
            </w:pPr>
            <w:r>
              <w:rPr>
                <w:rFonts w:hint="eastAsia" w:ascii="仿宋_GB2312" w:hAnsi="宋体" w:eastAsia="仿宋_GB2312" w:cs="宋体"/>
                <w:color w:val="auto"/>
                <w:sz w:val="24"/>
                <w:szCs w:val="24"/>
                <w:lang w:val="en-US" w:eastAsia="zh-CN"/>
              </w:rPr>
              <w:t>证载建筑面积（㎡）</w:t>
            </w:r>
          </w:p>
        </w:tc>
        <w:tc>
          <w:tcPr>
            <w:tcW w:w="24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before="100" w:beforeAutospacing="0" w:line="300" w:lineRule="exact"/>
              <w:jc w:val="center"/>
              <w:textAlignment w:val="baseline"/>
              <w:outlineLvl w:val="9"/>
              <w:rPr>
                <w:rFonts w:hint="eastAsia" w:ascii="仿宋_GB2312" w:hAnsi="宋体" w:eastAsia="仿宋_GB2312" w:cs="宋体"/>
                <w:color w:val="auto"/>
                <w:sz w:val="24"/>
                <w:szCs w:val="24"/>
                <w:lang w:val="en-US" w:eastAsia="zh-CN"/>
              </w:rPr>
            </w:pPr>
            <w:r>
              <w:rPr>
                <w:rFonts w:hint="eastAsia" w:ascii="仿宋_GB2312" w:hAnsi="宋体" w:eastAsia="仿宋_GB2312" w:cs="宋体"/>
                <w:color w:val="auto"/>
                <w:sz w:val="24"/>
                <w:szCs w:val="24"/>
                <w:lang w:val="en-US" w:eastAsia="zh-CN"/>
              </w:rPr>
              <w:t>576.45</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jc w:val="center"/>
        </w:trPr>
        <w:tc>
          <w:tcPr>
            <w:tcW w:w="236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before="100" w:beforeAutospacing="0" w:line="300" w:lineRule="exact"/>
              <w:jc w:val="center"/>
              <w:textAlignment w:val="baseline"/>
              <w:outlineLvl w:val="9"/>
              <w:rPr>
                <w:rFonts w:ascii="仿宋_GB2312" w:hAnsi="宋体" w:eastAsia="仿宋_GB2312" w:cs="宋体"/>
                <w:color w:val="auto"/>
                <w:sz w:val="24"/>
                <w:szCs w:val="24"/>
              </w:rPr>
            </w:pPr>
            <w:r>
              <w:rPr>
                <w:rFonts w:hint="eastAsia" w:ascii="仿宋_GB2312" w:hAnsi="宋体" w:eastAsia="仿宋_GB2312" w:cs="宋体"/>
                <w:color w:val="auto"/>
                <w:sz w:val="24"/>
                <w:szCs w:val="24"/>
              </w:rPr>
              <w:t>房屋所有权人</w:t>
            </w:r>
          </w:p>
        </w:tc>
        <w:tc>
          <w:tcPr>
            <w:tcW w:w="180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before="100" w:beforeAutospacing="0" w:line="300" w:lineRule="exact"/>
              <w:jc w:val="center"/>
              <w:textAlignment w:val="baseline"/>
              <w:outlineLvl w:val="9"/>
              <w:rPr>
                <w:rFonts w:hint="eastAsia" w:ascii="仿宋_GB2312" w:hAnsi="宋体" w:eastAsia="仿宋_GB2312" w:cs="宋体"/>
                <w:color w:val="auto"/>
                <w:sz w:val="24"/>
                <w:szCs w:val="24"/>
                <w:lang w:eastAsia="zh-CN"/>
              </w:rPr>
            </w:pPr>
            <w:r>
              <w:rPr>
                <w:rFonts w:hint="eastAsia" w:ascii="仿宋_GB2312" w:eastAsia="仿宋_GB2312"/>
                <w:color w:val="auto"/>
                <w:sz w:val="24"/>
                <w:szCs w:val="24"/>
                <w:lang w:eastAsia="zh-CN"/>
              </w:rPr>
              <w:t>李军</w:t>
            </w:r>
          </w:p>
        </w:tc>
        <w:tc>
          <w:tcPr>
            <w:tcW w:w="3345"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before="100" w:beforeAutospacing="0" w:line="300" w:lineRule="exact"/>
              <w:jc w:val="center"/>
              <w:textAlignment w:val="baseline"/>
              <w:outlineLvl w:val="9"/>
              <w:rPr>
                <w:rFonts w:ascii="仿宋_GB2312" w:hAnsi="宋体" w:eastAsia="仿宋_GB2312" w:cs="宋体"/>
                <w:color w:val="auto"/>
                <w:sz w:val="24"/>
                <w:szCs w:val="24"/>
              </w:rPr>
            </w:pPr>
            <w:r>
              <w:rPr>
                <w:rFonts w:hint="eastAsia" w:ascii="仿宋_GB2312" w:hAnsi="宋体" w:eastAsia="仿宋_GB2312" w:cs="宋体"/>
                <w:color w:val="auto"/>
                <w:sz w:val="24"/>
                <w:szCs w:val="24"/>
              </w:rPr>
              <w:t>身份证号</w:t>
            </w:r>
          </w:p>
        </w:tc>
        <w:tc>
          <w:tcPr>
            <w:tcW w:w="24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before="100" w:beforeAutospacing="0" w:line="300" w:lineRule="exact"/>
              <w:jc w:val="center"/>
              <w:textAlignment w:val="baseline"/>
              <w:outlineLvl w:val="9"/>
              <w:rPr>
                <w:rFonts w:hint="eastAsia" w:ascii="仿宋_GB2312" w:hAnsi="宋体" w:eastAsia="仿宋_GB2312" w:cs="宋体"/>
                <w:color w:val="auto"/>
                <w:sz w:val="24"/>
                <w:szCs w:val="24"/>
                <w:lang w:val="en-US" w:eastAsia="zh-CN"/>
              </w:rPr>
            </w:pPr>
            <w:r>
              <w:rPr>
                <w:rFonts w:hint="eastAsia" w:ascii="仿宋_GB2312" w:hAnsi="宋体" w:eastAsia="仿宋_GB2312" w:cs="宋体"/>
                <w:color w:val="auto"/>
                <w:sz w:val="24"/>
                <w:szCs w:val="24"/>
                <w:lang w:val="en-US" w:eastAsia="zh-CN"/>
              </w:rPr>
              <w:t>372331580918003</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jc w:val="center"/>
        </w:trPr>
        <w:tc>
          <w:tcPr>
            <w:tcW w:w="236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before="100" w:beforeAutospacing="0" w:line="300" w:lineRule="exact"/>
              <w:jc w:val="center"/>
              <w:textAlignment w:val="baseline"/>
              <w:outlineLvl w:val="9"/>
              <w:rPr>
                <w:rFonts w:ascii="仿宋_GB2312" w:hAnsi="宋体" w:eastAsia="仿宋_GB2312" w:cs="宋体"/>
                <w:color w:val="auto"/>
                <w:sz w:val="24"/>
                <w:szCs w:val="24"/>
              </w:rPr>
            </w:pPr>
            <w:r>
              <w:rPr>
                <w:rFonts w:hint="eastAsia" w:ascii="仿宋_GB2312" w:hAnsi="宋体" w:eastAsia="仿宋_GB2312" w:cs="宋体"/>
                <w:color w:val="auto"/>
                <w:sz w:val="24"/>
                <w:szCs w:val="24"/>
              </w:rPr>
              <w:t>结构</w:t>
            </w:r>
          </w:p>
        </w:tc>
        <w:tc>
          <w:tcPr>
            <w:tcW w:w="180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before="100" w:beforeAutospacing="0" w:line="300" w:lineRule="exact"/>
              <w:jc w:val="center"/>
              <w:textAlignment w:val="baseline"/>
              <w:outlineLvl w:val="9"/>
              <w:rPr>
                <w:rFonts w:hint="eastAsia" w:ascii="仿宋_GB2312" w:hAnsi="宋体" w:eastAsia="仿宋_GB2312" w:cs="宋体"/>
                <w:color w:val="auto"/>
                <w:sz w:val="24"/>
                <w:szCs w:val="24"/>
                <w:lang w:eastAsia="zh-CN"/>
              </w:rPr>
            </w:pPr>
            <w:r>
              <w:rPr>
                <w:rFonts w:hint="eastAsia" w:ascii="仿宋_GB2312" w:hAnsi="宋体" w:eastAsia="仿宋_GB2312" w:cs="宋体"/>
                <w:color w:val="auto"/>
                <w:sz w:val="24"/>
                <w:szCs w:val="24"/>
                <w:lang w:eastAsia="zh-CN"/>
              </w:rPr>
              <w:t>混合</w:t>
            </w:r>
          </w:p>
        </w:tc>
        <w:tc>
          <w:tcPr>
            <w:tcW w:w="3345"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before="100" w:beforeAutospacing="0" w:line="300" w:lineRule="exact"/>
              <w:jc w:val="center"/>
              <w:textAlignment w:val="baseline"/>
              <w:outlineLvl w:val="9"/>
              <w:rPr>
                <w:rFonts w:hint="eastAsia" w:ascii="仿宋_GB2312" w:hAnsi="宋体" w:eastAsia="仿宋_GB2312" w:cs="宋体"/>
                <w:color w:val="auto"/>
                <w:sz w:val="24"/>
                <w:szCs w:val="24"/>
                <w:lang w:val="en-US" w:eastAsia="zh-CN"/>
              </w:rPr>
            </w:pPr>
            <w:r>
              <w:rPr>
                <w:rFonts w:hint="eastAsia" w:ascii="仿宋_GB2312" w:hAnsi="宋体" w:eastAsia="仿宋_GB2312" w:cs="宋体"/>
                <w:color w:val="auto"/>
                <w:sz w:val="24"/>
                <w:szCs w:val="24"/>
                <w:lang w:eastAsia="zh-CN"/>
              </w:rPr>
              <w:t>房屋所在</w:t>
            </w:r>
            <w:r>
              <w:rPr>
                <w:rFonts w:hint="eastAsia" w:ascii="仿宋_GB2312" w:hAnsi="宋体" w:eastAsia="仿宋_GB2312" w:cs="宋体"/>
                <w:color w:val="auto"/>
                <w:sz w:val="24"/>
                <w:szCs w:val="24"/>
              </w:rPr>
              <w:t>楼层</w:t>
            </w:r>
            <w:r>
              <w:rPr>
                <w:rFonts w:hint="eastAsia" w:ascii="仿宋_GB2312" w:hAnsi="宋体" w:eastAsia="仿宋_GB2312" w:cs="宋体"/>
                <w:color w:val="auto"/>
                <w:sz w:val="24"/>
                <w:szCs w:val="24"/>
                <w:lang w:val="en-US" w:eastAsia="zh-CN"/>
              </w:rPr>
              <w:t>/房屋总楼层</w:t>
            </w:r>
          </w:p>
        </w:tc>
        <w:tc>
          <w:tcPr>
            <w:tcW w:w="24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before="100" w:beforeAutospacing="0" w:line="300" w:lineRule="exact"/>
              <w:jc w:val="center"/>
              <w:textAlignment w:val="baseline"/>
              <w:outlineLvl w:val="9"/>
              <w:rPr>
                <w:rFonts w:hint="eastAsia" w:ascii="仿宋_GB2312" w:hAnsi="宋体" w:eastAsia="仿宋_GB2312" w:cs="宋体"/>
                <w:color w:val="auto"/>
                <w:sz w:val="24"/>
                <w:szCs w:val="24"/>
                <w:lang w:val="en-US" w:eastAsia="zh-CN"/>
              </w:rPr>
            </w:pPr>
            <w:r>
              <w:rPr>
                <w:rFonts w:hint="eastAsia" w:ascii="仿宋_GB2312" w:hAnsi="宋体" w:eastAsia="仿宋_GB2312" w:cs="宋体"/>
                <w:color w:val="auto"/>
                <w:sz w:val="24"/>
                <w:szCs w:val="24"/>
                <w:lang w:val="en-US" w:eastAsia="zh-CN"/>
              </w:rPr>
              <w:t>1-3/3</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236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before="100" w:beforeAutospacing="0" w:line="300" w:lineRule="exact"/>
              <w:jc w:val="center"/>
              <w:textAlignment w:val="baseline"/>
              <w:outlineLvl w:val="9"/>
              <w:rPr>
                <w:rFonts w:ascii="仿宋_GB2312" w:hAnsi="宋体" w:eastAsia="仿宋_GB2312" w:cs="宋体"/>
                <w:color w:val="auto"/>
                <w:sz w:val="24"/>
                <w:szCs w:val="24"/>
              </w:rPr>
            </w:pPr>
            <w:r>
              <w:rPr>
                <w:rFonts w:hint="eastAsia" w:ascii="仿宋_GB2312" w:hAnsi="宋体" w:eastAsia="仿宋_GB2312" w:cs="宋体"/>
                <w:color w:val="auto"/>
                <w:sz w:val="24"/>
                <w:szCs w:val="24"/>
              </w:rPr>
              <w:t>建成年代</w:t>
            </w:r>
          </w:p>
        </w:tc>
        <w:tc>
          <w:tcPr>
            <w:tcW w:w="2588"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before="100" w:beforeAutospacing="0" w:line="300" w:lineRule="exact"/>
              <w:jc w:val="center"/>
              <w:textAlignment w:val="baseline"/>
              <w:outlineLvl w:val="9"/>
              <w:rPr>
                <w:rFonts w:hint="eastAsia" w:ascii="仿宋_GB2312" w:hAnsi="宋体" w:eastAsia="仿宋_GB2312" w:cs="宋体"/>
                <w:color w:val="auto"/>
                <w:sz w:val="24"/>
                <w:szCs w:val="24"/>
                <w:lang w:val="en-US" w:eastAsia="zh-CN"/>
              </w:rPr>
            </w:pPr>
            <w:r>
              <w:rPr>
                <w:rFonts w:hint="eastAsia" w:ascii="仿宋_GB2312" w:hAnsi="宋体" w:eastAsia="仿宋_GB2312" w:cs="宋体"/>
                <w:color w:val="auto"/>
                <w:sz w:val="24"/>
                <w:szCs w:val="24"/>
                <w:lang w:val="en-US" w:eastAsia="zh-CN"/>
              </w:rPr>
              <w:t>2000</w:t>
            </w:r>
          </w:p>
        </w:tc>
        <w:tc>
          <w:tcPr>
            <w:tcW w:w="256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beforeAutospacing="0" w:line="300" w:lineRule="exact"/>
              <w:jc w:val="center"/>
              <w:textAlignment w:val="baseline"/>
              <w:outlineLvl w:val="9"/>
              <w:rPr>
                <w:rFonts w:ascii="仿宋_GB2312" w:hAnsi="宋体" w:eastAsia="仿宋_GB2312" w:cs="宋体"/>
                <w:color w:val="auto"/>
                <w:sz w:val="24"/>
                <w:szCs w:val="24"/>
              </w:rPr>
            </w:pPr>
            <w:r>
              <w:rPr>
                <w:rFonts w:hint="eastAsia" w:ascii="仿宋_GB2312" w:eastAsia="仿宋_GB2312"/>
                <w:color w:val="auto"/>
                <w:sz w:val="24"/>
                <w:szCs w:val="24"/>
              </w:rPr>
              <w:t>规划用途</w:t>
            </w:r>
          </w:p>
        </w:tc>
        <w:tc>
          <w:tcPr>
            <w:tcW w:w="24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beforeAutospacing="0" w:line="300" w:lineRule="exact"/>
              <w:jc w:val="center"/>
              <w:textAlignment w:val="baseline"/>
              <w:outlineLvl w:val="9"/>
              <w:rPr>
                <w:rFonts w:hint="eastAsia" w:ascii="仿宋_GB2312" w:hAnsi="宋体" w:eastAsia="仿宋_GB2312" w:cs="宋体"/>
                <w:color w:val="auto"/>
                <w:sz w:val="24"/>
                <w:szCs w:val="24"/>
                <w:lang w:eastAsia="zh-CN"/>
              </w:rPr>
            </w:pPr>
            <w:r>
              <w:rPr>
                <w:rFonts w:hint="eastAsia" w:ascii="仿宋_GB2312" w:eastAsia="仿宋_GB2312"/>
                <w:color w:val="auto"/>
                <w:sz w:val="24"/>
                <w:szCs w:val="24"/>
                <w:lang w:eastAsia="zh-CN"/>
              </w:rPr>
              <w:t>商住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4952"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before="100" w:beforeAutospacing="0" w:line="300" w:lineRule="exact"/>
              <w:jc w:val="center"/>
              <w:textAlignment w:val="baseline"/>
              <w:outlineLvl w:val="9"/>
              <w:rPr>
                <w:rFonts w:hint="eastAsia" w:ascii="仿宋_GB2312" w:hAnsi="宋体" w:eastAsia="仿宋_GB2312" w:cs="宋体"/>
                <w:color w:val="auto"/>
                <w:sz w:val="24"/>
                <w:szCs w:val="24"/>
                <w:lang w:val="en-US" w:eastAsia="zh-CN"/>
              </w:rPr>
            </w:pPr>
            <w:r>
              <w:rPr>
                <w:rFonts w:hint="eastAsia" w:ascii="仿宋_GB2312" w:hAnsi="宋体" w:eastAsia="仿宋_GB2312" w:cs="宋体"/>
                <w:color w:val="auto"/>
                <w:sz w:val="24"/>
                <w:szCs w:val="24"/>
                <w:lang w:eastAsia="zh-CN"/>
              </w:rPr>
              <w:t>国有土地使用权证号</w:t>
            </w:r>
          </w:p>
        </w:tc>
        <w:tc>
          <w:tcPr>
            <w:tcW w:w="4999"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beforeAutospacing="0" w:line="300" w:lineRule="exact"/>
              <w:jc w:val="center"/>
              <w:textAlignment w:val="baseline"/>
              <w:outlineLvl w:val="9"/>
              <w:rPr>
                <w:rFonts w:hint="eastAsia" w:ascii="仿宋_GB2312" w:eastAsia="仿宋_GB2312"/>
                <w:color w:val="auto"/>
                <w:sz w:val="24"/>
                <w:szCs w:val="24"/>
                <w:lang w:eastAsia="zh-CN"/>
              </w:rPr>
            </w:pPr>
            <w:r>
              <w:rPr>
                <w:rFonts w:hint="eastAsia" w:ascii="仿宋_GB2312" w:hAnsi="宋体" w:eastAsia="仿宋_GB2312" w:cs="宋体"/>
                <w:color w:val="auto"/>
                <w:sz w:val="24"/>
                <w:szCs w:val="24"/>
                <w:lang w:val="en-US" w:eastAsia="zh-CN"/>
              </w:rPr>
              <w:t>高国用（2000）字第0030号</w:t>
            </w:r>
          </w:p>
        </w:tc>
      </w:tr>
      <w:bookmarkEnd w:id="11"/>
    </w:tbl>
    <w:p>
      <w:pPr>
        <w:pStyle w:val="3"/>
        <w:keepLines w:val="0"/>
        <w:pageBreakBefore w:val="0"/>
        <w:kinsoku/>
        <w:wordWrap/>
        <w:overflowPunct/>
        <w:topLinePunct w:val="0"/>
        <w:autoSpaceDE/>
        <w:autoSpaceDN/>
        <w:bidi w:val="0"/>
        <w:snapToGrid/>
        <w:spacing w:line="480" w:lineRule="exact"/>
        <w:rPr>
          <w:color w:val="auto"/>
        </w:rPr>
      </w:pPr>
      <w:bookmarkStart w:id="12" w:name="_Toc13416"/>
      <w:r>
        <w:rPr>
          <w:rFonts w:hint="eastAsia"/>
          <w:color w:val="auto"/>
        </w:rPr>
        <w:t>五、价值时点</w:t>
      </w:r>
      <w:bookmarkEnd w:id="12"/>
    </w:p>
    <w:p>
      <w:pPr>
        <w:keepNext w:val="0"/>
        <w:keepLines w:val="0"/>
        <w:pageBreakBefore w:val="0"/>
        <w:tabs>
          <w:tab w:val="left" w:pos="7797"/>
        </w:tabs>
        <w:kinsoku/>
        <w:wordWrap/>
        <w:overflowPunct/>
        <w:topLinePunct w:val="0"/>
        <w:autoSpaceDE/>
        <w:autoSpaceDN/>
        <w:bidi w:val="0"/>
        <w:snapToGrid/>
        <w:spacing w:line="480" w:lineRule="exact"/>
        <w:ind w:firstLine="560" w:firstLineChars="200"/>
        <w:rPr>
          <w:rFonts w:ascii="仿宋_GB2312" w:hAnsi="宋体" w:eastAsia="仿宋_GB2312"/>
          <w:color w:val="auto"/>
          <w:szCs w:val="28"/>
        </w:rPr>
      </w:pPr>
      <w:r>
        <w:rPr>
          <w:rFonts w:hint="eastAsia" w:ascii="仿宋_GB2312" w:hAnsi="宋体" w:eastAsia="仿宋_GB2312"/>
          <w:color w:val="auto"/>
          <w:spacing w:val="0"/>
          <w:szCs w:val="28"/>
        </w:rPr>
        <w:t>经委托方同意，以估价师现场勘查日</w:t>
      </w:r>
      <w:r>
        <w:rPr>
          <w:rFonts w:hint="eastAsia" w:ascii="仿宋_GB2312" w:hAnsi="宋体" w:eastAsia="仿宋_GB2312"/>
          <w:color w:val="auto"/>
          <w:spacing w:val="0"/>
          <w:szCs w:val="28"/>
          <w:lang w:eastAsia="zh-CN"/>
        </w:rPr>
        <w:t>2019年1月24日</w:t>
      </w:r>
      <w:r>
        <w:rPr>
          <w:rFonts w:hint="eastAsia" w:ascii="仿宋_GB2312" w:hAnsi="宋体" w:eastAsia="仿宋_GB2312"/>
          <w:color w:val="auto"/>
          <w:spacing w:val="0"/>
          <w:szCs w:val="28"/>
        </w:rPr>
        <w:t>为价值时点。</w:t>
      </w:r>
    </w:p>
    <w:p>
      <w:pPr>
        <w:pStyle w:val="3"/>
        <w:keepLines w:val="0"/>
        <w:pageBreakBefore w:val="0"/>
        <w:kinsoku/>
        <w:wordWrap/>
        <w:overflowPunct/>
        <w:topLinePunct w:val="0"/>
        <w:autoSpaceDE/>
        <w:autoSpaceDN/>
        <w:bidi w:val="0"/>
        <w:snapToGrid/>
        <w:spacing w:line="480" w:lineRule="exact"/>
        <w:rPr>
          <w:color w:val="auto"/>
        </w:rPr>
      </w:pPr>
      <w:bookmarkStart w:id="13" w:name="_Toc16365"/>
      <w:r>
        <w:rPr>
          <w:rFonts w:hint="eastAsia"/>
          <w:color w:val="auto"/>
        </w:rPr>
        <w:t>六、价值类型</w:t>
      </w:r>
      <w:bookmarkEnd w:id="13"/>
    </w:p>
    <w:p>
      <w:pPr>
        <w:pStyle w:val="11"/>
        <w:keepNext w:val="0"/>
        <w:keepLines w:val="0"/>
        <w:pageBreakBefore w:val="0"/>
        <w:kinsoku/>
        <w:wordWrap/>
        <w:overflowPunct/>
        <w:topLinePunct w:val="0"/>
        <w:autoSpaceDE/>
        <w:autoSpaceDN/>
        <w:bidi w:val="0"/>
        <w:snapToGrid/>
        <w:spacing w:after="0" w:line="48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本次估价采用公开市场价值标准，市场价值是估价对象在</w:t>
      </w:r>
      <w:r>
        <w:rPr>
          <w:rFonts w:hint="eastAsia" w:ascii="仿宋_GB2312" w:eastAsia="仿宋_GB2312"/>
          <w:color w:val="auto"/>
          <w:sz w:val="28"/>
          <w:szCs w:val="28"/>
          <w:lang w:eastAsia="zh-CN"/>
        </w:rPr>
        <w:t>2019年1月24日</w:t>
      </w:r>
      <w:r>
        <w:rPr>
          <w:rFonts w:hint="eastAsia" w:ascii="仿宋_GB2312" w:eastAsia="仿宋_GB2312"/>
          <w:color w:val="auto"/>
          <w:sz w:val="28"/>
          <w:szCs w:val="28"/>
        </w:rPr>
        <w:t>，在满足本次估价的假设前提等特定条件下的客观合理价值；</w:t>
      </w:r>
    </w:p>
    <w:p>
      <w:pPr>
        <w:pStyle w:val="11"/>
        <w:keepNext w:val="0"/>
        <w:keepLines w:val="0"/>
        <w:pageBreakBefore w:val="0"/>
        <w:kinsoku/>
        <w:wordWrap/>
        <w:overflowPunct/>
        <w:topLinePunct w:val="0"/>
        <w:autoSpaceDE/>
        <w:autoSpaceDN/>
        <w:bidi w:val="0"/>
        <w:snapToGrid/>
        <w:spacing w:after="0" w:line="480" w:lineRule="exact"/>
        <w:ind w:firstLine="560" w:firstLineChars="200"/>
        <w:rPr>
          <w:rFonts w:ascii="仿宋_GB2312" w:hAnsi="宋体" w:eastAsia="仿宋_GB2312"/>
          <w:color w:val="auto"/>
          <w:sz w:val="28"/>
          <w:szCs w:val="28"/>
        </w:rPr>
      </w:pPr>
      <w:r>
        <w:rPr>
          <w:rFonts w:hint="eastAsia" w:ascii="仿宋_GB2312" w:eastAsia="仿宋_GB2312"/>
          <w:color w:val="auto"/>
          <w:sz w:val="28"/>
          <w:szCs w:val="28"/>
        </w:rPr>
        <w:t>本次评估包含了</w:t>
      </w:r>
      <w:r>
        <w:rPr>
          <w:rFonts w:hint="eastAsia" w:ascii="仿宋_GB2312" w:eastAsia="仿宋_GB2312"/>
          <w:color w:val="auto"/>
          <w:sz w:val="28"/>
          <w:szCs w:val="28"/>
          <w:lang w:eastAsia="zh-CN"/>
        </w:rPr>
        <w:t>高青县中心路西侧一处商住房地产</w:t>
      </w: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rPr>
        <w:t>附属设施及应分摊的土地使用权；</w:t>
      </w:r>
    </w:p>
    <w:p>
      <w:pPr>
        <w:pStyle w:val="3"/>
        <w:keepLines w:val="0"/>
        <w:pageBreakBefore w:val="0"/>
        <w:kinsoku/>
        <w:wordWrap/>
        <w:overflowPunct/>
        <w:topLinePunct w:val="0"/>
        <w:bidi w:val="0"/>
        <w:snapToGrid/>
        <w:spacing w:line="480" w:lineRule="exact"/>
        <w:rPr>
          <w:color w:val="auto"/>
        </w:rPr>
      </w:pPr>
      <w:bookmarkStart w:id="14" w:name="_Toc9684"/>
      <w:r>
        <w:rPr>
          <w:rFonts w:hint="eastAsia"/>
          <w:color w:val="auto"/>
        </w:rPr>
        <w:t>七、估价原则</w:t>
      </w:r>
      <w:bookmarkEnd w:id="14"/>
    </w:p>
    <w:p>
      <w:pPr>
        <w:pStyle w:val="18"/>
        <w:keepNext w:val="0"/>
        <w:keepLines w:val="0"/>
        <w:pageBreakBefore w:val="0"/>
        <w:kinsoku/>
        <w:wordWrap/>
        <w:overflowPunct/>
        <w:topLinePunct w:val="0"/>
        <w:bidi w:val="0"/>
        <w:snapToGrid/>
        <w:spacing w:line="480" w:lineRule="exact"/>
        <w:ind w:firstLine="601"/>
        <w:rPr>
          <w:rFonts w:ascii="仿宋_GB2312" w:hAnsi="宋体" w:eastAsia="仿宋_GB2312"/>
          <w:color w:val="auto"/>
          <w:spacing w:val="0"/>
          <w:szCs w:val="28"/>
        </w:rPr>
      </w:pPr>
      <w:r>
        <w:rPr>
          <w:rFonts w:hint="eastAsia" w:ascii="仿宋_GB2312" w:hAnsi="宋体" w:eastAsia="仿宋_GB2312"/>
          <w:color w:val="auto"/>
          <w:spacing w:val="0"/>
          <w:szCs w:val="28"/>
        </w:rPr>
        <w:t>在遵循独立、客观、公正原则的前提下，具体依据如下原则：</w:t>
      </w:r>
    </w:p>
    <w:p>
      <w:pPr>
        <w:keepNext w:val="0"/>
        <w:keepLines w:val="0"/>
        <w:pageBreakBefore w:val="0"/>
        <w:kinsoku/>
        <w:wordWrap/>
        <w:overflowPunct/>
        <w:topLinePunct w:val="0"/>
        <w:bidi w:val="0"/>
        <w:snapToGrid/>
        <w:spacing w:line="480" w:lineRule="exact"/>
        <w:ind w:firstLine="560" w:firstLineChars="200"/>
        <w:rPr>
          <w:rFonts w:ascii="仿宋_GB2312" w:hAnsi="宋体" w:eastAsia="仿宋_GB2312"/>
          <w:color w:val="auto"/>
          <w:spacing w:val="0"/>
          <w:szCs w:val="28"/>
        </w:rPr>
      </w:pPr>
      <w:r>
        <w:rPr>
          <w:rFonts w:hint="eastAsia" w:ascii="仿宋_GB2312" w:hAnsi="宋体" w:eastAsia="仿宋_GB2312"/>
          <w:color w:val="auto"/>
          <w:spacing w:val="0"/>
          <w:szCs w:val="28"/>
        </w:rPr>
        <w:t>1.合法原则</w:t>
      </w:r>
    </w:p>
    <w:p>
      <w:pPr>
        <w:keepNext w:val="0"/>
        <w:keepLines w:val="0"/>
        <w:pageBreakBefore w:val="0"/>
        <w:kinsoku/>
        <w:wordWrap/>
        <w:overflowPunct/>
        <w:topLinePunct w:val="0"/>
        <w:bidi w:val="0"/>
        <w:snapToGrid/>
        <w:spacing w:line="480" w:lineRule="exact"/>
        <w:ind w:firstLine="560" w:firstLineChars="200"/>
        <w:rPr>
          <w:rFonts w:ascii="仿宋_GB2312" w:hAnsi="宋体" w:eastAsia="仿宋_GB2312"/>
          <w:color w:val="auto"/>
          <w:spacing w:val="0"/>
          <w:szCs w:val="28"/>
        </w:rPr>
      </w:pPr>
      <w:r>
        <w:rPr>
          <w:rFonts w:hint="eastAsia" w:ascii="仿宋_GB2312" w:hAnsi="宋体" w:eastAsia="仿宋_GB2312"/>
          <w:color w:val="auto"/>
          <w:spacing w:val="0"/>
          <w:szCs w:val="28"/>
        </w:rPr>
        <w:t>评估价值应为在依法判定的估价对象状态下的价值或价格。</w:t>
      </w:r>
    </w:p>
    <w:p>
      <w:pPr>
        <w:keepNext w:val="0"/>
        <w:keepLines w:val="0"/>
        <w:pageBreakBefore w:val="0"/>
        <w:kinsoku/>
        <w:wordWrap/>
        <w:overflowPunct/>
        <w:topLinePunct w:val="0"/>
        <w:bidi w:val="0"/>
        <w:snapToGrid/>
        <w:spacing w:line="480" w:lineRule="exact"/>
        <w:ind w:firstLine="560" w:firstLineChars="200"/>
        <w:rPr>
          <w:rFonts w:ascii="仿宋_GB2312" w:hAnsi="宋体" w:eastAsia="仿宋_GB2312"/>
          <w:color w:val="auto"/>
          <w:spacing w:val="0"/>
          <w:szCs w:val="28"/>
        </w:rPr>
      </w:pPr>
      <w:r>
        <w:rPr>
          <w:rFonts w:hint="eastAsia" w:ascii="仿宋_GB2312" w:hAnsi="宋体" w:eastAsia="仿宋_GB2312"/>
          <w:color w:val="auto"/>
          <w:spacing w:val="0"/>
          <w:szCs w:val="28"/>
        </w:rPr>
        <w:t>估价对象已</w:t>
      </w:r>
      <w:r>
        <w:rPr>
          <w:rFonts w:hint="eastAsia" w:ascii="仿宋_GB2312" w:hAnsi="宋体" w:eastAsia="仿宋_GB2312"/>
          <w:color w:val="auto"/>
          <w:spacing w:val="0"/>
          <w:szCs w:val="28"/>
          <w:lang w:eastAsia="zh-CN"/>
        </w:rPr>
        <w:t>办理相关产权证</w:t>
      </w:r>
      <w:r>
        <w:rPr>
          <w:rFonts w:hint="eastAsia" w:ascii="仿宋_GB2312" w:hAnsi="宋体" w:eastAsia="仿宋_GB2312"/>
          <w:color w:val="auto"/>
          <w:spacing w:val="0"/>
          <w:szCs w:val="28"/>
        </w:rPr>
        <w:t>，估价对象现状用途为</w:t>
      </w:r>
      <w:r>
        <w:rPr>
          <w:rFonts w:hint="eastAsia" w:ascii="仿宋_GB2312" w:hAnsi="宋体" w:eastAsia="仿宋_GB2312"/>
          <w:color w:val="auto"/>
          <w:spacing w:val="0"/>
          <w:szCs w:val="28"/>
          <w:lang w:eastAsia="zh-CN"/>
        </w:rPr>
        <w:t>商住</w:t>
      </w:r>
      <w:r>
        <w:rPr>
          <w:rFonts w:hint="eastAsia" w:ascii="仿宋_GB2312" w:hAnsi="宋体" w:eastAsia="仿宋_GB2312"/>
          <w:color w:val="auto"/>
          <w:spacing w:val="0"/>
          <w:szCs w:val="28"/>
        </w:rPr>
        <w:t>，符合合法原则。估价对象于估价时点交易或处分方式是合法的。</w:t>
      </w:r>
    </w:p>
    <w:p>
      <w:pPr>
        <w:keepNext w:val="0"/>
        <w:keepLines w:val="0"/>
        <w:pageBreakBefore w:val="0"/>
        <w:kinsoku/>
        <w:wordWrap/>
        <w:overflowPunct/>
        <w:topLinePunct w:val="0"/>
        <w:bidi w:val="0"/>
        <w:snapToGrid/>
        <w:spacing w:line="480" w:lineRule="exact"/>
        <w:ind w:firstLine="560" w:firstLineChars="200"/>
        <w:rPr>
          <w:rFonts w:ascii="仿宋_GB2312" w:hAnsi="宋体" w:eastAsia="仿宋_GB2312"/>
          <w:color w:val="auto"/>
          <w:spacing w:val="0"/>
          <w:szCs w:val="28"/>
        </w:rPr>
      </w:pPr>
      <w:r>
        <w:rPr>
          <w:rFonts w:hint="eastAsia" w:ascii="仿宋_GB2312" w:hAnsi="宋体" w:eastAsia="仿宋_GB2312"/>
          <w:color w:val="auto"/>
          <w:spacing w:val="0"/>
          <w:szCs w:val="28"/>
        </w:rPr>
        <w:t>2.最高最佳利用原则</w:t>
      </w:r>
    </w:p>
    <w:p>
      <w:pPr>
        <w:keepNext w:val="0"/>
        <w:keepLines w:val="0"/>
        <w:pageBreakBefore w:val="0"/>
        <w:shd w:val="clear" w:color="auto" w:fill="FFFFFF"/>
        <w:kinsoku/>
        <w:wordWrap/>
        <w:overflowPunct/>
        <w:topLinePunct w:val="0"/>
        <w:bidi w:val="0"/>
        <w:snapToGrid/>
        <w:spacing w:line="480" w:lineRule="exact"/>
        <w:ind w:firstLine="482"/>
        <w:rPr>
          <w:rFonts w:ascii="仿宋_GB2312" w:hAnsi="宋体" w:eastAsia="仿宋_GB2312"/>
          <w:color w:val="auto"/>
          <w:spacing w:val="0"/>
          <w:szCs w:val="28"/>
        </w:rPr>
      </w:pPr>
      <w:r>
        <w:rPr>
          <w:rFonts w:hint="eastAsia" w:ascii="仿宋_GB2312" w:hAnsi="宋体" w:eastAsia="仿宋_GB2312"/>
          <w:color w:val="auto"/>
          <w:spacing w:val="0"/>
          <w:szCs w:val="28"/>
        </w:rPr>
        <w:t>所谓最高最佳利用，是房地产在法律上允许、技术上可能、财务上可行并使价值最大的合理可能的利用，包括最佳的用途、规模、档次等。</w:t>
      </w:r>
    </w:p>
    <w:p>
      <w:pPr>
        <w:keepNext w:val="0"/>
        <w:keepLines w:val="0"/>
        <w:pageBreakBefore w:val="0"/>
        <w:shd w:val="clear" w:color="auto" w:fill="FFFFFF"/>
        <w:kinsoku/>
        <w:wordWrap/>
        <w:overflowPunct/>
        <w:topLinePunct w:val="0"/>
        <w:bidi w:val="0"/>
        <w:snapToGrid/>
        <w:spacing w:line="480" w:lineRule="exact"/>
        <w:ind w:firstLine="482"/>
        <w:rPr>
          <w:rFonts w:ascii="仿宋_GB2312" w:hAnsi="宋体" w:eastAsia="仿宋_GB2312"/>
          <w:color w:val="auto"/>
          <w:spacing w:val="0"/>
          <w:szCs w:val="28"/>
        </w:rPr>
      </w:pPr>
      <w:r>
        <w:rPr>
          <w:rFonts w:hint="eastAsia" w:ascii="仿宋_GB2312" w:hAnsi="宋体" w:eastAsia="仿宋_GB2312"/>
          <w:color w:val="auto"/>
          <w:spacing w:val="0"/>
          <w:szCs w:val="28"/>
        </w:rPr>
        <w:t>遵循</w:t>
      </w:r>
      <w:r>
        <w:rPr>
          <w:color w:val="auto"/>
        </w:rPr>
        <w:fldChar w:fldCharType="begin"/>
      </w:r>
      <w:r>
        <w:rPr>
          <w:color w:val="auto"/>
        </w:rPr>
        <w:instrText xml:space="preserve"> HYPERLINK "http://baike.baidu.com/view/1095459.htm" \t "_blank" </w:instrText>
      </w:r>
      <w:r>
        <w:rPr>
          <w:color w:val="auto"/>
        </w:rPr>
        <w:fldChar w:fldCharType="separate"/>
      </w:r>
      <w:r>
        <w:rPr>
          <w:rFonts w:hint="eastAsia" w:ascii="仿宋_GB2312" w:hAnsi="宋体" w:eastAsia="仿宋_GB2312"/>
          <w:color w:val="auto"/>
          <w:spacing w:val="0"/>
          <w:szCs w:val="28"/>
        </w:rPr>
        <w:t>最高最佳使用</w:t>
      </w:r>
      <w:r>
        <w:rPr>
          <w:rFonts w:hint="eastAsia" w:ascii="仿宋_GB2312" w:hAnsi="宋体" w:eastAsia="仿宋_GB2312"/>
          <w:color w:val="auto"/>
          <w:spacing w:val="0"/>
          <w:szCs w:val="28"/>
        </w:rPr>
        <w:fldChar w:fldCharType="end"/>
      </w:r>
      <w:r>
        <w:rPr>
          <w:rFonts w:hint="eastAsia" w:ascii="仿宋_GB2312" w:hAnsi="宋体" w:eastAsia="仿宋_GB2312"/>
          <w:color w:val="auto"/>
          <w:spacing w:val="0"/>
          <w:szCs w:val="28"/>
        </w:rPr>
        <w:t>原则，应以</w:t>
      </w:r>
      <w:r>
        <w:rPr>
          <w:color w:val="auto"/>
        </w:rPr>
        <w:fldChar w:fldCharType="begin"/>
      </w:r>
      <w:r>
        <w:rPr>
          <w:color w:val="auto"/>
        </w:rPr>
        <w:instrText xml:space="preserve"> HYPERLINK "http://baike.baidu.com/view/404695.htm" \t "_blank" </w:instrText>
      </w:r>
      <w:r>
        <w:rPr>
          <w:color w:val="auto"/>
        </w:rPr>
        <w:fldChar w:fldCharType="separate"/>
      </w:r>
      <w:r>
        <w:rPr>
          <w:rFonts w:hint="eastAsia" w:ascii="仿宋_GB2312" w:hAnsi="宋体" w:eastAsia="仿宋_GB2312"/>
          <w:color w:val="auto"/>
          <w:spacing w:val="0"/>
          <w:szCs w:val="28"/>
        </w:rPr>
        <w:t>估价对象</w:t>
      </w:r>
      <w:r>
        <w:rPr>
          <w:rFonts w:hint="eastAsia" w:ascii="仿宋_GB2312" w:hAnsi="宋体" w:eastAsia="仿宋_GB2312"/>
          <w:color w:val="auto"/>
          <w:spacing w:val="0"/>
          <w:szCs w:val="28"/>
        </w:rPr>
        <w:fldChar w:fldCharType="end"/>
      </w:r>
      <w:r>
        <w:rPr>
          <w:rFonts w:hint="eastAsia" w:ascii="仿宋_GB2312" w:hAnsi="宋体" w:eastAsia="仿宋_GB2312"/>
          <w:color w:val="auto"/>
          <w:spacing w:val="0"/>
          <w:szCs w:val="28"/>
        </w:rPr>
        <w:t>的最高最佳使用为前提估价。当</w:t>
      </w:r>
      <w:r>
        <w:rPr>
          <w:color w:val="auto"/>
        </w:rPr>
        <w:fldChar w:fldCharType="begin"/>
      </w:r>
      <w:r>
        <w:rPr>
          <w:color w:val="auto"/>
        </w:rPr>
        <w:instrText xml:space="preserve"> HYPERLINK "http://baike.baidu.com/view/404695.htm" \t "_blank" </w:instrText>
      </w:r>
      <w:r>
        <w:rPr>
          <w:color w:val="auto"/>
        </w:rPr>
        <w:fldChar w:fldCharType="separate"/>
      </w:r>
      <w:r>
        <w:rPr>
          <w:rFonts w:hint="eastAsia" w:ascii="仿宋_GB2312" w:hAnsi="宋体" w:eastAsia="仿宋_GB2312"/>
          <w:color w:val="auto"/>
          <w:spacing w:val="0"/>
          <w:szCs w:val="28"/>
        </w:rPr>
        <w:t>估价对象</w:t>
      </w:r>
      <w:r>
        <w:rPr>
          <w:rFonts w:hint="eastAsia" w:ascii="仿宋_GB2312" w:hAnsi="宋体" w:eastAsia="仿宋_GB2312"/>
          <w:color w:val="auto"/>
          <w:spacing w:val="0"/>
          <w:szCs w:val="28"/>
        </w:rPr>
        <w:fldChar w:fldCharType="end"/>
      </w:r>
      <w:r>
        <w:rPr>
          <w:rFonts w:hint="eastAsia" w:ascii="仿宋_GB2312" w:hAnsi="宋体" w:eastAsia="仿宋_GB2312"/>
          <w:color w:val="auto"/>
          <w:spacing w:val="0"/>
          <w:szCs w:val="28"/>
        </w:rPr>
        <w:t>已做了某种使用，估价时应根据</w:t>
      </w:r>
      <w:r>
        <w:rPr>
          <w:color w:val="auto"/>
        </w:rPr>
        <w:fldChar w:fldCharType="begin"/>
      </w:r>
      <w:r>
        <w:rPr>
          <w:color w:val="auto"/>
        </w:rPr>
        <w:instrText xml:space="preserve"> HYPERLINK "http://baike.baidu.com/view/1095459.htm" \t "_blank" </w:instrText>
      </w:r>
      <w:r>
        <w:rPr>
          <w:color w:val="auto"/>
        </w:rPr>
        <w:fldChar w:fldCharType="separate"/>
      </w:r>
      <w:r>
        <w:rPr>
          <w:rFonts w:hint="eastAsia" w:ascii="仿宋_GB2312" w:hAnsi="宋体" w:eastAsia="仿宋_GB2312"/>
          <w:color w:val="auto"/>
          <w:spacing w:val="0"/>
          <w:szCs w:val="28"/>
        </w:rPr>
        <w:t>最高最佳使用</w:t>
      </w:r>
      <w:r>
        <w:rPr>
          <w:rFonts w:hint="eastAsia" w:ascii="仿宋_GB2312" w:hAnsi="宋体" w:eastAsia="仿宋_GB2312"/>
          <w:color w:val="auto"/>
          <w:spacing w:val="0"/>
          <w:szCs w:val="28"/>
        </w:rPr>
        <w:fldChar w:fldCharType="end"/>
      </w:r>
      <w:r>
        <w:rPr>
          <w:rFonts w:hint="eastAsia" w:ascii="仿宋_GB2312" w:hAnsi="宋体" w:eastAsia="仿宋_GB2312"/>
          <w:color w:val="auto"/>
          <w:spacing w:val="0"/>
          <w:szCs w:val="28"/>
        </w:rPr>
        <w:t>原则对估价前提作出下列之一的判断和选择，并应在</w:t>
      </w:r>
      <w:r>
        <w:rPr>
          <w:color w:val="auto"/>
        </w:rPr>
        <w:fldChar w:fldCharType="begin"/>
      </w:r>
      <w:r>
        <w:rPr>
          <w:color w:val="auto"/>
        </w:rPr>
        <w:instrText xml:space="preserve"> HYPERLINK "http://baike.baidu.com/view/404699.htm" \t "_blank" </w:instrText>
      </w:r>
      <w:r>
        <w:rPr>
          <w:color w:val="auto"/>
        </w:rPr>
        <w:fldChar w:fldCharType="separate"/>
      </w:r>
      <w:r>
        <w:rPr>
          <w:rFonts w:hint="eastAsia" w:ascii="仿宋_GB2312" w:hAnsi="宋体" w:eastAsia="仿宋_GB2312"/>
          <w:color w:val="auto"/>
          <w:spacing w:val="0"/>
          <w:szCs w:val="28"/>
        </w:rPr>
        <w:t>估价报告</w:t>
      </w:r>
      <w:r>
        <w:rPr>
          <w:rFonts w:hint="eastAsia" w:ascii="仿宋_GB2312" w:hAnsi="宋体" w:eastAsia="仿宋_GB2312"/>
          <w:color w:val="auto"/>
          <w:spacing w:val="0"/>
          <w:szCs w:val="28"/>
        </w:rPr>
        <w:fldChar w:fldCharType="end"/>
      </w:r>
      <w:r>
        <w:rPr>
          <w:rFonts w:hint="eastAsia" w:ascii="仿宋_GB2312" w:hAnsi="宋体" w:eastAsia="仿宋_GB2312"/>
          <w:color w:val="auto"/>
          <w:spacing w:val="0"/>
          <w:szCs w:val="28"/>
        </w:rPr>
        <w:t>中予以说明： l维持现状前提； 2更新改造前提；3转换用途前提；4改变规模前提；5重新开发前提；6上述前提的某种组合或其他特殊利用前提。</w:t>
      </w:r>
    </w:p>
    <w:p>
      <w:pPr>
        <w:keepNext w:val="0"/>
        <w:keepLines w:val="0"/>
        <w:pageBreakBefore w:val="0"/>
        <w:kinsoku/>
        <w:wordWrap/>
        <w:overflowPunct/>
        <w:topLinePunct w:val="0"/>
        <w:bidi w:val="0"/>
        <w:snapToGrid/>
        <w:spacing w:line="480" w:lineRule="exact"/>
        <w:ind w:firstLine="560" w:firstLineChars="200"/>
        <w:rPr>
          <w:rFonts w:ascii="仿宋_GB2312" w:hAnsi="宋体" w:eastAsia="仿宋_GB2312"/>
          <w:color w:val="auto"/>
          <w:spacing w:val="0"/>
          <w:szCs w:val="28"/>
        </w:rPr>
      </w:pPr>
      <w:r>
        <w:rPr>
          <w:rFonts w:hint="eastAsia" w:ascii="仿宋_GB2312" w:hAnsi="宋体" w:eastAsia="仿宋_GB2312"/>
          <w:color w:val="auto"/>
          <w:spacing w:val="0"/>
          <w:szCs w:val="28"/>
        </w:rPr>
        <w:t>根据</w:t>
      </w:r>
      <w:r>
        <w:rPr>
          <w:rFonts w:hint="eastAsia" w:ascii="仿宋_GB2312" w:hAnsi="宋体" w:eastAsia="仿宋_GB2312"/>
          <w:color w:val="auto"/>
          <w:spacing w:val="0"/>
          <w:szCs w:val="28"/>
          <w:lang w:eastAsia="zh-CN"/>
        </w:rPr>
        <w:t>张店区</w:t>
      </w:r>
      <w:r>
        <w:rPr>
          <w:rFonts w:hint="eastAsia" w:ascii="仿宋_GB2312" w:hAnsi="宋体" w:eastAsia="仿宋_GB2312"/>
          <w:color w:val="auto"/>
          <w:spacing w:val="0"/>
          <w:szCs w:val="28"/>
        </w:rPr>
        <w:t>总体规划及估价对象的实际情况和区位条件，估价对象用途维持现状使用为其最高最佳利用途径，本次评估以此体现最高最佳利用原则。</w:t>
      </w:r>
    </w:p>
    <w:p>
      <w:pPr>
        <w:keepNext w:val="0"/>
        <w:keepLines w:val="0"/>
        <w:pageBreakBefore w:val="0"/>
        <w:kinsoku/>
        <w:wordWrap/>
        <w:overflowPunct/>
        <w:topLinePunct w:val="0"/>
        <w:bidi w:val="0"/>
        <w:snapToGrid/>
        <w:spacing w:line="480" w:lineRule="exact"/>
        <w:ind w:firstLine="560" w:firstLineChars="200"/>
        <w:rPr>
          <w:rFonts w:ascii="仿宋_GB2312" w:hAnsi="宋体" w:eastAsia="仿宋_GB2312"/>
          <w:color w:val="auto"/>
          <w:spacing w:val="0"/>
          <w:szCs w:val="28"/>
        </w:rPr>
      </w:pPr>
      <w:r>
        <w:rPr>
          <w:rFonts w:hint="eastAsia" w:ascii="仿宋_GB2312" w:hAnsi="宋体" w:eastAsia="仿宋_GB2312"/>
          <w:color w:val="auto"/>
          <w:spacing w:val="0"/>
          <w:szCs w:val="28"/>
        </w:rPr>
        <w:t>3.价值时点原则</w:t>
      </w:r>
    </w:p>
    <w:p>
      <w:pPr>
        <w:keepNext w:val="0"/>
        <w:keepLines w:val="0"/>
        <w:pageBreakBefore w:val="0"/>
        <w:kinsoku/>
        <w:wordWrap/>
        <w:overflowPunct/>
        <w:topLinePunct w:val="0"/>
        <w:bidi w:val="0"/>
        <w:snapToGrid/>
        <w:spacing w:line="480" w:lineRule="exact"/>
        <w:ind w:firstLine="560" w:firstLineChars="200"/>
        <w:rPr>
          <w:rFonts w:ascii="仿宋_GB2312" w:hAnsi="宋体" w:eastAsia="仿宋_GB2312"/>
          <w:color w:val="auto"/>
          <w:spacing w:val="0"/>
          <w:szCs w:val="28"/>
        </w:rPr>
      </w:pPr>
      <w:r>
        <w:rPr>
          <w:rFonts w:hint="eastAsia" w:ascii="仿宋_GB2312" w:hAnsi="宋体" w:eastAsia="仿宋_GB2312"/>
          <w:color w:val="auto"/>
          <w:spacing w:val="0"/>
          <w:szCs w:val="28"/>
        </w:rPr>
        <w:t>要求估价结果应为在根据估价目的确定的某一特定时间的价值或价格的原则。</w:t>
      </w:r>
    </w:p>
    <w:p>
      <w:pPr>
        <w:keepNext w:val="0"/>
        <w:keepLines w:val="0"/>
        <w:pageBreakBefore w:val="0"/>
        <w:kinsoku/>
        <w:wordWrap/>
        <w:overflowPunct/>
        <w:topLinePunct w:val="0"/>
        <w:bidi w:val="0"/>
        <w:snapToGrid/>
        <w:spacing w:line="480" w:lineRule="exact"/>
        <w:ind w:firstLine="560" w:firstLineChars="200"/>
        <w:rPr>
          <w:rFonts w:ascii="仿宋_GB2312" w:hAnsi="宋体" w:eastAsia="仿宋_GB2312"/>
          <w:color w:val="auto"/>
          <w:spacing w:val="0"/>
          <w:szCs w:val="28"/>
        </w:rPr>
      </w:pPr>
      <w:r>
        <w:rPr>
          <w:rFonts w:hint="eastAsia" w:ascii="仿宋_GB2312" w:hAnsi="宋体" w:eastAsia="仿宋_GB2312"/>
          <w:color w:val="auto"/>
          <w:spacing w:val="0"/>
          <w:szCs w:val="28"/>
        </w:rPr>
        <w:t>4.替代原则</w:t>
      </w:r>
    </w:p>
    <w:p>
      <w:pPr>
        <w:keepNext w:val="0"/>
        <w:keepLines w:val="0"/>
        <w:pageBreakBefore w:val="0"/>
        <w:kinsoku/>
        <w:wordWrap/>
        <w:overflowPunct/>
        <w:topLinePunct w:val="0"/>
        <w:bidi w:val="0"/>
        <w:snapToGrid/>
        <w:spacing w:line="480" w:lineRule="exact"/>
        <w:ind w:firstLine="560" w:firstLineChars="200"/>
        <w:rPr>
          <w:rFonts w:ascii="仿宋_GB2312" w:hAnsi="宋体" w:eastAsia="仿宋_GB2312"/>
          <w:color w:val="auto"/>
          <w:spacing w:val="0"/>
          <w:szCs w:val="28"/>
        </w:rPr>
      </w:pPr>
      <w:r>
        <w:rPr>
          <w:rFonts w:hint="eastAsia" w:ascii="仿宋_GB2312" w:hAnsi="宋体" w:eastAsia="仿宋_GB2312"/>
          <w:color w:val="auto"/>
          <w:spacing w:val="0"/>
          <w:szCs w:val="28"/>
        </w:rPr>
        <w:t>要求估价结果与估价对象的类似房地产在同等条件下的价值或价格偏差在合理范围内的原则。</w:t>
      </w:r>
    </w:p>
    <w:p>
      <w:pPr>
        <w:pStyle w:val="3"/>
        <w:keepLines w:val="0"/>
        <w:pageBreakBefore w:val="0"/>
        <w:kinsoku/>
        <w:wordWrap/>
        <w:overflowPunct/>
        <w:topLinePunct w:val="0"/>
        <w:bidi w:val="0"/>
        <w:snapToGrid/>
        <w:spacing w:line="480" w:lineRule="exact"/>
        <w:rPr>
          <w:color w:val="auto"/>
        </w:rPr>
      </w:pPr>
      <w:bookmarkStart w:id="15" w:name="_Toc19690"/>
      <w:r>
        <w:rPr>
          <w:rFonts w:hint="eastAsia"/>
          <w:color w:val="auto"/>
        </w:rPr>
        <w:t>八、估价依据</w:t>
      </w:r>
      <w:bookmarkEnd w:id="15"/>
    </w:p>
    <w:p>
      <w:pPr>
        <w:keepNext w:val="0"/>
        <w:keepLines w:val="0"/>
        <w:pageBreakBefore w:val="0"/>
        <w:kinsoku/>
        <w:wordWrap/>
        <w:overflowPunct/>
        <w:topLinePunct w:val="0"/>
        <w:bidi w:val="0"/>
        <w:snapToGrid/>
        <w:spacing w:line="480" w:lineRule="exact"/>
        <w:ind w:firstLine="560" w:firstLineChars="200"/>
        <w:rPr>
          <w:rFonts w:ascii="仿宋_GB2312" w:hAnsi="宋体" w:eastAsia="仿宋_GB2312"/>
          <w:color w:val="auto"/>
          <w:spacing w:val="0"/>
          <w:szCs w:val="28"/>
        </w:rPr>
      </w:pPr>
      <w:r>
        <w:rPr>
          <w:rFonts w:hint="eastAsia" w:ascii="仿宋_GB2312" w:hAnsi="宋体" w:eastAsia="仿宋_GB2312"/>
          <w:color w:val="auto"/>
          <w:spacing w:val="0"/>
          <w:szCs w:val="28"/>
        </w:rPr>
        <w:t>1、本次估价所依据的有关法律、法规和政策文件</w:t>
      </w:r>
    </w:p>
    <w:p>
      <w:pPr>
        <w:keepNext w:val="0"/>
        <w:keepLines w:val="0"/>
        <w:pageBreakBefore w:val="0"/>
        <w:kinsoku/>
        <w:wordWrap/>
        <w:overflowPunct/>
        <w:topLinePunct w:val="0"/>
        <w:bidi w:val="0"/>
        <w:snapToGrid/>
        <w:spacing w:line="480" w:lineRule="exact"/>
        <w:ind w:firstLine="560" w:firstLineChars="200"/>
        <w:rPr>
          <w:rFonts w:ascii="仿宋_GB2312" w:hAnsi="宋体" w:eastAsia="仿宋_GB2312"/>
          <w:color w:val="auto"/>
          <w:spacing w:val="0"/>
          <w:szCs w:val="28"/>
        </w:rPr>
      </w:pPr>
      <w:r>
        <w:rPr>
          <w:rFonts w:hint="eastAsia" w:ascii="仿宋_GB2312" w:hAnsi="宋体" w:eastAsia="仿宋_GB2312"/>
          <w:color w:val="auto"/>
          <w:spacing w:val="0"/>
          <w:szCs w:val="28"/>
        </w:rPr>
        <w:t>（1）《中华人民共和国土地管理法》；</w:t>
      </w:r>
    </w:p>
    <w:p>
      <w:pPr>
        <w:keepNext w:val="0"/>
        <w:keepLines w:val="0"/>
        <w:pageBreakBefore w:val="0"/>
        <w:kinsoku/>
        <w:wordWrap/>
        <w:overflowPunct/>
        <w:topLinePunct w:val="0"/>
        <w:bidi w:val="0"/>
        <w:snapToGrid/>
        <w:spacing w:line="480" w:lineRule="exact"/>
        <w:ind w:firstLine="560" w:firstLineChars="200"/>
        <w:rPr>
          <w:rFonts w:ascii="仿宋_GB2312" w:hAnsi="宋体" w:eastAsia="仿宋_GB2312"/>
          <w:color w:val="auto"/>
          <w:spacing w:val="0"/>
          <w:szCs w:val="28"/>
        </w:rPr>
      </w:pPr>
      <w:r>
        <w:rPr>
          <w:rFonts w:hint="eastAsia" w:ascii="仿宋_GB2312" w:hAnsi="宋体" w:eastAsia="仿宋_GB2312"/>
          <w:color w:val="auto"/>
          <w:spacing w:val="0"/>
          <w:szCs w:val="28"/>
        </w:rPr>
        <w:t>（2）《中华人民共和国城市房地产管理法》；</w:t>
      </w:r>
    </w:p>
    <w:p>
      <w:pPr>
        <w:keepNext w:val="0"/>
        <w:keepLines w:val="0"/>
        <w:pageBreakBefore w:val="0"/>
        <w:kinsoku/>
        <w:wordWrap/>
        <w:overflowPunct/>
        <w:topLinePunct w:val="0"/>
        <w:bidi w:val="0"/>
        <w:snapToGrid/>
        <w:spacing w:line="480" w:lineRule="exact"/>
        <w:ind w:firstLine="560" w:firstLineChars="200"/>
        <w:rPr>
          <w:rFonts w:ascii="仿宋_GB2312" w:hAnsi="宋体" w:eastAsia="仿宋_GB2312"/>
          <w:color w:val="auto"/>
          <w:spacing w:val="0"/>
          <w:szCs w:val="28"/>
        </w:rPr>
      </w:pPr>
      <w:r>
        <w:rPr>
          <w:rFonts w:hint="eastAsia" w:ascii="仿宋_GB2312" w:hAnsi="宋体" w:eastAsia="仿宋_GB2312"/>
          <w:color w:val="auto"/>
          <w:spacing w:val="0"/>
          <w:szCs w:val="28"/>
        </w:rPr>
        <w:t>（3）《中华人民共和国担保法》；</w:t>
      </w:r>
    </w:p>
    <w:p>
      <w:pPr>
        <w:keepNext w:val="0"/>
        <w:keepLines w:val="0"/>
        <w:pageBreakBefore w:val="0"/>
        <w:kinsoku/>
        <w:wordWrap/>
        <w:overflowPunct/>
        <w:topLinePunct w:val="0"/>
        <w:bidi w:val="0"/>
        <w:snapToGrid/>
        <w:spacing w:line="480" w:lineRule="exact"/>
        <w:ind w:firstLine="560" w:firstLineChars="200"/>
        <w:rPr>
          <w:rFonts w:ascii="仿宋_GB2312" w:hAnsi="宋体" w:eastAsia="仿宋_GB2312"/>
          <w:color w:val="auto"/>
          <w:spacing w:val="0"/>
          <w:szCs w:val="28"/>
        </w:rPr>
      </w:pPr>
      <w:r>
        <w:rPr>
          <w:rFonts w:hint="eastAsia" w:ascii="仿宋_GB2312" w:hAnsi="宋体" w:eastAsia="仿宋_GB2312"/>
          <w:color w:val="auto"/>
          <w:spacing w:val="0"/>
          <w:szCs w:val="28"/>
        </w:rPr>
        <w:t>（4）《中华人民共和国城市规划法》；</w:t>
      </w:r>
    </w:p>
    <w:p>
      <w:pPr>
        <w:keepNext w:val="0"/>
        <w:keepLines w:val="0"/>
        <w:pageBreakBefore w:val="0"/>
        <w:kinsoku/>
        <w:wordWrap/>
        <w:overflowPunct/>
        <w:topLinePunct w:val="0"/>
        <w:bidi w:val="0"/>
        <w:snapToGrid/>
        <w:spacing w:line="480" w:lineRule="exact"/>
        <w:ind w:firstLine="600" w:firstLineChars="200"/>
        <w:rPr>
          <w:rFonts w:hint="eastAsia" w:ascii="仿宋_GB2312" w:hAnsi="微软雅黑" w:eastAsia="仿宋_GB2312"/>
          <w:color w:val="auto"/>
          <w:szCs w:val="28"/>
        </w:rPr>
      </w:pPr>
      <w:r>
        <w:rPr>
          <w:rFonts w:hint="eastAsia" w:ascii="仿宋_GB2312" w:hAnsi="微软雅黑" w:eastAsia="仿宋_GB2312"/>
          <w:color w:val="auto"/>
          <w:szCs w:val="28"/>
        </w:rPr>
        <w:t>（5）《中华人民共和国</w:t>
      </w:r>
      <w:r>
        <w:rPr>
          <w:color w:val="auto"/>
        </w:rPr>
        <w:fldChar w:fldCharType="begin"/>
      </w:r>
      <w:r>
        <w:rPr>
          <w:color w:val="auto"/>
        </w:rPr>
        <w:instrText xml:space="preserve"> HYPERLINK "http://china.findlaw.cn/jingjifa/paimaifa/" \t "_blank" </w:instrText>
      </w:r>
      <w:r>
        <w:rPr>
          <w:color w:val="auto"/>
        </w:rPr>
        <w:fldChar w:fldCharType="separate"/>
      </w:r>
      <w:r>
        <w:rPr>
          <w:rStyle w:val="34"/>
          <w:rFonts w:hint="eastAsia" w:ascii="仿宋_GB2312" w:hAnsi="微软雅黑" w:eastAsia="仿宋_GB2312"/>
          <w:color w:val="auto"/>
          <w:szCs w:val="28"/>
        </w:rPr>
        <w:t>拍卖法</w:t>
      </w:r>
      <w:r>
        <w:rPr>
          <w:rStyle w:val="34"/>
          <w:rFonts w:hint="eastAsia" w:ascii="仿宋_GB2312" w:hAnsi="微软雅黑" w:eastAsia="仿宋_GB2312"/>
          <w:color w:val="auto"/>
          <w:szCs w:val="28"/>
        </w:rPr>
        <w:fldChar w:fldCharType="end"/>
      </w:r>
      <w:r>
        <w:rPr>
          <w:rFonts w:hint="eastAsia" w:ascii="仿宋_GB2312" w:hAnsi="微软雅黑" w:eastAsia="仿宋_GB2312"/>
          <w:color w:val="auto"/>
          <w:szCs w:val="28"/>
        </w:rPr>
        <w:t>》；</w:t>
      </w:r>
    </w:p>
    <w:p>
      <w:pPr>
        <w:keepNext w:val="0"/>
        <w:keepLines w:val="0"/>
        <w:pageBreakBefore w:val="0"/>
        <w:kinsoku/>
        <w:wordWrap/>
        <w:overflowPunct/>
        <w:topLinePunct w:val="0"/>
        <w:bidi w:val="0"/>
        <w:snapToGrid/>
        <w:spacing w:line="480" w:lineRule="exact"/>
        <w:ind w:firstLine="600" w:firstLineChars="200"/>
        <w:rPr>
          <w:rFonts w:ascii="仿宋_GB2312" w:hAnsi="宋体" w:eastAsia="仿宋_GB2312"/>
          <w:color w:val="auto"/>
          <w:spacing w:val="0"/>
          <w:szCs w:val="28"/>
        </w:rPr>
      </w:pPr>
      <w:r>
        <w:rPr>
          <w:rFonts w:hint="eastAsia" w:ascii="仿宋_GB2312" w:hAnsi="微软雅黑" w:eastAsia="仿宋_GB2312"/>
          <w:color w:val="auto"/>
          <w:szCs w:val="28"/>
        </w:rPr>
        <w:t>（6）、《中华人民共和国物权法》；</w:t>
      </w:r>
    </w:p>
    <w:p>
      <w:pPr>
        <w:keepNext w:val="0"/>
        <w:keepLines w:val="0"/>
        <w:pageBreakBefore w:val="0"/>
        <w:kinsoku/>
        <w:wordWrap/>
        <w:overflowPunct/>
        <w:topLinePunct w:val="0"/>
        <w:bidi w:val="0"/>
        <w:snapToGrid/>
        <w:spacing w:line="480" w:lineRule="exact"/>
        <w:ind w:firstLine="560" w:firstLineChars="200"/>
        <w:rPr>
          <w:rFonts w:ascii="仿宋_GB2312" w:hAnsi="宋体" w:eastAsia="仿宋_GB2312"/>
          <w:color w:val="auto"/>
          <w:spacing w:val="0"/>
          <w:szCs w:val="28"/>
        </w:rPr>
      </w:pPr>
      <w:r>
        <w:rPr>
          <w:rFonts w:hint="eastAsia" w:ascii="仿宋_GB2312" w:hAnsi="宋体" w:eastAsia="仿宋_GB2312"/>
          <w:color w:val="auto"/>
          <w:spacing w:val="0"/>
          <w:szCs w:val="28"/>
        </w:rPr>
        <w:t>（5）《中华人民共和国土地管理法实施条例》；</w:t>
      </w:r>
    </w:p>
    <w:p>
      <w:pPr>
        <w:keepNext w:val="0"/>
        <w:keepLines w:val="0"/>
        <w:pageBreakBefore w:val="0"/>
        <w:kinsoku/>
        <w:wordWrap/>
        <w:overflowPunct/>
        <w:topLinePunct w:val="0"/>
        <w:bidi w:val="0"/>
        <w:snapToGrid/>
        <w:spacing w:line="480" w:lineRule="exact"/>
        <w:ind w:firstLine="560" w:firstLineChars="200"/>
        <w:rPr>
          <w:rFonts w:ascii="仿宋_GB2312" w:hAnsi="宋体" w:eastAsia="仿宋_GB2312"/>
          <w:color w:val="auto"/>
          <w:spacing w:val="0"/>
          <w:szCs w:val="28"/>
        </w:rPr>
      </w:pPr>
      <w:r>
        <w:rPr>
          <w:rFonts w:hint="eastAsia" w:ascii="仿宋_GB2312" w:hAnsi="宋体" w:eastAsia="仿宋_GB2312"/>
          <w:color w:val="auto"/>
          <w:spacing w:val="0"/>
          <w:szCs w:val="28"/>
        </w:rPr>
        <w:t>（6）国务院55号令《中华人民共和国城镇国有土地使用权出让和转让暂行条例》；</w:t>
      </w:r>
    </w:p>
    <w:p>
      <w:pPr>
        <w:keepNext w:val="0"/>
        <w:keepLines w:val="0"/>
        <w:pageBreakBefore w:val="0"/>
        <w:kinsoku/>
        <w:wordWrap/>
        <w:overflowPunct/>
        <w:topLinePunct w:val="0"/>
        <w:bidi w:val="0"/>
        <w:snapToGrid/>
        <w:spacing w:line="480" w:lineRule="exact"/>
        <w:ind w:firstLine="600" w:firstLineChars="200"/>
        <w:rPr>
          <w:rFonts w:ascii="仿宋_GB2312" w:hAnsi="宋体" w:eastAsia="仿宋_GB2312" w:cs="宋体"/>
          <w:color w:val="auto"/>
          <w:kern w:val="0"/>
          <w:szCs w:val="28"/>
        </w:rPr>
      </w:pPr>
      <w:r>
        <w:rPr>
          <w:rFonts w:hint="eastAsia" w:ascii="宋体" w:hAnsi="宋体" w:cs="宋体"/>
          <w:color w:val="auto"/>
          <w:kern w:val="0"/>
          <w:szCs w:val="28"/>
        </w:rPr>
        <w:t>（</w:t>
      </w:r>
      <w:r>
        <w:rPr>
          <w:rFonts w:hint="eastAsia" w:ascii="仿宋_GB2312" w:hAnsi="宋体" w:eastAsia="仿宋_GB2312" w:cs="宋体"/>
          <w:color w:val="auto"/>
          <w:kern w:val="0"/>
          <w:szCs w:val="28"/>
        </w:rPr>
        <w:t>7）《</w:t>
      </w:r>
      <w:r>
        <w:rPr>
          <w:color w:val="auto"/>
        </w:rPr>
        <w:fldChar w:fldCharType="begin"/>
      </w:r>
      <w:r>
        <w:rPr>
          <w:color w:val="auto"/>
        </w:rPr>
        <w:instrText xml:space="preserve"> HYPERLINK "http://www.baike.com/sowiki/%E5%85%A8%E5%9B%BD%E4%BA%BA%E6%B0%91%E4%BB%A3%E8%A1%A8%E5%A4%A7%E4%BC%9A%E5%B8%B8%E5%8A%A1%E5%A7%94%E5%91%98%E4%BC%9A%E5%85%B3%E4%BA%8E%E5%8F%B8%E6%B3%95%E9%89%B4%E5%AE%9A%E7%AE%A1%E7%90%86%E9%97%AE%E9%A2%98%E7%9A%84%E5%86%B3%E5%AE%9A?prd=content_doc_search" \o "全国人民代表大会常务委员会关于司法鉴定管理问题的决定" </w:instrText>
      </w:r>
      <w:r>
        <w:rPr>
          <w:color w:val="auto"/>
        </w:rPr>
        <w:fldChar w:fldCharType="separate"/>
      </w:r>
      <w:r>
        <w:rPr>
          <w:rFonts w:hint="eastAsia" w:ascii="仿宋_GB2312" w:hAnsi="宋体" w:eastAsia="仿宋_GB2312" w:cs="宋体"/>
          <w:color w:val="auto"/>
          <w:kern w:val="0"/>
          <w:szCs w:val="28"/>
        </w:rPr>
        <w:t>全国人民代表大会常务委员会关于司法鉴定管理问题的决定</w:t>
      </w:r>
      <w:r>
        <w:rPr>
          <w:rFonts w:hint="eastAsia" w:ascii="仿宋_GB2312" w:hAnsi="宋体" w:eastAsia="仿宋_GB2312" w:cs="宋体"/>
          <w:color w:val="auto"/>
          <w:kern w:val="0"/>
          <w:szCs w:val="28"/>
        </w:rPr>
        <w:fldChar w:fldCharType="end"/>
      </w:r>
      <w:r>
        <w:rPr>
          <w:rFonts w:hint="eastAsia" w:ascii="仿宋_GB2312" w:hAnsi="宋体" w:eastAsia="仿宋_GB2312" w:cs="宋体"/>
          <w:color w:val="auto"/>
          <w:kern w:val="0"/>
          <w:szCs w:val="28"/>
        </w:rPr>
        <w:t>》；</w:t>
      </w:r>
    </w:p>
    <w:p>
      <w:pPr>
        <w:keepNext w:val="0"/>
        <w:keepLines w:val="0"/>
        <w:pageBreakBefore w:val="0"/>
        <w:kinsoku/>
        <w:wordWrap/>
        <w:overflowPunct/>
        <w:topLinePunct w:val="0"/>
        <w:bidi w:val="0"/>
        <w:snapToGrid/>
        <w:spacing w:line="480" w:lineRule="exact"/>
        <w:ind w:firstLine="600" w:firstLineChars="200"/>
        <w:rPr>
          <w:rFonts w:ascii="仿宋_GB2312" w:hAnsi="宋体" w:eastAsia="仿宋_GB2312"/>
          <w:color w:val="auto"/>
          <w:spacing w:val="0"/>
          <w:szCs w:val="28"/>
        </w:rPr>
      </w:pPr>
      <w:r>
        <w:rPr>
          <w:rFonts w:hint="eastAsia" w:ascii="仿宋_GB2312" w:hAnsi="宋体" w:eastAsia="仿宋_GB2312" w:cs="宋体"/>
          <w:color w:val="auto"/>
          <w:kern w:val="0"/>
          <w:szCs w:val="28"/>
        </w:rPr>
        <w:t>（8）《</w:t>
      </w:r>
      <w:r>
        <w:rPr>
          <w:color w:val="auto"/>
        </w:rPr>
        <w:fldChar w:fldCharType="begin"/>
      </w:r>
      <w:r>
        <w:rPr>
          <w:color w:val="auto"/>
        </w:rPr>
        <w:instrText xml:space="preserve"> HYPERLINK "http://www.baike.com/sowiki/%E6%9C%80%E9%AB%98%E4%BA%BA%E6%B0%91%E6%B3%95%E9%99%A2%E5%85%B3%E4%BA%8E%E4%BA%BA%E6%B0%91%E6%B3%95%E9%99%A2%E5%A7%94%E6%89%98%E8%AF%84%E4%BC%B0%E3%80%81%E6%8B%8D%E5%8D%96%E5%92%8C%E5%8F%98%E5%8D%96%E5%B7%A5%E4%BD%9C%E7%9A%84%E8%8B%A5%E5%B9%B2%E8%A7%84%E5%AE%9A?prd=content_doc_search" \o "最高人民法院关于人民法院委托评估、拍卖和变卖工作的若干规定" </w:instrText>
      </w:r>
      <w:r>
        <w:rPr>
          <w:color w:val="auto"/>
        </w:rPr>
        <w:fldChar w:fldCharType="separate"/>
      </w:r>
      <w:r>
        <w:rPr>
          <w:rFonts w:hint="eastAsia" w:ascii="仿宋_GB2312" w:hAnsi="宋体" w:eastAsia="仿宋_GB2312" w:cs="宋体"/>
          <w:color w:val="auto"/>
          <w:kern w:val="0"/>
          <w:szCs w:val="28"/>
        </w:rPr>
        <w:t>最高人民法院关于人民法院委托评估、拍卖和变卖工作的若干规定</w:t>
      </w:r>
      <w:r>
        <w:rPr>
          <w:rFonts w:hint="eastAsia" w:ascii="仿宋_GB2312" w:hAnsi="宋体" w:eastAsia="仿宋_GB2312" w:cs="宋体"/>
          <w:color w:val="auto"/>
          <w:kern w:val="0"/>
          <w:szCs w:val="28"/>
        </w:rPr>
        <w:fldChar w:fldCharType="end"/>
      </w:r>
      <w:r>
        <w:rPr>
          <w:rFonts w:hint="eastAsia" w:ascii="仿宋_GB2312" w:hAnsi="宋体" w:eastAsia="仿宋_GB2312" w:cs="宋体"/>
          <w:color w:val="auto"/>
          <w:kern w:val="0"/>
          <w:szCs w:val="28"/>
        </w:rPr>
        <w:t>》（法释〔2009〕16号）：</w:t>
      </w:r>
    </w:p>
    <w:p>
      <w:pPr>
        <w:keepNext w:val="0"/>
        <w:keepLines w:val="0"/>
        <w:pageBreakBefore w:val="0"/>
        <w:kinsoku/>
        <w:wordWrap/>
        <w:overflowPunct/>
        <w:topLinePunct w:val="0"/>
        <w:bidi w:val="0"/>
        <w:snapToGrid/>
        <w:spacing w:line="480" w:lineRule="exact"/>
        <w:ind w:firstLine="560" w:firstLineChars="200"/>
        <w:rPr>
          <w:rFonts w:ascii="仿宋_GB2312" w:hAnsi="宋体" w:eastAsia="仿宋_GB2312"/>
          <w:color w:val="auto"/>
          <w:spacing w:val="0"/>
          <w:szCs w:val="28"/>
        </w:rPr>
      </w:pPr>
      <w:r>
        <w:rPr>
          <w:rFonts w:hint="eastAsia" w:ascii="仿宋_GB2312" w:hAnsi="宋体" w:eastAsia="仿宋_GB2312"/>
          <w:color w:val="auto"/>
          <w:spacing w:val="0"/>
          <w:szCs w:val="28"/>
        </w:rPr>
        <w:t>（7）其他法律规定、政策文件等。</w:t>
      </w:r>
    </w:p>
    <w:p>
      <w:pPr>
        <w:keepNext w:val="0"/>
        <w:keepLines w:val="0"/>
        <w:pageBreakBefore w:val="0"/>
        <w:kinsoku/>
        <w:wordWrap/>
        <w:overflowPunct/>
        <w:topLinePunct w:val="0"/>
        <w:bidi w:val="0"/>
        <w:snapToGrid/>
        <w:spacing w:line="480" w:lineRule="exact"/>
        <w:ind w:firstLine="560" w:firstLineChars="200"/>
        <w:rPr>
          <w:rFonts w:ascii="仿宋_GB2312" w:hAnsi="宋体" w:eastAsia="仿宋_GB2312"/>
          <w:color w:val="auto"/>
          <w:spacing w:val="0"/>
          <w:szCs w:val="28"/>
        </w:rPr>
      </w:pPr>
      <w:r>
        <w:rPr>
          <w:rFonts w:hint="eastAsia" w:ascii="仿宋_GB2312" w:hAnsi="宋体" w:eastAsia="仿宋_GB2312"/>
          <w:color w:val="auto"/>
          <w:spacing w:val="0"/>
          <w:szCs w:val="28"/>
        </w:rPr>
        <w:t>2、本次估价采用的技术规程</w:t>
      </w:r>
    </w:p>
    <w:p>
      <w:pPr>
        <w:keepNext w:val="0"/>
        <w:keepLines w:val="0"/>
        <w:pageBreakBefore w:val="0"/>
        <w:kinsoku/>
        <w:wordWrap/>
        <w:overflowPunct/>
        <w:topLinePunct w:val="0"/>
        <w:bidi w:val="0"/>
        <w:snapToGrid/>
        <w:spacing w:line="480" w:lineRule="exact"/>
        <w:ind w:firstLine="560" w:firstLineChars="200"/>
        <w:rPr>
          <w:rFonts w:ascii="仿宋_GB2312" w:hAnsi="宋体" w:eastAsia="仿宋_GB2312"/>
          <w:color w:val="auto"/>
          <w:spacing w:val="0"/>
          <w:szCs w:val="28"/>
        </w:rPr>
      </w:pPr>
      <w:r>
        <w:rPr>
          <w:rFonts w:hint="eastAsia" w:ascii="仿宋_GB2312" w:hAnsi="宋体" w:eastAsia="仿宋_GB2312"/>
          <w:color w:val="auto"/>
          <w:spacing w:val="0"/>
          <w:szCs w:val="28"/>
        </w:rPr>
        <w:t>（1）《房地产估价规范》（GB/T 50291-2015）；</w:t>
      </w:r>
    </w:p>
    <w:p>
      <w:pPr>
        <w:keepNext w:val="0"/>
        <w:keepLines w:val="0"/>
        <w:pageBreakBefore w:val="0"/>
        <w:kinsoku/>
        <w:wordWrap/>
        <w:overflowPunct/>
        <w:topLinePunct w:val="0"/>
        <w:bidi w:val="0"/>
        <w:snapToGrid/>
        <w:spacing w:line="480" w:lineRule="exact"/>
        <w:ind w:firstLine="560" w:firstLineChars="200"/>
        <w:rPr>
          <w:rFonts w:ascii="仿宋_GB2312" w:hAnsi="宋体" w:eastAsia="仿宋_GB2312"/>
          <w:color w:val="auto"/>
          <w:spacing w:val="0"/>
          <w:szCs w:val="28"/>
        </w:rPr>
      </w:pPr>
      <w:r>
        <w:rPr>
          <w:rFonts w:hint="eastAsia" w:ascii="仿宋_GB2312" w:hAnsi="宋体" w:eastAsia="仿宋_GB2312"/>
          <w:color w:val="auto"/>
          <w:spacing w:val="0"/>
          <w:szCs w:val="28"/>
        </w:rPr>
        <w:t>（2）《房地产估价基本术语标准》（GB/T 50899-2013）；</w:t>
      </w:r>
    </w:p>
    <w:p>
      <w:pPr>
        <w:keepNext w:val="0"/>
        <w:keepLines w:val="0"/>
        <w:pageBreakBefore w:val="0"/>
        <w:kinsoku/>
        <w:wordWrap/>
        <w:overflowPunct/>
        <w:topLinePunct w:val="0"/>
        <w:bidi w:val="0"/>
        <w:snapToGrid/>
        <w:spacing w:line="480" w:lineRule="exact"/>
        <w:ind w:firstLine="560" w:firstLineChars="200"/>
        <w:rPr>
          <w:rFonts w:ascii="仿宋_GB2312" w:hAnsi="宋体" w:eastAsia="仿宋_GB2312"/>
          <w:color w:val="auto"/>
          <w:spacing w:val="0"/>
          <w:szCs w:val="28"/>
        </w:rPr>
      </w:pPr>
      <w:r>
        <w:rPr>
          <w:rFonts w:hint="eastAsia" w:ascii="仿宋_GB2312" w:hAnsi="宋体" w:eastAsia="仿宋_GB2312"/>
          <w:color w:val="auto"/>
          <w:spacing w:val="0"/>
          <w:szCs w:val="28"/>
        </w:rPr>
        <w:t>（3）《城镇土地估价规程》（GB/T 18508-2014）；</w:t>
      </w:r>
    </w:p>
    <w:p>
      <w:pPr>
        <w:keepNext w:val="0"/>
        <w:keepLines w:val="0"/>
        <w:pageBreakBefore w:val="0"/>
        <w:kinsoku/>
        <w:wordWrap/>
        <w:overflowPunct/>
        <w:topLinePunct w:val="0"/>
        <w:bidi w:val="0"/>
        <w:snapToGrid/>
        <w:spacing w:line="480" w:lineRule="exact"/>
        <w:ind w:firstLine="560" w:firstLineChars="200"/>
        <w:rPr>
          <w:rFonts w:ascii="仿宋_GB2312" w:hAnsi="宋体" w:eastAsia="仿宋_GB2312"/>
          <w:color w:val="auto"/>
          <w:spacing w:val="0"/>
          <w:szCs w:val="28"/>
        </w:rPr>
      </w:pPr>
      <w:r>
        <w:rPr>
          <w:rFonts w:hint="eastAsia" w:ascii="仿宋_GB2312" w:hAnsi="宋体" w:eastAsia="仿宋_GB2312"/>
          <w:color w:val="auto"/>
          <w:spacing w:val="0"/>
          <w:szCs w:val="28"/>
        </w:rPr>
        <w:t>（4）《房地产抵押估价指导意见》。</w:t>
      </w:r>
    </w:p>
    <w:p>
      <w:pPr>
        <w:keepNext w:val="0"/>
        <w:keepLines w:val="0"/>
        <w:pageBreakBefore w:val="0"/>
        <w:kinsoku/>
        <w:wordWrap/>
        <w:overflowPunct/>
        <w:topLinePunct w:val="0"/>
        <w:bidi w:val="0"/>
        <w:snapToGrid/>
        <w:spacing w:line="480" w:lineRule="exact"/>
        <w:ind w:firstLine="560" w:firstLineChars="200"/>
        <w:rPr>
          <w:rFonts w:ascii="仿宋_GB2312" w:hAnsi="宋体" w:eastAsia="仿宋_GB2312"/>
          <w:color w:val="auto"/>
          <w:spacing w:val="0"/>
          <w:szCs w:val="28"/>
        </w:rPr>
      </w:pPr>
      <w:r>
        <w:rPr>
          <w:rFonts w:hint="eastAsia" w:ascii="仿宋_GB2312" w:hAnsi="宋体" w:eastAsia="仿宋_GB2312"/>
          <w:color w:val="auto"/>
          <w:spacing w:val="0"/>
          <w:szCs w:val="28"/>
        </w:rPr>
        <w:t>3、估价委托人提供的有关资料</w:t>
      </w:r>
    </w:p>
    <w:p>
      <w:pPr>
        <w:keepNext w:val="0"/>
        <w:keepLines w:val="0"/>
        <w:pageBreakBefore w:val="0"/>
        <w:kinsoku/>
        <w:wordWrap/>
        <w:overflowPunct/>
        <w:topLinePunct w:val="0"/>
        <w:bidi w:val="0"/>
        <w:snapToGrid/>
        <w:spacing w:line="480" w:lineRule="exact"/>
        <w:ind w:firstLine="560" w:firstLineChars="200"/>
        <w:rPr>
          <w:rFonts w:ascii="仿宋_GB2312" w:hAnsi="宋体" w:eastAsia="仿宋_GB2312"/>
          <w:color w:val="auto"/>
          <w:spacing w:val="0"/>
          <w:szCs w:val="28"/>
        </w:rPr>
      </w:pPr>
      <w:r>
        <w:rPr>
          <w:rFonts w:hint="eastAsia" w:ascii="仿宋_GB2312" w:hAnsi="宋体" w:eastAsia="仿宋_GB2312"/>
          <w:color w:val="auto"/>
          <w:spacing w:val="0"/>
          <w:szCs w:val="28"/>
        </w:rPr>
        <w:t>（1）</w:t>
      </w:r>
      <w:r>
        <w:rPr>
          <w:rFonts w:hint="eastAsia" w:ascii="仿宋_GB2312" w:hAnsi="宋体" w:eastAsia="仿宋_GB2312"/>
          <w:color w:val="auto"/>
          <w:spacing w:val="0"/>
          <w:szCs w:val="28"/>
          <w:lang w:eastAsia="zh-CN"/>
        </w:rPr>
        <w:t>司法鉴定</w:t>
      </w:r>
      <w:r>
        <w:rPr>
          <w:rFonts w:hint="eastAsia" w:ascii="仿宋_GB2312" w:hAnsi="宋体" w:eastAsia="仿宋_GB2312"/>
          <w:color w:val="auto"/>
          <w:spacing w:val="0"/>
          <w:szCs w:val="28"/>
        </w:rPr>
        <w:t>委托书</w:t>
      </w:r>
      <w:r>
        <w:rPr>
          <w:rFonts w:hint="eastAsia" w:ascii="仿宋_GB2312" w:eastAsia="仿宋_GB2312"/>
          <w:color w:val="auto"/>
          <w:szCs w:val="28"/>
        </w:rPr>
        <w:t>（原件）；</w:t>
      </w:r>
    </w:p>
    <w:p>
      <w:pPr>
        <w:keepNext w:val="0"/>
        <w:keepLines w:val="0"/>
        <w:pageBreakBefore w:val="0"/>
        <w:kinsoku/>
        <w:wordWrap/>
        <w:overflowPunct/>
        <w:topLinePunct w:val="0"/>
        <w:bidi w:val="0"/>
        <w:snapToGrid/>
        <w:spacing w:line="480" w:lineRule="exact"/>
        <w:ind w:firstLine="600" w:firstLineChars="200"/>
        <w:rPr>
          <w:rFonts w:ascii="仿宋_GB2312" w:eastAsia="仿宋_GB2312"/>
          <w:color w:val="auto"/>
          <w:szCs w:val="28"/>
        </w:rPr>
      </w:pPr>
      <w:r>
        <w:rPr>
          <w:rFonts w:hint="eastAsia" w:ascii="仿宋_GB2312" w:eastAsia="仿宋_GB2312"/>
          <w:color w:val="auto"/>
          <w:szCs w:val="28"/>
        </w:rPr>
        <w:t>（2）民事判决书（复印件）；</w:t>
      </w:r>
    </w:p>
    <w:p>
      <w:pPr>
        <w:keepNext w:val="0"/>
        <w:keepLines w:val="0"/>
        <w:pageBreakBefore w:val="0"/>
        <w:kinsoku/>
        <w:wordWrap/>
        <w:overflowPunct/>
        <w:topLinePunct w:val="0"/>
        <w:bidi w:val="0"/>
        <w:snapToGrid/>
        <w:spacing w:line="480" w:lineRule="exact"/>
        <w:ind w:firstLine="600" w:firstLineChars="200"/>
        <w:rPr>
          <w:rFonts w:hint="eastAsia" w:ascii="仿宋_GB2312" w:eastAsia="仿宋_GB2312"/>
          <w:color w:val="auto"/>
          <w:szCs w:val="28"/>
          <w:lang w:eastAsia="zh-CN"/>
        </w:rPr>
      </w:pPr>
      <w:r>
        <w:rPr>
          <w:rFonts w:hint="eastAsia" w:ascii="仿宋_GB2312" w:eastAsia="仿宋_GB2312"/>
          <w:color w:val="auto"/>
          <w:szCs w:val="28"/>
        </w:rPr>
        <w:t>（</w:t>
      </w:r>
      <w:r>
        <w:rPr>
          <w:rFonts w:hint="eastAsia" w:ascii="仿宋_GB2312" w:eastAsia="仿宋_GB2312"/>
          <w:color w:val="auto"/>
          <w:szCs w:val="28"/>
          <w:lang w:val="en-US" w:eastAsia="zh-CN"/>
        </w:rPr>
        <w:t>3</w:t>
      </w:r>
      <w:r>
        <w:rPr>
          <w:rFonts w:hint="eastAsia" w:ascii="仿宋_GB2312" w:eastAsia="仿宋_GB2312"/>
          <w:color w:val="auto"/>
          <w:szCs w:val="28"/>
        </w:rPr>
        <w:t>）</w:t>
      </w:r>
      <w:r>
        <w:rPr>
          <w:rFonts w:hint="eastAsia" w:ascii="仿宋_GB2312" w:eastAsia="仿宋_GB2312"/>
          <w:color w:val="auto"/>
          <w:szCs w:val="28"/>
          <w:lang w:eastAsia="zh-CN"/>
        </w:rPr>
        <w:t>产权、产籍档案证明</w:t>
      </w:r>
      <w:r>
        <w:rPr>
          <w:rFonts w:hint="eastAsia" w:ascii="仿宋_GB2312" w:eastAsia="仿宋_GB2312"/>
          <w:color w:val="auto"/>
          <w:szCs w:val="28"/>
        </w:rPr>
        <w:t>（</w:t>
      </w:r>
      <w:r>
        <w:rPr>
          <w:rFonts w:hint="eastAsia" w:ascii="仿宋_GB2312" w:eastAsia="仿宋_GB2312"/>
          <w:color w:val="auto"/>
          <w:szCs w:val="28"/>
          <w:lang w:eastAsia="zh-CN"/>
        </w:rPr>
        <w:t>复印件</w:t>
      </w:r>
      <w:r>
        <w:rPr>
          <w:rFonts w:hint="eastAsia" w:ascii="仿宋_GB2312" w:eastAsia="仿宋_GB2312"/>
          <w:color w:val="auto"/>
          <w:szCs w:val="28"/>
        </w:rPr>
        <w:t>）</w:t>
      </w:r>
      <w:r>
        <w:rPr>
          <w:rFonts w:hint="eastAsia" w:ascii="仿宋_GB2312" w:eastAsia="仿宋_GB2312"/>
          <w:color w:val="auto"/>
          <w:szCs w:val="28"/>
          <w:lang w:eastAsia="zh-CN"/>
        </w:rPr>
        <w:t>。</w:t>
      </w:r>
    </w:p>
    <w:p>
      <w:pPr>
        <w:keepNext w:val="0"/>
        <w:keepLines w:val="0"/>
        <w:pageBreakBefore w:val="0"/>
        <w:kinsoku/>
        <w:wordWrap/>
        <w:overflowPunct/>
        <w:topLinePunct w:val="0"/>
        <w:bidi w:val="0"/>
        <w:snapToGrid/>
        <w:spacing w:line="480" w:lineRule="exact"/>
        <w:ind w:firstLine="560" w:firstLineChars="200"/>
        <w:rPr>
          <w:rFonts w:ascii="仿宋_GB2312" w:hAnsi="宋体" w:eastAsia="仿宋_GB2312"/>
          <w:color w:val="auto"/>
          <w:spacing w:val="0"/>
          <w:szCs w:val="28"/>
        </w:rPr>
      </w:pPr>
      <w:r>
        <w:rPr>
          <w:rFonts w:hint="eastAsia" w:ascii="仿宋_GB2312" w:hAnsi="宋体" w:eastAsia="仿宋_GB2312"/>
          <w:color w:val="auto"/>
          <w:spacing w:val="0"/>
          <w:szCs w:val="28"/>
        </w:rPr>
        <w:t>4、估价机构掌握的有关资料和估价人员实地查勘、调查所获取的资料等。</w:t>
      </w:r>
    </w:p>
    <w:p>
      <w:pPr>
        <w:pStyle w:val="3"/>
        <w:keepLines w:val="0"/>
        <w:pageBreakBefore w:val="0"/>
        <w:kinsoku/>
        <w:wordWrap/>
        <w:overflowPunct/>
        <w:topLinePunct w:val="0"/>
        <w:bidi w:val="0"/>
        <w:snapToGrid/>
        <w:spacing w:line="480" w:lineRule="exact"/>
        <w:rPr>
          <w:color w:val="auto"/>
        </w:rPr>
      </w:pPr>
      <w:bookmarkStart w:id="16" w:name="_Toc14005"/>
      <w:r>
        <w:rPr>
          <w:rFonts w:hint="eastAsia"/>
          <w:color w:val="auto"/>
        </w:rPr>
        <w:t>九、估价方法</w:t>
      </w:r>
      <w:bookmarkEnd w:id="16"/>
    </w:p>
    <w:p>
      <w:pPr>
        <w:pStyle w:val="18"/>
        <w:keepNext w:val="0"/>
        <w:keepLines w:val="0"/>
        <w:pageBreakBefore w:val="0"/>
        <w:widowControl w:val="0"/>
        <w:kinsoku/>
        <w:wordWrap/>
        <w:overflowPunct/>
        <w:topLinePunct w:val="0"/>
        <w:autoSpaceDE/>
        <w:autoSpaceDN/>
        <w:bidi w:val="0"/>
        <w:adjustRightInd w:val="0"/>
        <w:snapToGrid/>
        <w:spacing w:line="480" w:lineRule="exact"/>
        <w:ind w:firstLine="601"/>
        <w:textAlignment w:val="baseline"/>
        <w:outlineLvl w:val="9"/>
        <w:rPr>
          <w:rFonts w:ascii="仿宋_GB2312" w:eastAsia="仿宋_GB2312"/>
          <w:color w:val="auto"/>
        </w:rPr>
      </w:pPr>
      <w:r>
        <w:rPr>
          <w:rFonts w:hint="eastAsia" w:ascii="仿宋_GB2312" w:eastAsia="仿宋_GB2312"/>
          <w:color w:val="auto"/>
          <w:spacing w:val="0"/>
        </w:rPr>
        <w:t>根据估价对象的特点，估价对象处于成熟的</w:t>
      </w:r>
      <w:r>
        <w:rPr>
          <w:rFonts w:hint="eastAsia" w:ascii="仿宋_GB2312" w:eastAsia="仿宋_GB2312"/>
          <w:color w:val="auto"/>
          <w:spacing w:val="0"/>
          <w:lang w:eastAsia="zh-CN"/>
        </w:rPr>
        <w:t>商圈</w:t>
      </w:r>
      <w:r>
        <w:rPr>
          <w:rFonts w:hint="eastAsia" w:ascii="仿宋_GB2312" w:eastAsia="仿宋_GB2312"/>
          <w:color w:val="auto"/>
          <w:spacing w:val="0"/>
        </w:rPr>
        <w:t>，周边类似物业交易案例很多，且估价对象属于收益型房地产，故本次评估采用</w:t>
      </w:r>
      <w:r>
        <w:rPr>
          <w:rFonts w:hint="eastAsia" w:ascii="仿宋_GB2312" w:eastAsia="仿宋_GB2312"/>
          <w:color w:val="auto"/>
          <w:spacing w:val="0"/>
          <w:lang w:eastAsia="zh-CN"/>
        </w:rPr>
        <w:t>市场</w:t>
      </w:r>
      <w:r>
        <w:rPr>
          <w:rFonts w:hint="eastAsia" w:ascii="仿宋_GB2312" w:eastAsia="仿宋_GB2312"/>
          <w:color w:val="auto"/>
          <w:spacing w:val="0"/>
        </w:rPr>
        <w:t>比较法和收益法分别求取估价对象房地产价值；</w:t>
      </w:r>
      <w:r>
        <w:rPr>
          <w:rFonts w:hint="eastAsia" w:ascii="仿宋_GB2312" w:eastAsia="仿宋_GB2312"/>
          <w:color w:val="auto"/>
        </w:rPr>
        <w:t>然后根据各种方法评估价值与市场价值的接近程度对其赋予不同权重进行加权平均求得估价对象房地产评估价值。</w:t>
      </w:r>
    </w:p>
    <w:p>
      <w:pPr>
        <w:pStyle w:val="18"/>
        <w:keepNext w:val="0"/>
        <w:keepLines w:val="0"/>
        <w:pageBreakBefore w:val="0"/>
        <w:widowControl w:val="0"/>
        <w:kinsoku/>
        <w:wordWrap/>
        <w:overflowPunct/>
        <w:topLinePunct w:val="0"/>
        <w:autoSpaceDE/>
        <w:autoSpaceDN/>
        <w:bidi w:val="0"/>
        <w:adjustRightInd w:val="0"/>
        <w:snapToGrid/>
        <w:spacing w:line="480" w:lineRule="exact"/>
        <w:textAlignment w:val="baseline"/>
        <w:outlineLvl w:val="9"/>
        <w:rPr>
          <w:rFonts w:ascii="仿宋_GB2312" w:eastAsia="仿宋_GB2312"/>
          <w:color w:val="auto"/>
        </w:rPr>
      </w:pPr>
      <w:r>
        <w:rPr>
          <w:rFonts w:hint="eastAsia" w:ascii="仿宋_GB2312" w:eastAsia="仿宋_GB2312"/>
          <w:color w:val="auto"/>
          <w:lang w:eastAsia="zh-CN"/>
        </w:rPr>
        <w:t>市场</w:t>
      </w:r>
      <w:r>
        <w:rPr>
          <w:rFonts w:hint="eastAsia" w:ascii="仿宋_GB2312" w:eastAsia="仿宋_GB2312"/>
          <w:color w:val="auto"/>
        </w:rPr>
        <w:t>比较法定义：选取一定数量的可比实例，将它们与估价对象进行比较，根据其间的差异对可比实例成交价格进行处理后得到估价对象价值或价格的方法。</w:t>
      </w:r>
    </w:p>
    <w:p>
      <w:pPr>
        <w:keepNext w:val="0"/>
        <w:keepLines w:val="0"/>
        <w:pageBreakBefore w:val="0"/>
        <w:widowControl w:val="0"/>
        <w:kinsoku/>
        <w:wordWrap/>
        <w:overflowPunct/>
        <w:topLinePunct w:val="0"/>
        <w:autoSpaceDE/>
        <w:autoSpaceDN/>
        <w:bidi w:val="0"/>
        <w:adjustRightInd w:val="0"/>
        <w:snapToGrid/>
        <w:spacing w:line="480" w:lineRule="exact"/>
        <w:ind w:firstLine="600" w:firstLineChars="200"/>
        <w:textAlignment w:val="baseline"/>
        <w:outlineLvl w:val="9"/>
        <w:rPr>
          <w:rFonts w:ascii="仿宋_GB2312" w:eastAsia="仿宋_GB2312"/>
          <w:color w:val="auto"/>
          <w:szCs w:val="28"/>
        </w:rPr>
      </w:pPr>
      <w:r>
        <w:rPr>
          <w:rFonts w:hint="eastAsia" w:ascii="仿宋_GB2312" w:eastAsia="仿宋_GB2312"/>
          <w:color w:val="auto"/>
          <w:szCs w:val="28"/>
        </w:rPr>
        <w:t>收益法定义：</w:t>
      </w:r>
      <w:r>
        <w:rPr>
          <w:rFonts w:hint="eastAsia" w:ascii="仿宋_GB2312" w:eastAsia="仿宋_GB2312"/>
          <w:color w:val="auto"/>
        </w:rPr>
        <w:t>预期估价对象的未来收益，利用报酬率或资本化率，收益乘数将未来收益转换为价值得到估价对象价值或价格的方法</w:t>
      </w:r>
      <w:r>
        <w:rPr>
          <w:rFonts w:hint="eastAsia" w:ascii="仿宋_GB2312" w:eastAsia="仿宋_GB2312"/>
          <w:color w:val="auto"/>
          <w:szCs w:val="28"/>
        </w:rPr>
        <w:t>。</w:t>
      </w:r>
    </w:p>
    <w:p>
      <w:pPr>
        <w:pStyle w:val="3"/>
        <w:keepLines w:val="0"/>
        <w:pageBreakBefore w:val="0"/>
        <w:kinsoku/>
        <w:wordWrap/>
        <w:overflowPunct/>
        <w:topLinePunct w:val="0"/>
        <w:bidi w:val="0"/>
        <w:snapToGrid/>
        <w:spacing w:line="480" w:lineRule="exact"/>
        <w:rPr>
          <w:color w:val="auto"/>
        </w:rPr>
      </w:pPr>
      <w:bookmarkStart w:id="17" w:name="_Toc24541"/>
      <w:r>
        <w:rPr>
          <w:rFonts w:hint="eastAsia"/>
          <w:color w:val="auto"/>
        </w:rPr>
        <w:t>十、估价结果</w:t>
      </w:r>
      <w:bookmarkEnd w:id="17"/>
    </w:p>
    <w:p>
      <w:pPr>
        <w:keepNext w:val="0"/>
        <w:keepLines w:val="0"/>
        <w:pageBreakBefore w:val="0"/>
        <w:kinsoku/>
        <w:wordWrap/>
        <w:overflowPunct/>
        <w:topLinePunct w:val="0"/>
        <w:autoSpaceDE w:val="0"/>
        <w:autoSpaceDN w:val="0"/>
        <w:bidi w:val="0"/>
        <w:snapToGrid/>
        <w:spacing w:line="480" w:lineRule="exact"/>
        <w:ind w:firstLine="560" w:firstLineChars="200"/>
        <w:rPr>
          <w:rFonts w:hint="eastAsia" w:ascii="仿宋_GB2312" w:eastAsia="仿宋_GB2312"/>
          <w:color w:val="auto"/>
          <w:szCs w:val="28"/>
        </w:rPr>
      </w:pPr>
      <w:bookmarkStart w:id="18" w:name="_Toc318812514"/>
      <w:r>
        <w:rPr>
          <w:rFonts w:hint="eastAsia" w:ascii="仿宋_GB2312" w:hAnsi="宋体" w:eastAsia="仿宋_GB2312"/>
          <w:color w:val="auto"/>
          <w:spacing w:val="0"/>
          <w:szCs w:val="28"/>
        </w:rPr>
        <w:t>估价人员根据估价目的，遵循估价原则，按照估价程序，采用科学的估价方法，在认真分析现有资料的基础上，经过周密准确的测算，并结合估价经验与对影响房地产价格因素的分析，估价对象</w:t>
      </w:r>
      <w:r>
        <w:rPr>
          <w:rFonts w:hint="eastAsia" w:ascii="仿宋_GB2312" w:hAnsi="宋体" w:eastAsia="仿宋_GB2312"/>
          <w:color w:val="auto"/>
          <w:spacing w:val="0"/>
          <w:szCs w:val="28"/>
          <w:lang w:eastAsia="zh-CN"/>
        </w:rPr>
        <w:t>在</w:t>
      </w:r>
      <w:r>
        <w:rPr>
          <w:rFonts w:hint="eastAsia" w:ascii="仿宋_GB2312" w:hAnsi="宋体" w:eastAsia="仿宋_GB2312"/>
          <w:color w:val="auto"/>
          <w:spacing w:val="0"/>
          <w:szCs w:val="28"/>
        </w:rPr>
        <w:t>价值时点的</w:t>
      </w:r>
      <w:r>
        <w:rPr>
          <w:rFonts w:hint="eastAsia" w:ascii="仿宋_GB2312" w:eastAsia="仿宋_GB2312"/>
          <w:color w:val="auto"/>
          <w:szCs w:val="28"/>
        </w:rPr>
        <w:t>房地产评估</w:t>
      </w:r>
      <w:r>
        <w:rPr>
          <w:rFonts w:hint="eastAsia" w:ascii="仿宋_GB2312" w:eastAsia="仿宋_GB2312"/>
          <w:color w:val="auto"/>
          <w:szCs w:val="28"/>
          <w:lang w:eastAsia="zh-CN"/>
        </w:rPr>
        <w:t>总</w:t>
      </w:r>
      <w:r>
        <w:rPr>
          <w:rFonts w:hint="eastAsia" w:ascii="仿宋_GB2312" w:eastAsia="仿宋_GB2312"/>
          <w:color w:val="auto"/>
          <w:szCs w:val="28"/>
        </w:rPr>
        <w:t>价值为</w:t>
      </w:r>
      <w:r>
        <w:rPr>
          <w:rFonts w:hint="eastAsia" w:ascii="仿宋_GB2312" w:eastAsia="仿宋_GB2312"/>
          <w:color w:val="auto"/>
          <w:szCs w:val="28"/>
          <w:lang w:val="en-US" w:eastAsia="zh-CN"/>
        </w:rPr>
        <w:t>255.56</w:t>
      </w:r>
      <w:r>
        <w:rPr>
          <w:rFonts w:hint="eastAsia" w:ascii="仿宋_GB2312" w:eastAsia="仿宋_GB2312"/>
          <w:color w:val="auto"/>
          <w:szCs w:val="28"/>
        </w:rPr>
        <w:t>万元，大写金额为人民币</w:t>
      </w:r>
      <w:r>
        <w:rPr>
          <w:rFonts w:hint="eastAsia" w:ascii="仿宋_GB2312" w:eastAsia="仿宋_GB2312"/>
          <w:color w:val="auto"/>
          <w:szCs w:val="28"/>
        </w:rPr>
        <w:fldChar w:fldCharType="begin"/>
      </w:r>
      <w:r>
        <w:rPr>
          <w:rFonts w:hint="eastAsia" w:ascii="仿宋_GB2312" w:eastAsia="仿宋_GB2312"/>
          <w:color w:val="auto"/>
          <w:szCs w:val="28"/>
        </w:rPr>
        <w:instrText xml:space="preserve"> = 2555600 \* CHINESENUM2 \* MERGEFORMAT </w:instrText>
      </w:r>
      <w:r>
        <w:rPr>
          <w:rFonts w:hint="eastAsia" w:ascii="仿宋_GB2312" w:eastAsia="仿宋_GB2312"/>
          <w:color w:val="auto"/>
          <w:szCs w:val="28"/>
        </w:rPr>
        <w:fldChar w:fldCharType="separate"/>
      </w:r>
      <w:r>
        <w:rPr>
          <w:rFonts w:hint="eastAsia" w:ascii="仿宋_GB2312" w:eastAsia="仿宋_GB2312"/>
          <w:color w:val="auto"/>
          <w:szCs w:val="28"/>
        </w:rPr>
        <w:t>贰佰伍拾伍万伍仟陆佰</w:t>
      </w:r>
      <w:r>
        <w:rPr>
          <w:rFonts w:hint="eastAsia" w:ascii="仿宋_GB2312" w:eastAsia="仿宋_GB2312"/>
          <w:color w:val="auto"/>
          <w:szCs w:val="28"/>
        </w:rPr>
        <w:fldChar w:fldCharType="end"/>
      </w:r>
      <w:r>
        <w:rPr>
          <w:rFonts w:hint="eastAsia" w:ascii="仿宋_GB2312" w:eastAsia="仿宋_GB2312"/>
          <w:color w:val="auto"/>
          <w:szCs w:val="28"/>
        </w:rPr>
        <w:t>元整。</w:t>
      </w:r>
    </w:p>
    <w:bookmarkEnd w:id="18"/>
    <w:p>
      <w:pPr>
        <w:pStyle w:val="3"/>
        <w:rPr>
          <w:color w:val="auto"/>
        </w:rPr>
      </w:pPr>
      <w:bookmarkStart w:id="19" w:name="_Toc26043"/>
      <w:r>
        <w:rPr>
          <w:rFonts w:hint="eastAsia"/>
          <w:color w:val="auto"/>
        </w:rPr>
        <w:t>十一、注册房地产估价师</w:t>
      </w:r>
      <w:bookmarkEnd w:id="19"/>
    </w:p>
    <w:tbl>
      <w:tblPr>
        <w:tblStyle w:val="36"/>
        <w:tblW w:w="9795" w:type="dxa"/>
        <w:tblInd w:w="-341"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1710"/>
        <w:gridCol w:w="3810"/>
        <w:gridCol w:w="300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1275" w:type="dxa"/>
            <w:shd w:val="clear" w:color="auto" w:fill="auto"/>
            <w:vAlign w:val="center"/>
          </w:tcPr>
          <w:p>
            <w:pPr>
              <w:pStyle w:val="16"/>
              <w:keepNext w:val="0"/>
              <w:keepLines w:val="0"/>
              <w:pageBreakBefore w:val="0"/>
              <w:widowControl w:val="0"/>
              <w:kinsoku/>
              <w:wordWrap/>
              <w:overflowPunct/>
              <w:topLinePunct w:val="0"/>
              <w:autoSpaceDE/>
              <w:autoSpaceDN/>
              <w:bidi w:val="0"/>
              <w:adjustRightInd/>
              <w:snapToGrid w:val="0"/>
              <w:spacing w:line="380" w:lineRule="exact"/>
              <w:jc w:val="center"/>
              <w:textAlignment w:val="auto"/>
              <w:outlineLvl w:val="9"/>
              <w:rPr>
                <w:rFonts w:ascii="仿宋_GB2312" w:hAnsi="宋体" w:eastAsia="仿宋_GB2312"/>
                <w:b/>
                <w:color w:val="auto"/>
                <w:sz w:val="24"/>
                <w:szCs w:val="24"/>
              </w:rPr>
            </w:pPr>
            <w:r>
              <w:rPr>
                <w:rFonts w:hint="eastAsia" w:ascii="仿宋_GB2312" w:hAnsi="宋体" w:eastAsia="仿宋_GB2312"/>
                <w:b/>
                <w:color w:val="auto"/>
                <w:sz w:val="24"/>
                <w:szCs w:val="24"/>
              </w:rPr>
              <w:t>姓名</w:t>
            </w:r>
          </w:p>
        </w:tc>
        <w:tc>
          <w:tcPr>
            <w:tcW w:w="1710" w:type="dxa"/>
            <w:shd w:val="clear" w:color="auto" w:fill="auto"/>
            <w:vAlign w:val="center"/>
          </w:tcPr>
          <w:p>
            <w:pPr>
              <w:pStyle w:val="16"/>
              <w:keepNext w:val="0"/>
              <w:keepLines w:val="0"/>
              <w:pageBreakBefore w:val="0"/>
              <w:widowControl w:val="0"/>
              <w:kinsoku/>
              <w:wordWrap/>
              <w:overflowPunct/>
              <w:topLinePunct w:val="0"/>
              <w:autoSpaceDE/>
              <w:autoSpaceDN/>
              <w:bidi w:val="0"/>
              <w:adjustRightInd/>
              <w:snapToGrid w:val="0"/>
              <w:spacing w:line="380" w:lineRule="exact"/>
              <w:jc w:val="center"/>
              <w:textAlignment w:val="auto"/>
              <w:outlineLvl w:val="9"/>
              <w:rPr>
                <w:rFonts w:ascii="仿宋_GB2312" w:hAnsi="宋体" w:eastAsia="仿宋_GB2312"/>
                <w:b/>
                <w:color w:val="auto"/>
                <w:sz w:val="24"/>
                <w:szCs w:val="24"/>
              </w:rPr>
            </w:pPr>
            <w:r>
              <w:rPr>
                <w:rFonts w:hint="eastAsia" w:ascii="仿宋_GB2312" w:hAnsi="宋体" w:eastAsia="仿宋_GB2312"/>
                <w:b/>
                <w:color w:val="auto"/>
                <w:sz w:val="24"/>
                <w:szCs w:val="24"/>
              </w:rPr>
              <w:t>注册号</w:t>
            </w:r>
          </w:p>
        </w:tc>
        <w:tc>
          <w:tcPr>
            <w:tcW w:w="3810" w:type="dxa"/>
            <w:shd w:val="clear" w:color="auto" w:fill="auto"/>
            <w:vAlign w:val="center"/>
          </w:tcPr>
          <w:p>
            <w:pPr>
              <w:pStyle w:val="16"/>
              <w:keepNext w:val="0"/>
              <w:keepLines w:val="0"/>
              <w:pageBreakBefore w:val="0"/>
              <w:widowControl w:val="0"/>
              <w:kinsoku/>
              <w:wordWrap/>
              <w:overflowPunct/>
              <w:topLinePunct w:val="0"/>
              <w:autoSpaceDE/>
              <w:autoSpaceDN/>
              <w:bidi w:val="0"/>
              <w:adjustRightInd/>
              <w:snapToGrid w:val="0"/>
              <w:spacing w:line="380" w:lineRule="exact"/>
              <w:jc w:val="center"/>
              <w:textAlignment w:val="auto"/>
              <w:outlineLvl w:val="9"/>
              <w:rPr>
                <w:rFonts w:ascii="仿宋_GB2312" w:hAnsi="宋体" w:eastAsia="仿宋_GB2312"/>
                <w:b/>
                <w:color w:val="auto"/>
                <w:sz w:val="24"/>
                <w:szCs w:val="24"/>
              </w:rPr>
            </w:pPr>
            <w:r>
              <w:rPr>
                <w:rFonts w:hint="eastAsia" w:ascii="仿宋_GB2312" w:hAnsi="宋体" w:eastAsia="仿宋_GB2312"/>
                <w:b/>
                <w:color w:val="auto"/>
                <w:sz w:val="24"/>
                <w:szCs w:val="24"/>
              </w:rPr>
              <w:t>签名</w:t>
            </w:r>
          </w:p>
        </w:tc>
        <w:tc>
          <w:tcPr>
            <w:tcW w:w="3000" w:type="dxa"/>
            <w:vAlign w:val="center"/>
          </w:tcPr>
          <w:p>
            <w:pPr>
              <w:pStyle w:val="16"/>
              <w:keepNext w:val="0"/>
              <w:keepLines w:val="0"/>
              <w:pageBreakBefore w:val="0"/>
              <w:widowControl w:val="0"/>
              <w:kinsoku/>
              <w:wordWrap/>
              <w:overflowPunct/>
              <w:topLinePunct w:val="0"/>
              <w:autoSpaceDE/>
              <w:autoSpaceDN/>
              <w:bidi w:val="0"/>
              <w:adjustRightInd/>
              <w:snapToGrid w:val="0"/>
              <w:spacing w:line="380" w:lineRule="exact"/>
              <w:jc w:val="center"/>
              <w:textAlignment w:val="auto"/>
              <w:outlineLvl w:val="9"/>
              <w:rPr>
                <w:rFonts w:ascii="仿宋_GB2312" w:hAnsi="宋体" w:eastAsia="仿宋_GB2312"/>
                <w:b/>
                <w:color w:val="auto"/>
                <w:sz w:val="24"/>
                <w:szCs w:val="24"/>
              </w:rPr>
            </w:pPr>
            <w:r>
              <w:rPr>
                <w:rFonts w:hint="eastAsia" w:ascii="仿宋_GB2312" w:hAnsi="宋体" w:eastAsia="仿宋_GB2312"/>
                <w:b/>
                <w:color w:val="auto"/>
                <w:sz w:val="24"/>
                <w:szCs w:val="24"/>
              </w:rPr>
              <w:t>签名日期</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trPr>
        <w:tc>
          <w:tcPr>
            <w:tcW w:w="1275" w:type="dxa"/>
            <w:shd w:val="clear" w:color="auto" w:fill="auto"/>
            <w:vAlign w:val="center"/>
          </w:tcPr>
          <w:p>
            <w:pPr>
              <w:pStyle w:val="16"/>
              <w:keepNext w:val="0"/>
              <w:keepLines w:val="0"/>
              <w:pageBreakBefore w:val="0"/>
              <w:widowControl w:val="0"/>
              <w:kinsoku/>
              <w:wordWrap/>
              <w:overflowPunct/>
              <w:topLinePunct w:val="0"/>
              <w:autoSpaceDE/>
              <w:autoSpaceDN/>
              <w:bidi w:val="0"/>
              <w:adjustRightInd/>
              <w:snapToGrid w:val="0"/>
              <w:spacing w:line="380" w:lineRule="exact"/>
              <w:jc w:val="center"/>
              <w:textAlignment w:val="auto"/>
              <w:outlineLvl w:val="9"/>
              <w:rPr>
                <w:rFonts w:ascii="仿宋_GB2312" w:hAnsi="宋体" w:eastAsia="仿宋_GB2312"/>
                <w:color w:val="auto"/>
                <w:sz w:val="24"/>
                <w:szCs w:val="24"/>
              </w:rPr>
            </w:pPr>
            <w:r>
              <w:rPr>
                <w:rFonts w:hint="eastAsia" w:ascii="仿宋_GB2312" w:hAnsi="宋体" w:eastAsia="仿宋_GB2312"/>
                <w:color w:val="auto"/>
                <w:sz w:val="24"/>
                <w:szCs w:val="24"/>
              </w:rPr>
              <w:t>韩</w:t>
            </w:r>
            <w:r>
              <w:rPr>
                <w:rFonts w:hint="eastAsia" w:ascii="仿宋_GB2312" w:hAnsi="宋体" w:eastAsia="仿宋_GB2312"/>
                <w:color w:val="auto"/>
                <w:sz w:val="24"/>
                <w:szCs w:val="24"/>
                <w:lang w:val="en-US" w:eastAsia="zh-CN"/>
              </w:rPr>
              <w:t xml:space="preserve"> </w:t>
            </w:r>
            <w:r>
              <w:rPr>
                <w:rFonts w:hint="eastAsia" w:ascii="仿宋_GB2312" w:hAnsi="宋体" w:eastAsia="仿宋_GB2312"/>
                <w:color w:val="auto"/>
                <w:sz w:val="24"/>
                <w:szCs w:val="24"/>
              </w:rPr>
              <w:t>颖</w:t>
            </w:r>
          </w:p>
        </w:tc>
        <w:tc>
          <w:tcPr>
            <w:tcW w:w="1710" w:type="dxa"/>
            <w:shd w:val="clear" w:color="auto" w:fill="auto"/>
            <w:vAlign w:val="center"/>
          </w:tcPr>
          <w:p>
            <w:pPr>
              <w:pStyle w:val="16"/>
              <w:keepNext w:val="0"/>
              <w:keepLines w:val="0"/>
              <w:pageBreakBefore w:val="0"/>
              <w:widowControl w:val="0"/>
              <w:kinsoku/>
              <w:wordWrap/>
              <w:overflowPunct/>
              <w:topLinePunct w:val="0"/>
              <w:autoSpaceDE/>
              <w:autoSpaceDN/>
              <w:bidi w:val="0"/>
              <w:adjustRightInd/>
              <w:snapToGrid w:val="0"/>
              <w:spacing w:line="380" w:lineRule="exact"/>
              <w:jc w:val="center"/>
              <w:textAlignment w:val="auto"/>
              <w:outlineLvl w:val="9"/>
              <w:rPr>
                <w:rFonts w:hint="eastAsia" w:ascii="仿宋_GB2312" w:hAnsi="宋体" w:eastAsia="仿宋_GB2312"/>
                <w:color w:val="auto"/>
                <w:sz w:val="24"/>
                <w:szCs w:val="24"/>
                <w:lang w:val="en-US" w:eastAsia="zh-CN"/>
              </w:rPr>
            </w:pPr>
            <w:r>
              <w:rPr>
                <w:rFonts w:hint="eastAsia" w:ascii="仿宋_GB2312" w:hAnsi="宋体" w:eastAsia="仿宋_GB2312"/>
                <w:color w:val="auto"/>
                <w:sz w:val="24"/>
                <w:szCs w:val="24"/>
                <w:lang w:val="en-US" w:eastAsia="zh-CN"/>
              </w:rPr>
              <w:t>3720020080</w:t>
            </w:r>
          </w:p>
        </w:tc>
        <w:tc>
          <w:tcPr>
            <w:tcW w:w="3810" w:type="dxa"/>
            <w:shd w:val="clear" w:color="auto" w:fill="auto"/>
            <w:vAlign w:val="center"/>
          </w:tcPr>
          <w:p>
            <w:pPr>
              <w:pStyle w:val="16"/>
              <w:keepNext w:val="0"/>
              <w:keepLines w:val="0"/>
              <w:pageBreakBefore w:val="0"/>
              <w:widowControl w:val="0"/>
              <w:kinsoku/>
              <w:wordWrap/>
              <w:overflowPunct/>
              <w:topLinePunct w:val="0"/>
              <w:autoSpaceDE/>
              <w:autoSpaceDN/>
              <w:bidi w:val="0"/>
              <w:adjustRightInd/>
              <w:snapToGrid w:val="0"/>
              <w:spacing w:line="380" w:lineRule="exact"/>
              <w:jc w:val="center"/>
              <w:textAlignment w:val="auto"/>
              <w:outlineLvl w:val="9"/>
              <w:rPr>
                <w:rFonts w:ascii="仿宋_GB2312" w:hAnsi="宋体" w:eastAsia="仿宋_GB2312"/>
                <w:color w:val="auto"/>
                <w:sz w:val="24"/>
                <w:szCs w:val="24"/>
              </w:rPr>
            </w:pPr>
          </w:p>
        </w:tc>
        <w:tc>
          <w:tcPr>
            <w:tcW w:w="3000" w:type="dxa"/>
            <w:vAlign w:val="center"/>
          </w:tcPr>
          <w:p>
            <w:pPr>
              <w:pStyle w:val="16"/>
              <w:keepNext w:val="0"/>
              <w:keepLines w:val="0"/>
              <w:pageBreakBefore w:val="0"/>
              <w:widowControl w:val="0"/>
              <w:kinsoku/>
              <w:wordWrap/>
              <w:overflowPunct/>
              <w:topLinePunct w:val="0"/>
              <w:autoSpaceDE/>
              <w:autoSpaceDN/>
              <w:bidi w:val="0"/>
              <w:adjustRightInd/>
              <w:snapToGrid w:val="0"/>
              <w:spacing w:line="380" w:lineRule="exact"/>
              <w:ind w:firstLine="480" w:firstLineChars="200"/>
              <w:jc w:val="both"/>
              <w:textAlignment w:val="auto"/>
              <w:outlineLvl w:val="9"/>
              <w:rPr>
                <w:rFonts w:ascii="仿宋_GB2312" w:hAnsi="宋体" w:eastAsia="仿宋_GB2312"/>
                <w:color w:val="auto"/>
                <w:sz w:val="24"/>
                <w:szCs w:val="24"/>
              </w:rPr>
            </w:pPr>
            <w:r>
              <w:rPr>
                <w:rFonts w:hint="eastAsia" w:ascii="仿宋_GB2312" w:hAnsi="宋体" w:eastAsia="仿宋_GB2312"/>
                <w:color w:val="auto"/>
                <w:sz w:val="24"/>
                <w:szCs w:val="24"/>
              </w:rPr>
              <w:t>年     月     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5" w:hRule="atLeast"/>
        </w:trPr>
        <w:tc>
          <w:tcPr>
            <w:tcW w:w="1275" w:type="dxa"/>
            <w:shd w:val="clear" w:color="auto" w:fill="auto"/>
            <w:vAlign w:val="center"/>
          </w:tcPr>
          <w:p>
            <w:pPr>
              <w:pStyle w:val="16"/>
              <w:keepNext w:val="0"/>
              <w:keepLines w:val="0"/>
              <w:pageBreakBefore w:val="0"/>
              <w:widowControl w:val="0"/>
              <w:kinsoku/>
              <w:wordWrap/>
              <w:overflowPunct/>
              <w:topLinePunct w:val="0"/>
              <w:autoSpaceDE/>
              <w:autoSpaceDN/>
              <w:bidi w:val="0"/>
              <w:adjustRightInd/>
              <w:snapToGrid w:val="0"/>
              <w:spacing w:line="380" w:lineRule="exact"/>
              <w:jc w:val="center"/>
              <w:textAlignment w:val="auto"/>
              <w:outlineLvl w:val="9"/>
              <w:rPr>
                <w:rFonts w:hint="eastAsia" w:ascii="仿宋_GB2312" w:hAnsi="宋体" w:eastAsia="仿宋_GB2312"/>
                <w:color w:val="auto"/>
                <w:sz w:val="24"/>
                <w:szCs w:val="24"/>
                <w:lang w:eastAsia="zh-CN"/>
              </w:rPr>
            </w:pPr>
            <w:r>
              <w:rPr>
                <w:rFonts w:hint="eastAsia" w:ascii="仿宋_GB2312" w:hAnsi="宋体" w:eastAsia="仿宋_GB2312"/>
                <w:color w:val="auto"/>
                <w:sz w:val="24"/>
                <w:szCs w:val="24"/>
                <w:lang w:eastAsia="zh-CN"/>
              </w:rPr>
              <w:t>王</w:t>
            </w:r>
            <w:r>
              <w:rPr>
                <w:rFonts w:hint="eastAsia" w:ascii="仿宋_GB2312" w:hAnsi="宋体" w:eastAsia="仿宋_GB2312"/>
                <w:color w:val="auto"/>
                <w:sz w:val="24"/>
                <w:szCs w:val="24"/>
                <w:lang w:val="en-US" w:eastAsia="zh-CN"/>
              </w:rPr>
              <w:t xml:space="preserve"> </w:t>
            </w:r>
            <w:r>
              <w:rPr>
                <w:rFonts w:hint="eastAsia" w:ascii="仿宋_GB2312" w:hAnsi="宋体" w:eastAsia="仿宋_GB2312"/>
                <w:color w:val="auto"/>
                <w:sz w:val="24"/>
                <w:szCs w:val="24"/>
                <w:lang w:eastAsia="zh-CN"/>
              </w:rPr>
              <w:t>健</w:t>
            </w:r>
          </w:p>
        </w:tc>
        <w:tc>
          <w:tcPr>
            <w:tcW w:w="1710" w:type="dxa"/>
            <w:shd w:val="clear" w:color="auto" w:fill="auto"/>
            <w:vAlign w:val="center"/>
          </w:tcPr>
          <w:p>
            <w:pPr>
              <w:pStyle w:val="16"/>
              <w:keepNext w:val="0"/>
              <w:keepLines w:val="0"/>
              <w:pageBreakBefore w:val="0"/>
              <w:widowControl w:val="0"/>
              <w:kinsoku/>
              <w:wordWrap/>
              <w:overflowPunct/>
              <w:topLinePunct w:val="0"/>
              <w:autoSpaceDE/>
              <w:autoSpaceDN/>
              <w:bidi w:val="0"/>
              <w:adjustRightInd/>
              <w:snapToGrid w:val="0"/>
              <w:spacing w:line="380" w:lineRule="exact"/>
              <w:jc w:val="center"/>
              <w:textAlignment w:val="auto"/>
              <w:outlineLvl w:val="9"/>
              <w:rPr>
                <w:rFonts w:hint="eastAsia" w:ascii="仿宋_GB2312" w:hAnsi="宋体" w:eastAsia="仿宋_GB2312"/>
                <w:color w:val="auto"/>
                <w:sz w:val="24"/>
                <w:szCs w:val="24"/>
                <w:lang w:val="en-US" w:eastAsia="zh-CN"/>
              </w:rPr>
            </w:pPr>
            <w:r>
              <w:rPr>
                <w:rFonts w:hint="eastAsia" w:ascii="仿宋_GB2312" w:hAnsi="宋体" w:eastAsia="仿宋_GB2312"/>
                <w:color w:val="auto"/>
                <w:sz w:val="24"/>
                <w:szCs w:val="24"/>
                <w:lang w:val="en-US" w:eastAsia="zh-CN"/>
              </w:rPr>
              <w:t>3720080114</w:t>
            </w:r>
          </w:p>
        </w:tc>
        <w:tc>
          <w:tcPr>
            <w:tcW w:w="3810" w:type="dxa"/>
            <w:shd w:val="clear" w:color="auto" w:fill="auto"/>
            <w:vAlign w:val="center"/>
          </w:tcPr>
          <w:p>
            <w:pPr>
              <w:pStyle w:val="16"/>
              <w:keepNext w:val="0"/>
              <w:keepLines w:val="0"/>
              <w:pageBreakBefore w:val="0"/>
              <w:widowControl w:val="0"/>
              <w:kinsoku/>
              <w:wordWrap/>
              <w:overflowPunct/>
              <w:topLinePunct w:val="0"/>
              <w:autoSpaceDE/>
              <w:autoSpaceDN/>
              <w:bidi w:val="0"/>
              <w:adjustRightInd/>
              <w:snapToGrid w:val="0"/>
              <w:spacing w:line="380" w:lineRule="exact"/>
              <w:jc w:val="center"/>
              <w:textAlignment w:val="auto"/>
              <w:outlineLvl w:val="9"/>
              <w:rPr>
                <w:rFonts w:ascii="仿宋_GB2312" w:hAnsi="宋体" w:eastAsia="仿宋_GB2312"/>
                <w:color w:val="auto"/>
                <w:sz w:val="24"/>
                <w:szCs w:val="24"/>
              </w:rPr>
            </w:pPr>
          </w:p>
        </w:tc>
        <w:tc>
          <w:tcPr>
            <w:tcW w:w="3000" w:type="dxa"/>
            <w:vAlign w:val="center"/>
          </w:tcPr>
          <w:p>
            <w:pPr>
              <w:pStyle w:val="16"/>
              <w:keepNext w:val="0"/>
              <w:keepLines w:val="0"/>
              <w:pageBreakBefore w:val="0"/>
              <w:widowControl w:val="0"/>
              <w:kinsoku/>
              <w:wordWrap/>
              <w:overflowPunct/>
              <w:topLinePunct w:val="0"/>
              <w:autoSpaceDE/>
              <w:autoSpaceDN/>
              <w:bidi w:val="0"/>
              <w:adjustRightInd/>
              <w:snapToGrid w:val="0"/>
              <w:spacing w:line="380" w:lineRule="exact"/>
              <w:jc w:val="center"/>
              <w:textAlignment w:val="auto"/>
              <w:outlineLvl w:val="9"/>
              <w:rPr>
                <w:rFonts w:ascii="仿宋_GB2312" w:hAnsi="宋体" w:eastAsia="仿宋_GB2312"/>
                <w:color w:val="auto"/>
                <w:sz w:val="24"/>
                <w:szCs w:val="24"/>
              </w:rPr>
            </w:pPr>
            <w:r>
              <w:rPr>
                <w:rFonts w:hint="eastAsia" w:ascii="仿宋_GB2312" w:hAnsi="宋体" w:eastAsia="仿宋_GB2312"/>
                <w:color w:val="auto"/>
                <w:sz w:val="24"/>
                <w:szCs w:val="24"/>
              </w:rPr>
              <w:t>年     月     日</w:t>
            </w:r>
          </w:p>
        </w:tc>
      </w:tr>
    </w:tbl>
    <w:p>
      <w:pPr>
        <w:pStyle w:val="3"/>
        <w:rPr>
          <w:color w:val="auto"/>
        </w:rPr>
      </w:pPr>
      <w:bookmarkStart w:id="20" w:name="_Toc29007"/>
      <w:r>
        <w:rPr>
          <w:rFonts w:hint="eastAsia"/>
          <w:color w:val="auto"/>
        </w:rPr>
        <w:t>十二、实地查勘期</w:t>
      </w:r>
      <w:bookmarkEnd w:id="20"/>
      <w:r>
        <w:rPr>
          <w:rFonts w:hint="eastAsia"/>
          <w:color w:val="auto"/>
        </w:rPr>
        <w:t xml:space="preserve">   </w:t>
      </w:r>
    </w:p>
    <w:p>
      <w:pPr>
        <w:keepNext w:val="0"/>
        <w:keepLines w:val="0"/>
        <w:pageBreakBefore w:val="0"/>
        <w:kinsoku/>
        <w:overflowPunct/>
        <w:topLinePunct w:val="0"/>
        <w:bidi w:val="0"/>
        <w:spacing w:line="540" w:lineRule="exact"/>
        <w:ind w:firstLine="600" w:firstLineChars="200"/>
        <w:rPr>
          <w:rFonts w:ascii="仿宋_GB2312" w:eastAsia="仿宋_GB2312"/>
          <w:color w:val="auto"/>
          <w:szCs w:val="28"/>
        </w:rPr>
      </w:pPr>
      <w:r>
        <w:rPr>
          <w:rFonts w:hint="eastAsia" w:ascii="仿宋_GB2312" w:eastAsia="仿宋_GB2312"/>
          <w:color w:val="auto"/>
          <w:szCs w:val="28"/>
          <w:lang w:eastAsia="zh-CN"/>
        </w:rPr>
        <w:t>2019年1月24日</w:t>
      </w:r>
      <w:r>
        <w:rPr>
          <w:rFonts w:hint="eastAsia" w:ascii="仿宋_GB2312" w:eastAsia="仿宋_GB2312"/>
          <w:color w:val="auto"/>
          <w:szCs w:val="28"/>
        </w:rPr>
        <w:t>。</w:t>
      </w:r>
    </w:p>
    <w:p>
      <w:pPr>
        <w:keepNext w:val="0"/>
        <w:keepLines w:val="0"/>
        <w:pageBreakBefore w:val="0"/>
        <w:kinsoku/>
        <w:overflowPunct/>
        <w:topLinePunct w:val="0"/>
        <w:bidi w:val="0"/>
        <w:spacing w:line="540" w:lineRule="exact"/>
        <w:outlineLvl w:val="1"/>
        <w:rPr>
          <w:rFonts w:ascii="仿宋_GB2312" w:hAnsi="宋体" w:eastAsia="仿宋_GB2312"/>
          <w:b/>
          <w:bCs/>
          <w:color w:val="auto"/>
          <w:spacing w:val="0"/>
          <w:szCs w:val="28"/>
        </w:rPr>
      </w:pPr>
      <w:bookmarkStart w:id="21" w:name="_Toc21373"/>
      <w:bookmarkStart w:id="22" w:name="_Toc403995623"/>
      <w:r>
        <w:rPr>
          <w:rStyle w:val="74"/>
          <w:rFonts w:hint="eastAsia"/>
          <w:color w:val="auto"/>
        </w:rPr>
        <w:t>十三、估价作业期</w:t>
      </w:r>
      <w:bookmarkEnd w:id="21"/>
      <w:r>
        <w:rPr>
          <w:rStyle w:val="74"/>
          <w:rFonts w:hint="eastAsia"/>
          <w:color w:val="auto"/>
        </w:rPr>
        <w:t xml:space="preserve">  </w:t>
      </w:r>
      <w:r>
        <w:rPr>
          <w:rFonts w:hint="eastAsia" w:ascii="仿宋_GB2312" w:hAnsi="宋体" w:eastAsia="仿宋_GB2312"/>
          <w:b/>
          <w:bCs/>
          <w:color w:val="auto"/>
          <w:spacing w:val="0"/>
          <w:szCs w:val="28"/>
        </w:rPr>
        <w:t xml:space="preserve"> </w:t>
      </w:r>
    </w:p>
    <w:p>
      <w:pPr>
        <w:keepNext w:val="0"/>
        <w:keepLines w:val="0"/>
        <w:pageBreakBefore w:val="0"/>
        <w:kinsoku/>
        <w:overflowPunct/>
        <w:topLinePunct w:val="0"/>
        <w:bidi w:val="0"/>
        <w:spacing w:line="540" w:lineRule="exact"/>
        <w:ind w:firstLine="600" w:firstLineChars="200"/>
        <w:rPr>
          <w:rFonts w:hint="eastAsia" w:ascii="仿宋_GB2312" w:eastAsia="仿宋_GB2312"/>
          <w:color w:val="auto"/>
          <w:szCs w:val="28"/>
        </w:rPr>
      </w:pPr>
      <w:r>
        <w:rPr>
          <w:rFonts w:hint="eastAsia" w:ascii="仿宋_GB2312" w:eastAsia="仿宋_GB2312"/>
          <w:color w:val="auto"/>
          <w:szCs w:val="28"/>
        </w:rPr>
        <w:t>自</w:t>
      </w:r>
      <w:r>
        <w:rPr>
          <w:rFonts w:hint="eastAsia" w:ascii="仿宋_GB2312" w:eastAsia="仿宋_GB2312"/>
          <w:color w:val="auto"/>
          <w:szCs w:val="28"/>
          <w:lang w:eastAsia="zh-CN"/>
        </w:rPr>
        <w:t>2019年1月24日</w:t>
      </w:r>
      <w:r>
        <w:rPr>
          <w:rFonts w:hint="eastAsia" w:ascii="仿宋_GB2312" w:eastAsia="仿宋_GB2312"/>
          <w:color w:val="auto"/>
          <w:szCs w:val="28"/>
        </w:rPr>
        <w:t>起至</w:t>
      </w:r>
      <w:bookmarkEnd w:id="22"/>
      <w:r>
        <w:rPr>
          <w:rFonts w:hint="eastAsia" w:ascii="仿宋_GB2312" w:eastAsia="仿宋_GB2312"/>
          <w:color w:val="auto"/>
          <w:szCs w:val="28"/>
          <w:lang w:eastAsia="zh-CN"/>
        </w:rPr>
        <w:t>2019年1月28日</w:t>
      </w:r>
      <w:r>
        <w:rPr>
          <w:rFonts w:hint="eastAsia" w:ascii="仿宋_GB2312" w:eastAsia="仿宋_GB2312"/>
          <w:color w:val="auto"/>
          <w:szCs w:val="28"/>
        </w:rPr>
        <w:t>止。</w:t>
      </w:r>
    </w:p>
    <w:p>
      <w:pPr>
        <w:keepNext w:val="0"/>
        <w:keepLines w:val="0"/>
        <w:pageBreakBefore w:val="0"/>
        <w:kinsoku/>
        <w:overflowPunct/>
        <w:topLinePunct w:val="0"/>
        <w:bidi w:val="0"/>
        <w:spacing w:line="540" w:lineRule="exact"/>
        <w:ind w:firstLine="560" w:firstLineChars="200"/>
        <w:jc w:val="right"/>
        <w:rPr>
          <w:rFonts w:hint="eastAsia" w:ascii="仿宋_GB2312" w:hAnsi="宋体" w:eastAsia="仿宋_GB2312"/>
          <w:color w:val="auto"/>
          <w:spacing w:val="0"/>
          <w:szCs w:val="28"/>
        </w:rPr>
      </w:pPr>
    </w:p>
    <w:p>
      <w:pPr>
        <w:keepNext w:val="0"/>
        <w:keepLines w:val="0"/>
        <w:pageBreakBefore w:val="0"/>
        <w:kinsoku/>
        <w:overflowPunct/>
        <w:topLinePunct w:val="0"/>
        <w:bidi w:val="0"/>
        <w:spacing w:line="540" w:lineRule="exact"/>
        <w:ind w:firstLine="560" w:firstLineChars="200"/>
        <w:jc w:val="right"/>
        <w:rPr>
          <w:rFonts w:hint="eastAsia" w:ascii="仿宋_GB2312" w:hAnsi="宋体" w:eastAsia="仿宋_GB2312"/>
          <w:color w:val="auto"/>
          <w:spacing w:val="0"/>
          <w:szCs w:val="28"/>
        </w:rPr>
      </w:pPr>
      <w:r>
        <w:rPr>
          <w:rFonts w:hint="eastAsia" w:ascii="仿宋_GB2312" w:hAnsi="宋体" w:eastAsia="仿宋_GB2312"/>
          <w:color w:val="auto"/>
          <w:spacing w:val="0"/>
          <w:szCs w:val="28"/>
        </w:rPr>
        <w:t>山东明嘉正德土地房地产评估有限公司</w:t>
      </w:r>
    </w:p>
    <w:p>
      <w:pPr>
        <w:keepNext w:val="0"/>
        <w:keepLines w:val="0"/>
        <w:pageBreakBefore w:val="0"/>
        <w:kinsoku/>
        <w:overflowPunct/>
        <w:topLinePunct w:val="0"/>
        <w:bidi w:val="0"/>
        <w:spacing w:line="540" w:lineRule="exact"/>
        <w:ind w:firstLine="560" w:firstLineChars="200"/>
        <w:jc w:val="right"/>
        <w:rPr>
          <w:rFonts w:hint="eastAsia" w:ascii="仿宋_GB2312" w:eastAsia="仿宋_GB2312"/>
          <w:color w:val="auto"/>
          <w:spacing w:val="0"/>
          <w:szCs w:val="28"/>
          <w:lang w:eastAsia="zh-CN"/>
        </w:rPr>
      </w:pPr>
      <w:bookmarkStart w:id="23" w:name="_Toc318812518"/>
      <w:r>
        <w:rPr>
          <w:rFonts w:hint="eastAsia" w:ascii="仿宋_GB2312" w:hAnsi="宋体" w:eastAsia="仿宋_GB2312"/>
          <w:color w:val="auto"/>
          <w:spacing w:val="0"/>
          <w:szCs w:val="28"/>
          <w:lang w:eastAsia="zh-CN"/>
        </w:rPr>
        <w:t>二零一九年一月二十八日</w:t>
      </w:r>
    </w:p>
    <w:p>
      <w:pPr>
        <w:rPr>
          <w:rFonts w:hint="eastAsia" w:ascii="仿宋_GB2312" w:eastAsia="黑体"/>
          <w:b/>
          <w:color w:val="auto"/>
          <w:lang w:eastAsia="zh-CN"/>
        </w:rPr>
      </w:pPr>
      <w:r>
        <w:rPr>
          <w:rFonts w:hint="eastAsia" w:ascii="仿宋_GB2312" w:eastAsia="仿宋_GB2312"/>
          <w:color w:val="auto"/>
          <w:spacing w:val="0"/>
          <w:szCs w:val="28"/>
        </w:rPr>
        <w:br w:type="page"/>
      </w:r>
      <w:bookmarkEnd w:id="23"/>
    </w:p>
    <w:p>
      <w:pPr>
        <w:pStyle w:val="2"/>
        <w:numPr>
          <w:ilvl w:val="0"/>
          <w:numId w:val="0"/>
        </w:numPr>
        <w:tabs>
          <w:tab w:val="clear" w:pos="-510"/>
        </w:tabs>
        <w:ind w:left="-540" w:leftChars="0"/>
        <w:jc w:val="center"/>
        <w:rPr>
          <w:rFonts w:hint="eastAsia" w:eastAsia="黑体"/>
          <w:color w:val="auto"/>
          <w:lang w:val="en-US" w:eastAsia="zh-CN"/>
        </w:rPr>
      </w:pPr>
      <w:bookmarkStart w:id="24" w:name="_Toc18660"/>
      <w:r>
        <w:rPr>
          <w:rFonts w:hint="eastAsia"/>
          <w:color w:val="auto"/>
          <w:lang w:val="en-US" w:eastAsia="zh-CN"/>
        </w:rPr>
        <w:t>四、估价技术报告（估价机构留存）</w:t>
      </w:r>
      <w:bookmarkEnd w:id="24"/>
    </w:p>
    <w:p>
      <w:pPr>
        <w:pStyle w:val="2"/>
        <w:numPr>
          <w:ilvl w:val="0"/>
          <w:numId w:val="0"/>
        </w:numPr>
        <w:tabs>
          <w:tab w:val="clear" w:pos="-510"/>
        </w:tabs>
        <w:ind w:left="-540" w:leftChars="0"/>
        <w:jc w:val="center"/>
        <w:rPr>
          <w:color w:val="auto"/>
        </w:rPr>
      </w:pPr>
      <w:bookmarkStart w:id="25" w:name="_Toc21712"/>
      <w:r>
        <w:rPr>
          <w:rFonts w:hint="eastAsia"/>
          <w:color w:val="auto"/>
          <w:lang w:eastAsia="zh-CN"/>
        </w:rPr>
        <w:t>五、</w:t>
      </w:r>
      <w:r>
        <w:rPr>
          <w:rFonts w:hint="eastAsia"/>
          <w:color w:val="auto"/>
        </w:rPr>
        <w:t>附件</w:t>
      </w:r>
      <w:bookmarkEnd w:id="25"/>
    </w:p>
    <w:p>
      <w:pPr>
        <w:keepNext w:val="0"/>
        <w:keepLines w:val="0"/>
        <w:pageBreakBefore w:val="0"/>
        <w:kinsoku/>
        <w:overflowPunct/>
        <w:topLinePunct w:val="0"/>
        <w:bidi w:val="0"/>
        <w:spacing w:beforeLines="50" w:line="540" w:lineRule="exact"/>
        <w:ind w:firstLine="456" w:firstLineChars="152"/>
        <w:rPr>
          <w:rStyle w:val="34"/>
          <w:rFonts w:ascii="仿宋_GB2312" w:hAnsi="宋体" w:eastAsia="仿宋_GB2312"/>
          <w:bCs/>
          <w:color w:val="auto"/>
        </w:rPr>
      </w:pPr>
      <w:r>
        <w:rPr>
          <w:rFonts w:hint="eastAsia" w:ascii="仿宋_GB2312" w:eastAsia="仿宋_GB2312"/>
          <w:color w:val="auto"/>
          <w:szCs w:val="28"/>
        </w:rPr>
        <w:t>1、</w:t>
      </w:r>
      <w:r>
        <w:rPr>
          <w:rStyle w:val="34"/>
          <w:rFonts w:hint="eastAsia" w:ascii="仿宋_GB2312" w:hAnsi="宋体" w:eastAsia="仿宋_GB2312"/>
          <w:bCs/>
          <w:color w:val="auto"/>
        </w:rPr>
        <w:t xml:space="preserve"> </w:t>
      </w:r>
      <w:r>
        <w:rPr>
          <w:rStyle w:val="34"/>
          <w:rFonts w:hint="eastAsia" w:ascii="仿宋_GB2312" w:hAnsi="宋体" w:eastAsia="仿宋_GB2312"/>
          <w:bCs/>
          <w:color w:val="auto"/>
          <w:lang w:eastAsia="zh-CN"/>
        </w:rPr>
        <w:t>司法鉴定</w:t>
      </w:r>
      <w:r>
        <w:rPr>
          <w:rStyle w:val="34"/>
          <w:rFonts w:hint="eastAsia" w:ascii="仿宋_GB2312" w:hAnsi="宋体" w:eastAsia="仿宋_GB2312"/>
          <w:bCs/>
          <w:color w:val="auto"/>
        </w:rPr>
        <w:t>委托书复印件；</w:t>
      </w:r>
    </w:p>
    <w:p>
      <w:pPr>
        <w:keepNext w:val="0"/>
        <w:keepLines w:val="0"/>
        <w:pageBreakBefore w:val="0"/>
        <w:kinsoku/>
        <w:overflowPunct/>
        <w:topLinePunct w:val="0"/>
        <w:bidi w:val="0"/>
        <w:spacing w:beforeLines="50" w:line="540" w:lineRule="exact"/>
        <w:ind w:firstLine="456" w:firstLineChars="152"/>
        <w:rPr>
          <w:rFonts w:ascii="仿宋_GB2312" w:eastAsia="仿宋_GB2312"/>
          <w:color w:val="auto"/>
          <w:szCs w:val="28"/>
        </w:rPr>
      </w:pPr>
      <w:r>
        <w:rPr>
          <w:rStyle w:val="34"/>
          <w:rFonts w:hint="eastAsia" w:ascii="仿宋_GB2312" w:hAnsi="宋体" w:eastAsia="仿宋_GB2312"/>
          <w:bCs/>
          <w:color w:val="auto"/>
        </w:rPr>
        <w:t>2、</w:t>
      </w:r>
      <w:r>
        <w:rPr>
          <w:rFonts w:hint="eastAsia" w:ascii="仿宋_GB2312" w:eastAsia="仿宋_GB2312"/>
          <w:color w:val="auto"/>
          <w:szCs w:val="28"/>
        </w:rPr>
        <w:t>估价对象照片及位置图；</w:t>
      </w:r>
    </w:p>
    <w:p>
      <w:pPr>
        <w:keepNext w:val="0"/>
        <w:keepLines w:val="0"/>
        <w:pageBreakBefore w:val="0"/>
        <w:kinsoku/>
        <w:overflowPunct/>
        <w:topLinePunct w:val="0"/>
        <w:bidi w:val="0"/>
        <w:spacing w:beforeLines="50" w:line="540" w:lineRule="exact"/>
        <w:ind w:firstLine="456" w:firstLineChars="152"/>
        <w:rPr>
          <w:rFonts w:ascii="仿宋_GB2312" w:eastAsia="仿宋_GB2312"/>
          <w:color w:val="auto"/>
          <w:szCs w:val="28"/>
        </w:rPr>
      </w:pPr>
      <w:r>
        <w:rPr>
          <w:rFonts w:hint="eastAsia" w:ascii="仿宋_GB2312" w:eastAsia="仿宋_GB2312"/>
          <w:color w:val="auto"/>
        </w:rPr>
        <w:t>3、</w:t>
      </w:r>
      <w:r>
        <w:rPr>
          <w:rFonts w:hint="eastAsia" w:ascii="仿宋_GB2312" w:eastAsia="仿宋_GB2312"/>
          <w:color w:val="auto"/>
          <w:szCs w:val="28"/>
        </w:rPr>
        <w:t>产权证明文书复印件；</w:t>
      </w:r>
    </w:p>
    <w:p>
      <w:pPr>
        <w:keepNext w:val="0"/>
        <w:keepLines w:val="0"/>
        <w:pageBreakBefore w:val="0"/>
        <w:kinsoku/>
        <w:overflowPunct/>
        <w:topLinePunct w:val="0"/>
        <w:bidi w:val="0"/>
        <w:spacing w:beforeLines="50" w:line="540" w:lineRule="exact"/>
        <w:ind w:firstLine="456" w:firstLineChars="152"/>
        <w:rPr>
          <w:rFonts w:ascii="仿宋_GB2312" w:eastAsia="仿宋_GB2312"/>
          <w:color w:val="auto"/>
          <w:szCs w:val="28"/>
        </w:rPr>
      </w:pPr>
      <w:r>
        <w:rPr>
          <w:rFonts w:hint="eastAsia" w:ascii="仿宋_GB2312" w:eastAsia="仿宋_GB2312"/>
          <w:color w:val="auto"/>
          <w:szCs w:val="28"/>
        </w:rPr>
        <w:t>4、房地产估价机构营业执照；</w:t>
      </w:r>
    </w:p>
    <w:p>
      <w:pPr>
        <w:keepNext w:val="0"/>
        <w:keepLines w:val="0"/>
        <w:pageBreakBefore w:val="0"/>
        <w:kinsoku/>
        <w:overflowPunct/>
        <w:topLinePunct w:val="0"/>
        <w:bidi w:val="0"/>
        <w:spacing w:beforeLines="50" w:line="540" w:lineRule="exact"/>
        <w:ind w:firstLine="456" w:firstLineChars="152"/>
        <w:rPr>
          <w:rFonts w:ascii="仿宋_GB2312" w:eastAsia="仿宋_GB2312"/>
          <w:color w:val="auto"/>
          <w:szCs w:val="28"/>
        </w:rPr>
      </w:pPr>
      <w:r>
        <w:rPr>
          <w:rFonts w:hint="eastAsia" w:ascii="仿宋_GB2312" w:eastAsia="仿宋_GB2312"/>
          <w:color w:val="auto"/>
          <w:szCs w:val="28"/>
        </w:rPr>
        <w:t>5、房地产估价机构资质证书；</w:t>
      </w:r>
    </w:p>
    <w:p>
      <w:pPr>
        <w:keepNext w:val="0"/>
        <w:keepLines w:val="0"/>
        <w:pageBreakBefore w:val="0"/>
        <w:kinsoku/>
        <w:overflowPunct/>
        <w:topLinePunct w:val="0"/>
        <w:bidi w:val="0"/>
        <w:spacing w:beforeLines="50" w:line="540" w:lineRule="exact"/>
        <w:ind w:firstLine="456" w:firstLineChars="152"/>
        <w:rPr>
          <w:rFonts w:ascii="仿宋_GB2312" w:eastAsia="仿宋_GB2312"/>
          <w:color w:val="auto"/>
          <w:szCs w:val="28"/>
        </w:rPr>
      </w:pPr>
      <w:r>
        <w:rPr>
          <w:rFonts w:hint="eastAsia" w:ascii="仿宋_GB2312" w:eastAsia="仿宋_GB2312"/>
          <w:color w:val="auto"/>
          <w:szCs w:val="28"/>
        </w:rPr>
        <w:t>6、注册房地产估价师资格证书。</w:t>
      </w:r>
    </w:p>
    <w:p>
      <w:pPr>
        <w:keepNext w:val="0"/>
        <w:keepLines w:val="0"/>
        <w:pageBreakBefore w:val="0"/>
        <w:kinsoku/>
        <w:overflowPunct/>
        <w:topLinePunct w:val="0"/>
        <w:bidi w:val="0"/>
        <w:spacing w:line="540" w:lineRule="exact"/>
        <w:rPr>
          <w:rFonts w:ascii="仿宋_GB2312" w:eastAsia="仿宋_GB2312"/>
          <w:color w:val="auto"/>
        </w:rPr>
      </w:pPr>
    </w:p>
    <w:sectPr>
      <w:headerReference r:id="rId3" w:type="default"/>
      <w:footerReference r:id="rId4" w:type="default"/>
      <w:footerReference r:id="rId5" w:type="even"/>
      <w:pgSz w:w="11906" w:h="16838"/>
      <w:pgMar w:top="1418" w:right="1381" w:bottom="1242" w:left="1745" w:header="680" w:footer="1100" w:gutter="0"/>
      <w:pgNumType w:start="0"/>
      <w:cols w:space="425" w:num="1"/>
      <w:titlePg/>
      <w:docGrid w:type="lines" w:linePitch="414" w:charSpace="-98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华文宋体">
    <w:panose1 w:val="02010600040101010101"/>
    <w:charset w:val="86"/>
    <w:family w:val="auto"/>
    <w:pitch w:val="default"/>
    <w:sig w:usb0="00000287" w:usb1="080F0000" w:usb2="00000000" w:usb3="00000000" w:csb0="0004009F" w:csb1="DFD70000"/>
  </w:font>
  <w:font w:name="昆仑仿宋">
    <w:altName w:val="黑体"/>
    <w:panose1 w:val="00000000000000000000"/>
    <w:charset w:val="86"/>
    <w:family w:val="modern"/>
    <w:pitch w:val="default"/>
    <w:sig w:usb0="00000000" w:usb1="00000000" w:usb2="0000001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roman"/>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page" w:x="5814" w:y="102"/>
      <w:rPr>
        <w:rStyle w:val="32"/>
      </w:rPr>
    </w:pPr>
    <w:r>
      <w:rPr>
        <w:rStyle w:val="32"/>
      </w:rPr>
      <w:fldChar w:fldCharType="begin"/>
    </w:r>
    <w:r>
      <w:rPr>
        <w:rStyle w:val="32"/>
      </w:rPr>
      <w:instrText xml:space="preserve">PAGE  </w:instrText>
    </w:r>
    <w:r>
      <w:rPr>
        <w:rStyle w:val="32"/>
      </w:rPr>
      <w:fldChar w:fldCharType="separate"/>
    </w:r>
    <w:r>
      <w:rPr>
        <w:rStyle w:val="32"/>
      </w:rPr>
      <w:t>2</w:t>
    </w:r>
    <w:r>
      <w:rPr>
        <w:rStyle w:val="32"/>
      </w:rPr>
      <w:fldChar w:fldCharType="end"/>
    </w:r>
  </w:p>
  <w:p>
    <w:pPr>
      <w:pStyle w:val="20"/>
      <w:ind w:right="360"/>
    </w:pPr>
    <w:r>
      <w:rPr>
        <w:sz w:val="18"/>
      </w:rPr>
      <w:pict>
        <v:line id="_x0000_s4098" o:spid="_x0000_s4098" o:spt="20" style="position:absolute;left:0pt;margin-left:1.55pt;margin-top:5.45pt;height:0.05pt;width:436.5pt;z-index:251658240;mso-width-relative:page;mso-height-relative:page;" filled="f" stroked="t" coordsize="21600,21600">
          <v:path arrowok="t"/>
          <v:fill on="f" focussize="0,0"/>
          <v:stroke weight="0.25pt" color="#000000"/>
          <v:imagedata o:title=""/>
          <o:lock v:ext="edit" aspectratio="f"/>
        </v:lin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2"/>
      </w:rPr>
    </w:pPr>
    <w:r>
      <w:rPr>
        <w:rStyle w:val="32"/>
      </w:rPr>
      <w:fldChar w:fldCharType="begin"/>
    </w:r>
    <w:r>
      <w:rPr>
        <w:rStyle w:val="32"/>
      </w:rPr>
      <w:instrText xml:space="preserve">PAGE  </w:instrText>
    </w:r>
    <w:r>
      <w:rPr>
        <w:rStyle w:val="32"/>
      </w:rPr>
      <w:fldChar w:fldCharType="separate"/>
    </w:r>
    <w:r>
      <w:rPr>
        <w:rStyle w:val="32"/>
      </w:rPr>
      <w:t>19</w:t>
    </w:r>
    <w:r>
      <w:rPr>
        <w:rStyle w:val="32"/>
      </w:rPr>
      <w:fldChar w:fldCharType="end"/>
    </w:r>
  </w:p>
  <w:p>
    <w:pPr>
      <w:pStyle w:val="2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rPr>
        <w:rFonts w:hint="eastAsia" w:asciiTheme="minorEastAsia" w:hAnsiTheme="minorEastAsia" w:eastAsiaTheme="minorEastAsia" w:cstheme="minorEastAsia"/>
        <w:spacing w:val="0"/>
        <w:kern w:val="0"/>
        <w:sz w:val="20"/>
        <w:szCs w:val="18"/>
        <w:lang w:eastAsia="zh-CN"/>
      </w:rPr>
    </w:pPr>
    <w:r>
      <w:rPr>
        <w:rFonts w:hint="eastAsia" w:asciiTheme="minorEastAsia" w:hAnsiTheme="minorEastAsia" w:eastAsiaTheme="minorEastAsia" w:cstheme="minorEastAsia"/>
        <w:spacing w:val="0"/>
        <w:kern w:val="0"/>
        <w:sz w:val="20"/>
        <w:szCs w:val="18"/>
        <w:lang w:eastAsia="zh-CN"/>
      </w:rPr>
      <w:t>山东明嘉正德土地房地产评估有限公司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75BFB"/>
    <w:multiLevelType w:val="singleLevel"/>
    <w:tmpl w:val="12975BFB"/>
    <w:lvl w:ilvl="0" w:tentative="0">
      <w:start w:val="1"/>
      <w:numFmt w:val="upperRoman"/>
      <w:pStyle w:val="8"/>
      <w:lvlText w:val="%1."/>
      <w:lvlJc w:val="left"/>
      <w:pPr>
        <w:tabs>
          <w:tab w:val="left" w:pos="720"/>
        </w:tabs>
        <w:ind w:left="0" w:firstLine="0"/>
      </w:pPr>
      <w:rPr>
        <w:rFonts w:hint="eastAsia"/>
      </w:rPr>
    </w:lvl>
  </w:abstractNum>
  <w:abstractNum w:abstractNumId="1">
    <w:nsid w:val="166B2BD5"/>
    <w:multiLevelType w:val="singleLevel"/>
    <w:tmpl w:val="166B2BD5"/>
    <w:lvl w:ilvl="0" w:tentative="0">
      <w:start w:val="1"/>
      <w:numFmt w:val="upperLetter"/>
      <w:pStyle w:val="2"/>
      <w:lvlText w:val="%1．"/>
      <w:lvlJc w:val="left"/>
      <w:pPr>
        <w:tabs>
          <w:tab w:val="left" w:pos="-510"/>
        </w:tabs>
        <w:ind w:left="-510" w:hanging="30"/>
      </w:pPr>
      <w:rPr>
        <w:rFonts w:hint="eastAsia"/>
      </w:rPr>
    </w:lvl>
  </w:abstractNum>
  <w:abstractNum w:abstractNumId="2">
    <w:nsid w:val="2607E1C8"/>
    <w:multiLevelType w:val="singleLevel"/>
    <w:tmpl w:val="2607E1C8"/>
    <w:lvl w:ilvl="0" w:tentative="0">
      <w:start w:val="2"/>
      <w:numFmt w:val="chineseCounting"/>
      <w:suff w:val="nothing"/>
      <w:lvlText w:val="%1、"/>
      <w:lvlJc w:val="left"/>
      <w:rPr>
        <w:rFonts w:hint="eastAsia"/>
      </w:rPr>
    </w:lvl>
  </w:abstractNum>
  <w:abstractNum w:abstractNumId="3">
    <w:nsid w:val="261D6975"/>
    <w:multiLevelType w:val="singleLevel"/>
    <w:tmpl w:val="261D6975"/>
    <w:lvl w:ilvl="0" w:tentative="0">
      <w:start w:val="1"/>
      <w:numFmt w:val="upperLetter"/>
      <w:pStyle w:val="7"/>
      <w:lvlText w:val="%1．"/>
      <w:lvlJc w:val="left"/>
      <w:pPr>
        <w:tabs>
          <w:tab w:val="left" w:pos="720"/>
        </w:tabs>
        <w:ind w:left="0" w:firstLine="0"/>
      </w:pPr>
      <w:rPr>
        <w:rFonts w:hint="eastAsia"/>
      </w:rPr>
    </w:lvl>
  </w:abstractNum>
  <w:abstractNum w:abstractNumId="4">
    <w:nsid w:val="64112089"/>
    <w:multiLevelType w:val="singleLevel"/>
    <w:tmpl w:val="64112089"/>
    <w:lvl w:ilvl="0" w:tentative="0">
      <w:start w:val="1"/>
      <w:numFmt w:val="upperLetter"/>
      <w:pStyle w:val="4"/>
      <w:lvlText w:val="%1."/>
      <w:lvlJc w:val="left"/>
      <w:pPr>
        <w:tabs>
          <w:tab w:val="left" w:pos="927"/>
        </w:tabs>
        <w:ind w:left="397" w:firstLine="170"/>
      </w:pPr>
      <w:rPr>
        <w:rFonts w:hint="eastAsia"/>
      </w:rPr>
    </w:lvl>
  </w:abstractNum>
  <w:abstractNum w:abstractNumId="5">
    <w:nsid w:val="6420597C"/>
    <w:multiLevelType w:val="singleLevel"/>
    <w:tmpl w:val="6420597C"/>
    <w:lvl w:ilvl="0" w:tentative="0">
      <w:start w:val="1"/>
      <w:numFmt w:val="upperRoman"/>
      <w:pStyle w:val="6"/>
      <w:lvlText w:val="%1."/>
      <w:lvlJc w:val="left"/>
      <w:pPr>
        <w:tabs>
          <w:tab w:val="left" w:pos="720"/>
        </w:tabs>
        <w:ind w:left="0" w:firstLine="0"/>
      </w:pPr>
      <w:rPr>
        <w:rFonts w:hint="eastAsia"/>
      </w:rPr>
    </w:lvl>
  </w:abstractNum>
  <w:num w:numId="1">
    <w:abstractNumId w:val="1"/>
  </w:num>
  <w:num w:numId="2">
    <w:abstractNumId w:val="4"/>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hideSpellingErrors/>
  <w:documentProtection w:enforcement="0"/>
  <w:defaultTabStop w:val="425"/>
  <w:drawingGridHorizontalSpacing w:val="251"/>
  <w:drawingGridVerticalSpacing w:val="207"/>
  <w:displayHorizontalDrawingGridEvery w:val="0"/>
  <w:displayVerticalDrawingGridEvery w:val="2"/>
  <w:characterSpacingControl w:val="compressPunctuation"/>
  <w:noLineBreaksAfter w:lang="zh-CN" w:val="([{·‘“〈《「『【〔〖（．［｛"/>
  <w:noLineBreaksBefore w:lang="zh-CN" w:val="!),.:;?]}¨·ˇˉ—‖’”…∶、。〃々〉》」』】〕〗！＂＇），．：；？］｀｜｝～"/>
  <w:hdrShapeDefaults>
    <o:shapelayout v:ext="edit">
      <o:idmap v:ext="edit" data="3,4"/>
    </o:shapelayout>
  </w:hdrShapeDefaults>
  <w:compat>
    <w:spaceForUL/>
    <w:balanceSingleByteDoubleByteWidth/>
    <w:doNotLeaveBackslashAlone/>
    <w:ulTrailSpace/>
    <w:doNotExpandShiftReturn/>
    <w:useFELayout/>
    <w:compatSetting w:name="compatibilityMode" w:uri="http://schemas.microsoft.com/office/word" w:val="12"/>
  </w:compat>
  <w:rsids>
    <w:rsidRoot w:val="00A341E6"/>
    <w:rsid w:val="000013DB"/>
    <w:rsid w:val="00001B08"/>
    <w:rsid w:val="0000210B"/>
    <w:rsid w:val="000022E0"/>
    <w:rsid w:val="00002F6E"/>
    <w:rsid w:val="00003501"/>
    <w:rsid w:val="000047B6"/>
    <w:rsid w:val="00004C8A"/>
    <w:rsid w:val="000060C3"/>
    <w:rsid w:val="000146BA"/>
    <w:rsid w:val="00014B84"/>
    <w:rsid w:val="00015449"/>
    <w:rsid w:val="000157EF"/>
    <w:rsid w:val="00015B1D"/>
    <w:rsid w:val="000170BD"/>
    <w:rsid w:val="000172E2"/>
    <w:rsid w:val="00021298"/>
    <w:rsid w:val="0002150F"/>
    <w:rsid w:val="000219BF"/>
    <w:rsid w:val="000221D8"/>
    <w:rsid w:val="000225A9"/>
    <w:rsid w:val="00022CA8"/>
    <w:rsid w:val="00022EF4"/>
    <w:rsid w:val="00023643"/>
    <w:rsid w:val="000258FB"/>
    <w:rsid w:val="00025C2E"/>
    <w:rsid w:val="00025EAC"/>
    <w:rsid w:val="00026200"/>
    <w:rsid w:val="00030B27"/>
    <w:rsid w:val="000317A9"/>
    <w:rsid w:val="00032689"/>
    <w:rsid w:val="00032C2B"/>
    <w:rsid w:val="00032CDA"/>
    <w:rsid w:val="00034C48"/>
    <w:rsid w:val="00034EA8"/>
    <w:rsid w:val="000352BE"/>
    <w:rsid w:val="00035562"/>
    <w:rsid w:val="000359A3"/>
    <w:rsid w:val="00035D03"/>
    <w:rsid w:val="00036D57"/>
    <w:rsid w:val="000401EC"/>
    <w:rsid w:val="000408C3"/>
    <w:rsid w:val="000414D5"/>
    <w:rsid w:val="00041575"/>
    <w:rsid w:val="0004214C"/>
    <w:rsid w:val="00042629"/>
    <w:rsid w:val="00042E82"/>
    <w:rsid w:val="00043A7B"/>
    <w:rsid w:val="00044206"/>
    <w:rsid w:val="00044FDB"/>
    <w:rsid w:val="00047D7F"/>
    <w:rsid w:val="00050385"/>
    <w:rsid w:val="000515B8"/>
    <w:rsid w:val="00052776"/>
    <w:rsid w:val="00052DB9"/>
    <w:rsid w:val="00053203"/>
    <w:rsid w:val="00053313"/>
    <w:rsid w:val="00053DD2"/>
    <w:rsid w:val="0005413F"/>
    <w:rsid w:val="00054892"/>
    <w:rsid w:val="00055043"/>
    <w:rsid w:val="000554AE"/>
    <w:rsid w:val="000561F2"/>
    <w:rsid w:val="000566F2"/>
    <w:rsid w:val="000570AA"/>
    <w:rsid w:val="0006083E"/>
    <w:rsid w:val="00060A22"/>
    <w:rsid w:val="00061569"/>
    <w:rsid w:val="000616C3"/>
    <w:rsid w:val="00061C28"/>
    <w:rsid w:val="000621D8"/>
    <w:rsid w:val="00062227"/>
    <w:rsid w:val="0006347F"/>
    <w:rsid w:val="00063D4B"/>
    <w:rsid w:val="00064AF9"/>
    <w:rsid w:val="000678D2"/>
    <w:rsid w:val="000707D7"/>
    <w:rsid w:val="000716FC"/>
    <w:rsid w:val="00074FF3"/>
    <w:rsid w:val="00075F02"/>
    <w:rsid w:val="000762EE"/>
    <w:rsid w:val="0007664F"/>
    <w:rsid w:val="000774CD"/>
    <w:rsid w:val="000777EC"/>
    <w:rsid w:val="000809D7"/>
    <w:rsid w:val="0008110A"/>
    <w:rsid w:val="0008132D"/>
    <w:rsid w:val="00081CB4"/>
    <w:rsid w:val="00081CD4"/>
    <w:rsid w:val="0008247A"/>
    <w:rsid w:val="000841AC"/>
    <w:rsid w:val="00084646"/>
    <w:rsid w:val="000847EA"/>
    <w:rsid w:val="00084862"/>
    <w:rsid w:val="00084C3B"/>
    <w:rsid w:val="0008519A"/>
    <w:rsid w:val="00085AB1"/>
    <w:rsid w:val="00086892"/>
    <w:rsid w:val="00086FB1"/>
    <w:rsid w:val="00087A7B"/>
    <w:rsid w:val="00090102"/>
    <w:rsid w:val="0009031D"/>
    <w:rsid w:val="00091766"/>
    <w:rsid w:val="00092ADF"/>
    <w:rsid w:val="00093B9A"/>
    <w:rsid w:val="00093C4D"/>
    <w:rsid w:val="00093EAA"/>
    <w:rsid w:val="000951A5"/>
    <w:rsid w:val="00095239"/>
    <w:rsid w:val="000979BF"/>
    <w:rsid w:val="000A02F8"/>
    <w:rsid w:val="000A09B5"/>
    <w:rsid w:val="000A1FBC"/>
    <w:rsid w:val="000A256B"/>
    <w:rsid w:val="000A2E5B"/>
    <w:rsid w:val="000A304F"/>
    <w:rsid w:val="000A42BC"/>
    <w:rsid w:val="000A47D3"/>
    <w:rsid w:val="000A4F0E"/>
    <w:rsid w:val="000A4F6B"/>
    <w:rsid w:val="000A5E6C"/>
    <w:rsid w:val="000A63A8"/>
    <w:rsid w:val="000A6DC2"/>
    <w:rsid w:val="000A7528"/>
    <w:rsid w:val="000A7815"/>
    <w:rsid w:val="000B16FF"/>
    <w:rsid w:val="000B3BC5"/>
    <w:rsid w:val="000B3CB0"/>
    <w:rsid w:val="000B45FD"/>
    <w:rsid w:val="000B491F"/>
    <w:rsid w:val="000B4961"/>
    <w:rsid w:val="000B4BA2"/>
    <w:rsid w:val="000B4F5A"/>
    <w:rsid w:val="000B5505"/>
    <w:rsid w:val="000B62DD"/>
    <w:rsid w:val="000B7DE5"/>
    <w:rsid w:val="000C00FB"/>
    <w:rsid w:val="000C0113"/>
    <w:rsid w:val="000C0761"/>
    <w:rsid w:val="000C14AF"/>
    <w:rsid w:val="000C15FF"/>
    <w:rsid w:val="000C189C"/>
    <w:rsid w:val="000C2227"/>
    <w:rsid w:val="000C23D6"/>
    <w:rsid w:val="000C242D"/>
    <w:rsid w:val="000C2B6F"/>
    <w:rsid w:val="000C2E02"/>
    <w:rsid w:val="000C2E50"/>
    <w:rsid w:val="000C30E6"/>
    <w:rsid w:val="000C3C0B"/>
    <w:rsid w:val="000C42C5"/>
    <w:rsid w:val="000C4C77"/>
    <w:rsid w:val="000C72D0"/>
    <w:rsid w:val="000C7377"/>
    <w:rsid w:val="000C7E35"/>
    <w:rsid w:val="000C7F1E"/>
    <w:rsid w:val="000D05DD"/>
    <w:rsid w:val="000D0AA3"/>
    <w:rsid w:val="000D15F4"/>
    <w:rsid w:val="000D24CF"/>
    <w:rsid w:val="000D4AB7"/>
    <w:rsid w:val="000D5C98"/>
    <w:rsid w:val="000D5FDA"/>
    <w:rsid w:val="000D629A"/>
    <w:rsid w:val="000D65D3"/>
    <w:rsid w:val="000D703F"/>
    <w:rsid w:val="000D7A62"/>
    <w:rsid w:val="000E09F8"/>
    <w:rsid w:val="000E0BA4"/>
    <w:rsid w:val="000E15E0"/>
    <w:rsid w:val="000E1808"/>
    <w:rsid w:val="000E2CCC"/>
    <w:rsid w:val="000E3524"/>
    <w:rsid w:val="000E403A"/>
    <w:rsid w:val="000E41A3"/>
    <w:rsid w:val="000E48B4"/>
    <w:rsid w:val="000E4961"/>
    <w:rsid w:val="000E56E7"/>
    <w:rsid w:val="000E64E2"/>
    <w:rsid w:val="000E691A"/>
    <w:rsid w:val="000E6A1D"/>
    <w:rsid w:val="000E6E6C"/>
    <w:rsid w:val="000E6F23"/>
    <w:rsid w:val="000E6FE7"/>
    <w:rsid w:val="000E7746"/>
    <w:rsid w:val="000E7A73"/>
    <w:rsid w:val="000F06EA"/>
    <w:rsid w:val="000F1315"/>
    <w:rsid w:val="000F19F1"/>
    <w:rsid w:val="000F218C"/>
    <w:rsid w:val="000F2466"/>
    <w:rsid w:val="000F28B6"/>
    <w:rsid w:val="000F2F2C"/>
    <w:rsid w:val="000F317C"/>
    <w:rsid w:val="000F3434"/>
    <w:rsid w:val="000F3E8A"/>
    <w:rsid w:val="000F4301"/>
    <w:rsid w:val="000F4722"/>
    <w:rsid w:val="000F4EB2"/>
    <w:rsid w:val="000F5769"/>
    <w:rsid w:val="000F6FC3"/>
    <w:rsid w:val="000F7BB5"/>
    <w:rsid w:val="000F7F8F"/>
    <w:rsid w:val="000F7FEE"/>
    <w:rsid w:val="00100880"/>
    <w:rsid w:val="00100D3F"/>
    <w:rsid w:val="001012B8"/>
    <w:rsid w:val="00101B95"/>
    <w:rsid w:val="00101DD6"/>
    <w:rsid w:val="00102188"/>
    <w:rsid w:val="001021BF"/>
    <w:rsid w:val="00103168"/>
    <w:rsid w:val="001037BF"/>
    <w:rsid w:val="00103815"/>
    <w:rsid w:val="001070E9"/>
    <w:rsid w:val="001111B1"/>
    <w:rsid w:val="00111D47"/>
    <w:rsid w:val="001144D7"/>
    <w:rsid w:val="00115D2C"/>
    <w:rsid w:val="0011642A"/>
    <w:rsid w:val="00116AA8"/>
    <w:rsid w:val="00120FCD"/>
    <w:rsid w:val="00123C24"/>
    <w:rsid w:val="00123DBB"/>
    <w:rsid w:val="00124826"/>
    <w:rsid w:val="001262C3"/>
    <w:rsid w:val="00126E29"/>
    <w:rsid w:val="00127B12"/>
    <w:rsid w:val="00130103"/>
    <w:rsid w:val="00131799"/>
    <w:rsid w:val="00131CFB"/>
    <w:rsid w:val="001324A2"/>
    <w:rsid w:val="001329CE"/>
    <w:rsid w:val="00133684"/>
    <w:rsid w:val="00133EAC"/>
    <w:rsid w:val="00134551"/>
    <w:rsid w:val="0013501E"/>
    <w:rsid w:val="001355F8"/>
    <w:rsid w:val="00136CFF"/>
    <w:rsid w:val="001378B7"/>
    <w:rsid w:val="00140126"/>
    <w:rsid w:val="0014029D"/>
    <w:rsid w:val="00140381"/>
    <w:rsid w:val="0014095D"/>
    <w:rsid w:val="00141072"/>
    <w:rsid w:val="00141C41"/>
    <w:rsid w:val="00141FCE"/>
    <w:rsid w:val="00142A08"/>
    <w:rsid w:val="001435B7"/>
    <w:rsid w:val="00143972"/>
    <w:rsid w:val="00143CD6"/>
    <w:rsid w:val="00144679"/>
    <w:rsid w:val="00144C26"/>
    <w:rsid w:val="00144DAA"/>
    <w:rsid w:val="0014523E"/>
    <w:rsid w:val="0014547C"/>
    <w:rsid w:val="001462FE"/>
    <w:rsid w:val="00147868"/>
    <w:rsid w:val="00147F9C"/>
    <w:rsid w:val="0015087A"/>
    <w:rsid w:val="00150AF7"/>
    <w:rsid w:val="00150AFA"/>
    <w:rsid w:val="00151094"/>
    <w:rsid w:val="00151099"/>
    <w:rsid w:val="00151705"/>
    <w:rsid w:val="001526A8"/>
    <w:rsid w:val="0015399E"/>
    <w:rsid w:val="00154430"/>
    <w:rsid w:val="001545FE"/>
    <w:rsid w:val="00155AA6"/>
    <w:rsid w:val="00157756"/>
    <w:rsid w:val="001579A8"/>
    <w:rsid w:val="00157EBE"/>
    <w:rsid w:val="00160D04"/>
    <w:rsid w:val="00161DD5"/>
    <w:rsid w:val="00162A18"/>
    <w:rsid w:val="001633C6"/>
    <w:rsid w:val="00164355"/>
    <w:rsid w:val="0016470D"/>
    <w:rsid w:val="00165DF8"/>
    <w:rsid w:val="00165EBE"/>
    <w:rsid w:val="00167908"/>
    <w:rsid w:val="001701DD"/>
    <w:rsid w:val="00170368"/>
    <w:rsid w:val="001708FF"/>
    <w:rsid w:val="001719D9"/>
    <w:rsid w:val="001736C0"/>
    <w:rsid w:val="00174F00"/>
    <w:rsid w:val="001751C1"/>
    <w:rsid w:val="00175744"/>
    <w:rsid w:val="00176080"/>
    <w:rsid w:val="00180156"/>
    <w:rsid w:val="00180F8C"/>
    <w:rsid w:val="00181133"/>
    <w:rsid w:val="001813B0"/>
    <w:rsid w:val="001834C0"/>
    <w:rsid w:val="00183CAC"/>
    <w:rsid w:val="00184C0D"/>
    <w:rsid w:val="00184E1A"/>
    <w:rsid w:val="00184FCE"/>
    <w:rsid w:val="00186100"/>
    <w:rsid w:val="00186DF0"/>
    <w:rsid w:val="00187108"/>
    <w:rsid w:val="00187C47"/>
    <w:rsid w:val="00190617"/>
    <w:rsid w:val="001908BF"/>
    <w:rsid w:val="0019187A"/>
    <w:rsid w:val="00191880"/>
    <w:rsid w:val="00192495"/>
    <w:rsid w:val="00192895"/>
    <w:rsid w:val="00192EC7"/>
    <w:rsid w:val="001936B5"/>
    <w:rsid w:val="00193851"/>
    <w:rsid w:val="0019538E"/>
    <w:rsid w:val="0019646F"/>
    <w:rsid w:val="00196955"/>
    <w:rsid w:val="001969C3"/>
    <w:rsid w:val="001969CC"/>
    <w:rsid w:val="00197E9E"/>
    <w:rsid w:val="001A0460"/>
    <w:rsid w:val="001A2905"/>
    <w:rsid w:val="001A3BA6"/>
    <w:rsid w:val="001A4A0D"/>
    <w:rsid w:val="001A4EB4"/>
    <w:rsid w:val="001A5664"/>
    <w:rsid w:val="001A6E16"/>
    <w:rsid w:val="001A706B"/>
    <w:rsid w:val="001A745C"/>
    <w:rsid w:val="001A785F"/>
    <w:rsid w:val="001B1D76"/>
    <w:rsid w:val="001B2063"/>
    <w:rsid w:val="001B2320"/>
    <w:rsid w:val="001B2E07"/>
    <w:rsid w:val="001B35A5"/>
    <w:rsid w:val="001B35A9"/>
    <w:rsid w:val="001B60ED"/>
    <w:rsid w:val="001B6446"/>
    <w:rsid w:val="001B670F"/>
    <w:rsid w:val="001C092E"/>
    <w:rsid w:val="001C1885"/>
    <w:rsid w:val="001C23C3"/>
    <w:rsid w:val="001C26B2"/>
    <w:rsid w:val="001C3C61"/>
    <w:rsid w:val="001C3FAB"/>
    <w:rsid w:val="001C4551"/>
    <w:rsid w:val="001C4ADC"/>
    <w:rsid w:val="001C518E"/>
    <w:rsid w:val="001C5CA1"/>
    <w:rsid w:val="001C761C"/>
    <w:rsid w:val="001D07E0"/>
    <w:rsid w:val="001D07EA"/>
    <w:rsid w:val="001D083F"/>
    <w:rsid w:val="001D0C2E"/>
    <w:rsid w:val="001D1014"/>
    <w:rsid w:val="001D1451"/>
    <w:rsid w:val="001D19E3"/>
    <w:rsid w:val="001D1B21"/>
    <w:rsid w:val="001D2810"/>
    <w:rsid w:val="001D30E4"/>
    <w:rsid w:val="001D3E06"/>
    <w:rsid w:val="001D514B"/>
    <w:rsid w:val="001D55CE"/>
    <w:rsid w:val="001D5BC9"/>
    <w:rsid w:val="001D753B"/>
    <w:rsid w:val="001D7C9A"/>
    <w:rsid w:val="001E12A4"/>
    <w:rsid w:val="001E1586"/>
    <w:rsid w:val="001E1F0B"/>
    <w:rsid w:val="001E2657"/>
    <w:rsid w:val="001E29C0"/>
    <w:rsid w:val="001E3ACB"/>
    <w:rsid w:val="001E415F"/>
    <w:rsid w:val="001E41A3"/>
    <w:rsid w:val="001E4740"/>
    <w:rsid w:val="001E4F75"/>
    <w:rsid w:val="001E506E"/>
    <w:rsid w:val="001E6014"/>
    <w:rsid w:val="001E6304"/>
    <w:rsid w:val="001E6BB2"/>
    <w:rsid w:val="001E6F13"/>
    <w:rsid w:val="001E704C"/>
    <w:rsid w:val="001E760E"/>
    <w:rsid w:val="001E78FC"/>
    <w:rsid w:val="001F02DA"/>
    <w:rsid w:val="001F0969"/>
    <w:rsid w:val="001F17C4"/>
    <w:rsid w:val="001F1CFC"/>
    <w:rsid w:val="001F2F2A"/>
    <w:rsid w:val="001F49CE"/>
    <w:rsid w:val="001F5308"/>
    <w:rsid w:val="001F680D"/>
    <w:rsid w:val="001F69AE"/>
    <w:rsid w:val="001F6F69"/>
    <w:rsid w:val="001F705A"/>
    <w:rsid w:val="0020187B"/>
    <w:rsid w:val="00201990"/>
    <w:rsid w:val="00204209"/>
    <w:rsid w:val="00204C12"/>
    <w:rsid w:val="00204C17"/>
    <w:rsid w:val="00205410"/>
    <w:rsid w:val="00205A74"/>
    <w:rsid w:val="0020633F"/>
    <w:rsid w:val="00210728"/>
    <w:rsid w:val="00210BD4"/>
    <w:rsid w:val="00210D8B"/>
    <w:rsid w:val="002114D0"/>
    <w:rsid w:val="002123A5"/>
    <w:rsid w:val="00213233"/>
    <w:rsid w:val="002137D0"/>
    <w:rsid w:val="00213BDB"/>
    <w:rsid w:val="002141AD"/>
    <w:rsid w:val="002148CE"/>
    <w:rsid w:val="00214963"/>
    <w:rsid w:val="00214B14"/>
    <w:rsid w:val="00215865"/>
    <w:rsid w:val="002161C0"/>
    <w:rsid w:val="0021689E"/>
    <w:rsid w:val="002170CF"/>
    <w:rsid w:val="00217FA2"/>
    <w:rsid w:val="00220064"/>
    <w:rsid w:val="00220C62"/>
    <w:rsid w:val="002224C8"/>
    <w:rsid w:val="00222D73"/>
    <w:rsid w:val="00222FE0"/>
    <w:rsid w:val="00223F3E"/>
    <w:rsid w:val="00225BBE"/>
    <w:rsid w:val="0022780A"/>
    <w:rsid w:val="00230E1D"/>
    <w:rsid w:val="00231D3E"/>
    <w:rsid w:val="002325C9"/>
    <w:rsid w:val="002327F7"/>
    <w:rsid w:val="00232BC3"/>
    <w:rsid w:val="00235C9A"/>
    <w:rsid w:val="002374E2"/>
    <w:rsid w:val="00240248"/>
    <w:rsid w:val="002404D8"/>
    <w:rsid w:val="002411EA"/>
    <w:rsid w:val="00241C96"/>
    <w:rsid w:val="002421AA"/>
    <w:rsid w:val="00243172"/>
    <w:rsid w:val="00243740"/>
    <w:rsid w:val="00244BD8"/>
    <w:rsid w:val="00245159"/>
    <w:rsid w:val="00245F0E"/>
    <w:rsid w:val="00245F8B"/>
    <w:rsid w:val="002464A2"/>
    <w:rsid w:val="00246999"/>
    <w:rsid w:val="0024715F"/>
    <w:rsid w:val="002474C7"/>
    <w:rsid w:val="002503FA"/>
    <w:rsid w:val="00251319"/>
    <w:rsid w:val="00251F99"/>
    <w:rsid w:val="00252E55"/>
    <w:rsid w:val="002537E5"/>
    <w:rsid w:val="002538ED"/>
    <w:rsid w:val="00254F74"/>
    <w:rsid w:val="002551D3"/>
    <w:rsid w:val="002554DF"/>
    <w:rsid w:val="002564D0"/>
    <w:rsid w:val="002579F9"/>
    <w:rsid w:val="002602A9"/>
    <w:rsid w:val="00260EEE"/>
    <w:rsid w:val="00263C9A"/>
    <w:rsid w:val="0026425F"/>
    <w:rsid w:val="00265E70"/>
    <w:rsid w:val="00266C85"/>
    <w:rsid w:val="00267CD8"/>
    <w:rsid w:val="0027008D"/>
    <w:rsid w:val="00271298"/>
    <w:rsid w:val="00271B25"/>
    <w:rsid w:val="00271DCB"/>
    <w:rsid w:val="00273C41"/>
    <w:rsid w:val="002740EC"/>
    <w:rsid w:val="002761B0"/>
    <w:rsid w:val="00276C3B"/>
    <w:rsid w:val="00276FD9"/>
    <w:rsid w:val="002772B1"/>
    <w:rsid w:val="002802EC"/>
    <w:rsid w:val="002836B6"/>
    <w:rsid w:val="00283D3D"/>
    <w:rsid w:val="002843FB"/>
    <w:rsid w:val="002845D0"/>
    <w:rsid w:val="00284F51"/>
    <w:rsid w:val="00286B91"/>
    <w:rsid w:val="002870B0"/>
    <w:rsid w:val="00287A01"/>
    <w:rsid w:val="002907EB"/>
    <w:rsid w:val="002909CC"/>
    <w:rsid w:val="00291A6E"/>
    <w:rsid w:val="00292850"/>
    <w:rsid w:val="002932A8"/>
    <w:rsid w:val="00294266"/>
    <w:rsid w:val="002959E9"/>
    <w:rsid w:val="00295D99"/>
    <w:rsid w:val="00296368"/>
    <w:rsid w:val="00296BE0"/>
    <w:rsid w:val="00297555"/>
    <w:rsid w:val="002975A8"/>
    <w:rsid w:val="002A0833"/>
    <w:rsid w:val="002A1430"/>
    <w:rsid w:val="002A1629"/>
    <w:rsid w:val="002A17FD"/>
    <w:rsid w:val="002A26B8"/>
    <w:rsid w:val="002A30FD"/>
    <w:rsid w:val="002A4645"/>
    <w:rsid w:val="002A471D"/>
    <w:rsid w:val="002A4938"/>
    <w:rsid w:val="002A4CD9"/>
    <w:rsid w:val="002A66C9"/>
    <w:rsid w:val="002A6C72"/>
    <w:rsid w:val="002B0E0D"/>
    <w:rsid w:val="002B27CE"/>
    <w:rsid w:val="002B2893"/>
    <w:rsid w:val="002B3F8E"/>
    <w:rsid w:val="002B4A92"/>
    <w:rsid w:val="002B5006"/>
    <w:rsid w:val="002B592F"/>
    <w:rsid w:val="002B5969"/>
    <w:rsid w:val="002B6F36"/>
    <w:rsid w:val="002B726C"/>
    <w:rsid w:val="002B76F0"/>
    <w:rsid w:val="002C0ED5"/>
    <w:rsid w:val="002C17C8"/>
    <w:rsid w:val="002C1F20"/>
    <w:rsid w:val="002C27A4"/>
    <w:rsid w:val="002C27B9"/>
    <w:rsid w:val="002C3431"/>
    <w:rsid w:val="002C3DA4"/>
    <w:rsid w:val="002C485A"/>
    <w:rsid w:val="002C509B"/>
    <w:rsid w:val="002C61D2"/>
    <w:rsid w:val="002C6572"/>
    <w:rsid w:val="002C6A4A"/>
    <w:rsid w:val="002C7A7D"/>
    <w:rsid w:val="002D0842"/>
    <w:rsid w:val="002D0934"/>
    <w:rsid w:val="002D123B"/>
    <w:rsid w:val="002D18AF"/>
    <w:rsid w:val="002D3426"/>
    <w:rsid w:val="002D3764"/>
    <w:rsid w:val="002D460E"/>
    <w:rsid w:val="002D58E5"/>
    <w:rsid w:val="002D6F21"/>
    <w:rsid w:val="002D7115"/>
    <w:rsid w:val="002D7FA2"/>
    <w:rsid w:val="002E597A"/>
    <w:rsid w:val="002E62C8"/>
    <w:rsid w:val="002E6C34"/>
    <w:rsid w:val="002F0C53"/>
    <w:rsid w:val="002F0E38"/>
    <w:rsid w:val="002F11CA"/>
    <w:rsid w:val="002F1813"/>
    <w:rsid w:val="002F1B43"/>
    <w:rsid w:val="002F1E68"/>
    <w:rsid w:val="002F27F0"/>
    <w:rsid w:val="002F2918"/>
    <w:rsid w:val="002F2D35"/>
    <w:rsid w:val="002F3471"/>
    <w:rsid w:val="002F35F0"/>
    <w:rsid w:val="002F3933"/>
    <w:rsid w:val="002F3D1A"/>
    <w:rsid w:val="002F7D8C"/>
    <w:rsid w:val="003005A4"/>
    <w:rsid w:val="00301378"/>
    <w:rsid w:val="003016D8"/>
    <w:rsid w:val="003022B7"/>
    <w:rsid w:val="0030250E"/>
    <w:rsid w:val="003027E8"/>
    <w:rsid w:val="00302A01"/>
    <w:rsid w:val="00303874"/>
    <w:rsid w:val="00304063"/>
    <w:rsid w:val="003048AC"/>
    <w:rsid w:val="00305247"/>
    <w:rsid w:val="00305715"/>
    <w:rsid w:val="00306085"/>
    <w:rsid w:val="00306521"/>
    <w:rsid w:val="003066E3"/>
    <w:rsid w:val="00306B05"/>
    <w:rsid w:val="00307DF7"/>
    <w:rsid w:val="00310B0D"/>
    <w:rsid w:val="00310F86"/>
    <w:rsid w:val="00314599"/>
    <w:rsid w:val="003151D7"/>
    <w:rsid w:val="00316064"/>
    <w:rsid w:val="00317006"/>
    <w:rsid w:val="00317A24"/>
    <w:rsid w:val="003216BC"/>
    <w:rsid w:val="003221A0"/>
    <w:rsid w:val="0032221B"/>
    <w:rsid w:val="003230EF"/>
    <w:rsid w:val="00323890"/>
    <w:rsid w:val="003240A4"/>
    <w:rsid w:val="0032435A"/>
    <w:rsid w:val="003264B9"/>
    <w:rsid w:val="00326616"/>
    <w:rsid w:val="0032688C"/>
    <w:rsid w:val="003273F9"/>
    <w:rsid w:val="00327719"/>
    <w:rsid w:val="00330152"/>
    <w:rsid w:val="003302AA"/>
    <w:rsid w:val="0033082E"/>
    <w:rsid w:val="0033144F"/>
    <w:rsid w:val="003314C7"/>
    <w:rsid w:val="00332C23"/>
    <w:rsid w:val="00332EB2"/>
    <w:rsid w:val="00333B42"/>
    <w:rsid w:val="00333CEB"/>
    <w:rsid w:val="00335F95"/>
    <w:rsid w:val="00337131"/>
    <w:rsid w:val="00337F77"/>
    <w:rsid w:val="00343ECD"/>
    <w:rsid w:val="00344757"/>
    <w:rsid w:val="003450FE"/>
    <w:rsid w:val="0034531C"/>
    <w:rsid w:val="00346159"/>
    <w:rsid w:val="003472B2"/>
    <w:rsid w:val="00347E96"/>
    <w:rsid w:val="003505BA"/>
    <w:rsid w:val="00350B75"/>
    <w:rsid w:val="00350D96"/>
    <w:rsid w:val="00350E7D"/>
    <w:rsid w:val="0035140D"/>
    <w:rsid w:val="00351881"/>
    <w:rsid w:val="00352C8E"/>
    <w:rsid w:val="003533B9"/>
    <w:rsid w:val="00353D61"/>
    <w:rsid w:val="00354EA4"/>
    <w:rsid w:val="00355132"/>
    <w:rsid w:val="0035534A"/>
    <w:rsid w:val="00356AA4"/>
    <w:rsid w:val="00357426"/>
    <w:rsid w:val="00360B45"/>
    <w:rsid w:val="00361663"/>
    <w:rsid w:val="0036167B"/>
    <w:rsid w:val="00361A05"/>
    <w:rsid w:val="00361EE0"/>
    <w:rsid w:val="00363DED"/>
    <w:rsid w:val="00363FE3"/>
    <w:rsid w:val="0036519A"/>
    <w:rsid w:val="0036562F"/>
    <w:rsid w:val="00365EC5"/>
    <w:rsid w:val="00366511"/>
    <w:rsid w:val="00366E9A"/>
    <w:rsid w:val="00367D75"/>
    <w:rsid w:val="00367DEA"/>
    <w:rsid w:val="0037108B"/>
    <w:rsid w:val="003710E0"/>
    <w:rsid w:val="0037160D"/>
    <w:rsid w:val="0037172B"/>
    <w:rsid w:val="00371B0A"/>
    <w:rsid w:val="00372E74"/>
    <w:rsid w:val="00374036"/>
    <w:rsid w:val="00374168"/>
    <w:rsid w:val="00374478"/>
    <w:rsid w:val="003745C7"/>
    <w:rsid w:val="00374796"/>
    <w:rsid w:val="003751EF"/>
    <w:rsid w:val="0037592F"/>
    <w:rsid w:val="00375C73"/>
    <w:rsid w:val="00376336"/>
    <w:rsid w:val="00376D56"/>
    <w:rsid w:val="00377598"/>
    <w:rsid w:val="00377BC2"/>
    <w:rsid w:val="00377EEF"/>
    <w:rsid w:val="00380420"/>
    <w:rsid w:val="00381009"/>
    <w:rsid w:val="003813F2"/>
    <w:rsid w:val="00382F13"/>
    <w:rsid w:val="00383B05"/>
    <w:rsid w:val="003852AD"/>
    <w:rsid w:val="00385535"/>
    <w:rsid w:val="00385BE4"/>
    <w:rsid w:val="00387096"/>
    <w:rsid w:val="00390EC1"/>
    <w:rsid w:val="003910F7"/>
    <w:rsid w:val="00391F51"/>
    <w:rsid w:val="003926A0"/>
    <w:rsid w:val="003929D7"/>
    <w:rsid w:val="00393F4B"/>
    <w:rsid w:val="0039405D"/>
    <w:rsid w:val="003942E5"/>
    <w:rsid w:val="00394549"/>
    <w:rsid w:val="00394713"/>
    <w:rsid w:val="00395511"/>
    <w:rsid w:val="0039592A"/>
    <w:rsid w:val="00395A99"/>
    <w:rsid w:val="003962D2"/>
    <w:rsid w:val="003964AE"/>
    <w:rsid w:val="00397606"/>
    <w:rsid w:val="00397699"/>
    <w:rsid w:val="003A1744"/>
    <w:rsid w:val="003A26C9"/>
    <w:rsid w:val="003A29FE"/>
    <w:rsid w:val="003A2F8A"/>
    <w:rsid w:val="003A341A"/>
    <w:rsid w:val="003A35EF"/>
    <w:rsid w:val="003A4526"/>
    <w:rsid w:val="003A61E3"/>
    <w:rsid w:val="003B12ED"/>
    <w:rsid w:val="003B1B72"/>
    <w:rsid w:val="003B3DFE"/>
    <w:rsid w:val="003B754C"/>
    <w:rsid w:val="003B7562"/>
    <w:rsid w:val="003B7892"/>
    <w:rsid w:val="003C0974"/>
    <w:rsid w:val="003C0B95"/>
    <w:rsid w:val="003C0BED"/>
    <w:rsid w:val="003C13C4"/>
    <w:rsid w:val="003C1C56"/>
    <w:rsid w:val="003C23BC"/>
    <w:rsid w:val="003C2C89"/>
    <w:rsid w:val="003C3240"/>
    <w:rsid w:val="003C4E7D"/>
    <w:rsid w:val="003C5576"/>
    <w:rsid w:val="003C6639"/>
    <w:rsid w:val="003C7EB3"/>
    <w:rsid w:val="003C7EBD"/>
    <w:rsid w:val="003D0D4F"/>
    <w:rsid w:val="003D1110"/>
    <w:rsid w:val="003D278F"/>
    <w:rsid w:val="003D2B62"/>
    <w:rsid w:val="003D38F6"/>
    <w:rsid w:val="003D3ACC"/>
    <w:rsid w:val="003D41D9"/>
    <w:rsid w:val="003D4966"/>
    <w:rsid w:val="003D5211"/>
    <w:rsid w:val="003D5C33"/>
    <w:rsid w:val="003D6260"/>
    <w:rsid w:val="003D628D"/>
    <w:rsid w:val="003D6640"/>
    <w:rsid w:val="003D7365"/>
    <w:rsid w:val="003E00B2"/>
    <w:rsid w:val="003E0D81"/>
    <w:rsid w:val="003E11DB"/>
    <w:rsid w:val="003E1300"/>
    <w:rsid w:val="003E2A44"/>
    <w:rsid w:val="003E2FF2"/>
    <w:rsid w:val="003E3842"/>
    <w:rsid w:val="003E3E1A"/>
    <w:rsid w:val="003E4C16"/>
    <w:rsid w:val="003E4CDC"/>
    <w:rsid w:val="003E4D33"/>
    <w:rsid w:val="003E675E"/>
    <w:rsid w:val="003E7453"/>
    <w:rsid w:val="003E7B33"/>
    <w:rsid w:val="003F0542"/>
    <w:rsid w:val="003F06A2"/>
    <w:rsid w:val="003F34AD"/>
    <w:rsid w:val="003F4439"/>
    <w:rsid w:val="003F489A"/>
    <w:rsid w:val="003F4A2E"/>
    <w:rsid w:val="003F531E"/>
    <w:rsid w:val="003F5364"/>
    <w:rsid w:val="003F5840"/>
    <w:rsid w:val="003F5DEB"/>
    <w:rsid w:val="003F5E03"/>
    <w:rsid w:val="003F62FA"/>
    <w:rsid w:val="003F6CE0"/>
    <w:rsid w:val="003F7FCF"/>
    <w:rsid w:val="004013D4"/>
    <w:rsid w:val="004019E7"/>
    <w:rsid w:val="0040223D"/>
    <w:rsid w:val="004024BC"/>
    <w:rsid w:val="00405525"/>
    <w:rsid w:val="0040685D"/>
    <w:rsid w:val="00406C3B"/>
    <w:rsid w:val="00407CBB"/>
    <w:rsid w:val="0041040F"/>
    <w:rsid w:val="0041053F"/>
    <w:rsid w:val="00411B7B"/>
    <w:rsid w:val="00411BC6"/>
    <w:rsid w:val="00412ED1"/>
    <w:rsid w:val="0041303F"/>
    <w:rsid w:val="00413427"/>
    <w:rsid w:val="00413D6F"/>
    <w:rsid w:val="0041505E"/>
    <w:rsid w:val="00415DEA"/>
    <w:rsid w:val="00415F62"/>
    <w:rsid w:val="00416378"/>
    <w:rsid w:val="00417730"/>
    <w:rsid w:val="00417F4B"/>
    <w:rsid w:val="00420007"/>
    <w:rsid w:val="0042004F"/>
    <w:rsid w:val="004208A1"/>
    <w:rsid w:val="00420B61"/>
    <w:rsid w:val="004212E2"/>
    <w:rsid w:val="00421878"/>
    <w:rsid w:val="00422F81"/>
    <w:rsid w:val="00425846"/>
    <w:rsid w:val="004259BF"/>
    <w:rsid w:val="00427AE6"/>
    <w:rsid w:val="00430522"/>
    <w:rsid w:val="00430D69"/>
    <w:rsid w:val="004312AF"/>
    <w:rsid w:val="00432A2E"/>
    <w:rsid w:val="00432E91"/>
    <w:rsid w:val="00432F67"/>
    <w:rsid w:val="00433311"/>
    <w:rsid w:val="00433DE2"/>
    <w:rsid w:val="00435371"/>
    <w:rsid w:val="00435D5A"/>
    <w:rsid w:val="0043676F"/>
    <w:rsid w:val="00436C6F"/>
    <w:rsid w:val="00436F6A"/>
    <w:rsid w:val="00437118"/>
    <w:rsid w:val="00437F93"/>
    <w:rsid w:val="0044100B"/>
    <w:rsid w:val="004411D6"/>
    <w:rsid w:val="00442883"/>
    <w:rsid w:val="00442A92"/>
    <w:rsid w:val="00443891"/>
    <w:rsid w:val="00444602"/>
    <w:rsid w:val="004452C0"/>
    <w:rsid w:val="00445E46"/>
    <w:rsid w:val="00447398"/>
    <w:rsid w:val="0044797B"/>
    <w:rsid w:val="00450610"/>
    <w:rsid w:val="00451183"/>
    <w:rsid w:val="004516A5"/>
    <w:rsid w:val="00451D8A"/>
    <w:rsid w:val="00452A4D"/>
    <w:rsid w:val="00453046"/>
    <w:rsid w:val="00453876"/>
    <w:rsid w:val="00453E63"/>
    <w:rsid w:val="0045469A"/>
    <w:rsid w:val="004547BF"/>
    <w:rsid w:val="00454EEE"/>
    <w:rsid w:val="00456963"/>
    <w:rsid w:val="00457458"/>
    <w:rsid w:val="00457DDC"/>
    <w:rsid w:val="004608D9"/>
    <w:rsid w:val="00462771"/>
    <w:rsid w:val="00462D32"/>
    <w:rsid w:val="0046390A"/>
    <w:rsid w:val="00464F08"/>
    <w:rsid w:val="00465248"/>
    <w:rsid w:val="00465E45"/>
    <w:rsid w:val="00466104"/>
    <w:rsid w:val="004662F7"/>
    <w:rsid w:val="004667D8"/>
    <w:rsid w:val="00466A68"/>
    <w:rsid w:val="0046716F"/>
    <w:rsid w:val="0047145E"/>
    <w:rsid w:val="00471D80"/>
    <w:rsid w:val="004723AF"/>
    <w:rsid w:val="00472EF3"/>
    <w:rsid w:val="00473154"/>
    <w:rsid w:val="00473F2F"/>
    <w:rsid w:val="00474554"/>
    <w:rsid w:val="004748CC"/>
    <w:rsid w:val="004753A1"/>
    <w:rsid w:val="00475A07"/>
    <w:rsid w:val="0047653C"/>
    <w:rsid w:val="004768F5"/>
    <w:rsid w:val="00477832"/>
    <w:rsid w:val="00480DBF"/>
    <w:rsid w:val="00482B6B"/>
    <w:rsid w:val="004835E3"/>
    <w:rsid w:val="00483EA1"/>
    <w:rsid w:val="004846DC"/>
    <w:rsid w:val="00485E51"/>
    <w:rsid w:val="004864E5"/>
    <w:rsid w:val="00486F89"/>
    <w:rsid w:val="00487ECC"/>
    <w:rsid w:val="0049198E"/>
    <w:rsid w:val="00491B6F"/>
    <w:rsid w:val="00492777"/>
    <w:rsid w:val="004928A5"/>
    <w:rsid w:val="00493F6A"/>
    <w:rsid w:val="00494321"/>
    <w:rsid w:val="004967BB"/>
    <w:rsid w:val="0049788E"/>
    <w:rsid w:val="004A0690"/>
    <w:rsid w:val="004A2972"/>
    <w:rsid w:val="004A3238"/>
    <w:rsid w:val="004A4B33"/>
    <w:rsid w:val="004A693E"/>
    <w:rsid w:val="004A6DAC"/>
    <w:rsid w:val="004A7279"/>
    <w:rsid w:val="004B018C"/>
    <w:rsid w:val="004B062F"/>
    <w:rsid w:val="004B0C56"/>
    <w:rsid w:val="004B1B86"/>
    <w:rsid w:val="004B23F4"/>
    <w:rsid w:val="004B2471"/>
    <w:rsid w:val="004B356E"/>
    <w:rsid w:val="004B3B76"/>
    <w:rsid w:val="004B4220"/>
    <w:rsid w:val="004B5B68"/>
    <w:rsid w:val="004B60D1"/>
    <w:rsid w:val="004B6A5C"/>
    <w:rsid w:val="004B7344"/>
    <w:rsid w:val="004B74E5"/>
    <w:rsid w:val="004B74F2"/>
    <w:rsid w:val="004C0289"/>
    <w:rsid w:val="004C05A5"/>
    <w:rsid w:val="004C2204"/>
    <w:rsid w:val="004C2818"/>
    <w:rsid w:val="004C2E17"/>
    <w:rsid w:val="004C3450"/>
    <w:rsid w:val="004C47C2"/>
    <w:rsid w:val="004C498B"/>
    <w:rsid w:val="004C7408"/>
    <w:rsid w:val="004C7505"/>
    <w:rsid w:val="004C7B3B"/>
    <w:rsid w:val="004D1758"/>
    <w:rsid w:val="004D1A2A"/>
    <w:rsid w:val="004D1E97"/>
    <w:rsid w:val="004D2851"/>
    <w:rsid w:val="004D2B40"/>
    <w:rsid w:val="004D32F2"/>
    <w:rsid w:val="004D4499"/>
    <w:rsid w:val="004D4C0F"/>
    <w:rsid w:val="004D5629"/>
    <w:rsid w:val="004D7560"/>
    <w:rsid w:val="004E0138"/>
    <w:rsid w:val="004E138D"/>
    <w:rsid w:val="004E2304"/>
    <w:rsid w:val="004E237C"/>
    <w:rsid w:val="004E2883"/>
    <w:rsid w:val="004E3184"/>
    <w:rsid w:val="004E32F0"/>
    <w:rsid w:val="004E404F"/>
    <w:rsid w:val="004E45B4"/>
    <w:rsid w:val="004E4C18"/>
    <w:rsid w:val="004E5702"/>
    <w:rsid w:val="004E5FAE"/>
    <w:rsid w:val="004E6733"/>
    <w:rsid w:val="004E6BDF"/>
    <w:rsid w:val="004E7802"/>
    <w:rsid w:val="004F0225"/>
    <w:rsid w:val="004F2970"/>
    <w:rsid w:val="004F34D4"/>
    <w:rsid w:val="004F3F67"/>
    <w:rsid w:val="004F4894"/>
    <w:rsid w:val="0050005B"/>
    <w:rsid w:val="00500477"/>
    <w:rsid w:val="005007E7"/>
    <w:rsid w:val="005010F0"/>
    <w:rsid w:val="005016F5"/>
    <w:rsid w:val="00501DD8"/>
    <w:rsid w:val="005020F3"/>
    <w:rsid w:val="00502B97"/>
    <w:rsid w:val="0050370F"/>
    <w:rsid w:val="00504486"/>
    <w:rsid w:val="00504F1F"/>
    <w:rsid w:val="0050516E"/>
    <w:rsid w:val="00505389"/>
    <w:rsid w:val="005055CF"/>
    <w:rsid w:val="005066A4"/>
    <w:rsid w:val="00506B7B"/>
    <w:rsid w:val="00507168"/>
    <w:rsid w:val="00507313"/>
    <w:rsid w:val="00507F3F"/>
    <w:rsid w:val="00510F5F"/>
    <w:rsid w:val="00511122"/>
    <w:rsid w:val="005113A7"/>
    <w:rsid w:val="00511594"/>
    <w:rsid w:val="00511DF3"/>
    <w:rsid w:val="00511ED0"/>
    <w:rsid w:val="00512BD4"/>
    <w:rsid w:val="005138D1"/>
    <w:rsid w:val="00513940"/>
    <w:rsid w:val="005150ED"/>
    <w:rsid w:val="00516B05"/>
    <w:rsid w:val="00516B29"/>
    <w:rsid w:val="00517B14"/>
    <w:rsid w:val="00521710"/>
    <w:rsid w:val="00523469"/>
    <w:rsid w:val="00524F84"/>
    <w:rsid w:val="0052614E"/>
    <w:rsid w:val="0052637C"/>
    <w:rsid w:val="005269D3"/>
    <w:rsid w:val="00527177"/>
    <w:rsid w:val="00527C3D"/>
    <w:rsid w:val="00530309"/>
    <w:rsid w:val="00530BF0"/>
    <w:rsid w:val="0053208B"/>
    <w:rsid w:val="005326C8"/>
    <w:rsid w:val="00532BE2"/>
    <w:rsid w:val="00533364"/>
    <w:rsid w:val="00534D38"/>
    <w:rsid w:val="00535A2C"/>
    <w:rsid w:val="005371C9"/>
    <w:rsid w:val="00540ADC"/>
    <w:rsid w:val="00542BB7"/>
    <w:rsid w:val="005439B5"/>
    <w:rsid w:val="00543CB0"/>
    <w:rsid w:val="005441C4"/>
    <w:rsid w:val="0054486E"/>
    <w:rsid w:val="00544A73"/>
    <w:rsid w:val="005468A6"/>
    <w:rsid w:val="005476F9"/>
    <w:rsid w:val="00550592"/>
    <w:rsid w:val="00550727"/>
    <w:rsid w:val="00551733"/>
    <w:rsid w:val="00551BC4"/>
    <w:rsid w:val="00552537"/>
    <w:rsid w:val="00552A47"/>
    <w:rsid w:val="00552B02"/>
    <w:rsid w:val="00553651"/>
    <w:rsid w:val="0055460E"/>
    <w:rsid w:val="0055568A"/>
    <w:rsid w:val="00556D57"/>
    <w:rsid w:val="005577EB"/>
    <w:rsid w:val="00557A83"/>
    <w:rsid w:val="00557FC6"/>
    <w:rsid w:val="005601E7"/>
    <w:rsid w:val="00560232"/>
    <w:rsid w:val="00561B22"/>
    <w:rsid w:val="00561CE8"/>
    <w:rsid w:val="005620F3"/>
    <w:rsid w:val="005621BD"/>
    <w:rsid w:val="0056325B"/>
    <w:rsid w:val="00563307"/>
    <w:rsid w:val="0056399C"/>
    <w:rsid w:val="005643AA"/>
    <w:rsid w:val="005649F7"/>
    <w:rsid w:val="0056506C"/>
    <w:rsid w:val="005662C0"/>
    <w:rsid w:val="005666DA"/>
    <w:rsid w:val="00566E27"/>
    <w:rsid w:val="0056755A"/>
    <w:rsid w:val="00567BE5"/>
    <w:rsid w:val="0057078C"/>
    <w:rsid w:val="00570BE7"/>
    <w:rsid w:val="00571047"/>
    <w:rsid w:val="00571257"/>
    <w:rsid w:val="005714C2"/>
    <w:rsid w:val="00573A20"/>
    <w:rsid w:val="005741F2"/>
    <w:rsid w:val="005741F8"/>
    <w:rsid w:val="0057572E"/>
    <w:rsid w:val="005759C2"/>
    <w:rsid w:val="00575ADF"/>
    <w:rsid w:val="0057691D"/>
    <w:rsid w:val="00576C45"/>
    <w:rsid w:val="00577692"/>
    <w:rsid w:val="005778E9"/>
    <w:rsid w:val="00577A93"/>
    <w:rsid w:val="00580487"/>
    <w:rsid w:val="00580600"/>
    <w:rsid w:val="00580900"/>
    <w:rsid w:val="005817B9"/>
    <w:rsid w:val="005823C0"/>
    <w:rsid w:val="00582D3B"/>
    <w:rsid w:val="00584280"/>
    <w:rsid w:val="00584A02"/>
    <w:rsid w:val="005856EC"/>
    <w:rsid w:val="00585D0A"/>
    <w:rsid w:val="005867A4"/>
    <w:rsid w:val="00586938"/>
    <w:rsid w:val="00586C19"/>
    <w:rsid w:val="00587620"/>
    <w:rsid w:val="00587E8D"/>
    <w:rsid w:val="0059033F"/>
    <w:rsid w:val="005909BC"/>
    <w:rsid w:val="00591110"/>
    <w:rsid w:val="005928A1"/>
    <w:rsid w:val="00592949"/>
    <w:rsid w:val="0059374C"/>
    <w:rsid w:val="00594520"/>
    <w:rsid w:val="00594744"/>
    <w:rsid w:val="0059566F"/>
    <w:rsid w:val="00596518"/>
    <w:rsid w:val="00596C71"/>
    <w:rsid w:val="005972DE"/>
    <w:rsid w:val="005A28B0"/>
    <w:rsid w:val="005A3694"/>
    <w:rsid w:val="005A4508"/>
    <w:rsid w:val="005A48DC"/>
    <w:rsid w:val="005A4DF8"/>
    <w:rsid w:val="005A5001"/>
    <w:rsid w:val="005A5354"/>
    <w:rsid w:val="005A63D7"/>
    <w:rsid w:val="005A65FD"/>
    <w:rsid w:val="005A6BC0"/>
    <w:rsid w:val="005A728D"/>
    <w:rsid w:val="005A76CE"/>
    <w:rsid w:val="005A79C0"/>
    <w:rsid w:val="005A79F5"/>
    <w:rsid w:val="005A7A6B"/>
    <w:rsid w:val="005A7ADB"/>
    <w:rsid w:val="005B020F"/>
    <w:rsid w:val="005B071D"/>
    <w:rsid w:val="005B21E5"/>
    <w:rsid w:val="005B2880"/>
    <w:rsid w:val="005B29AE"/>
    <w:rsid w:val="005B2BB5"/>
    <w:rsid w:val="005B3F8F"/>
    <w:rsid w:val="005B44DE"/>
    <w:rsid w:val="005B46C4"/>
    <w:rsid w:val="005B57DF"/>
    <w:rsid w:val="005B77A7"/>
    <w:rsid w:val="005B7BC3"/>
    <w:rsid w:val="005B7E9A"/>
    <w:rsid w:val="005C090B"/>
    <w:rsid w:val="005C0E1F"/>
    <w:rsid w:val="005C129F"/>
    <w:rsid w:val="005C1561"/>
    <w:rsid w:val="005C23A8"/>
    <w:rsid w:val="005C28F8"/>
    <w:rsid w:val="005C2ACD"/>
    <w:rsid w:val="005C3D00"/>
    <w:rsid w:val="005C43EC"/>
    <w:rsid w:val="005C5DD1"/>
    <w:rsid w:val="005C69A9"/>
    <w:rsid w:val="005C6DBE"/>
    <w:rsid w:val="005C72A9"/>
    <w:rsid w:val="005C7A4A"/>
    <w:rsid w:val="005D045E"/>
    <w:rsid w:val="005D0D6E"/>
    <w:rsid w:val="005D117E"/>
    <w:rsid w:val="005D123F"/>
    <w:rsid w:val="005D217D"/>
    <w:rsid w:val="005D2FF4"/>
    <w:rsid w:val="005D4036"/>
    <w:rsid w:val="005D557F"/>
    <w:rsid w:val="005D5ECF"/>
    <w:rsid w:val="005D66AE"/>
    <w:rsid w:val="005D7D52"/>
    <w:rsid w:val="005E189D"/>
    <w:rsid w:val="005E1ADC"/>
    <w:rsid w:val="005E30A3"/>
    <w:rsid w:val="005E3888"/>
    <w:rsid w:val="005E42AC"/>
    <w:rsid w:val="005E5155"/>
    <w:rsid w:val="005E5391"/>
    <w:rsid w:val="005E5711"/>
    <w:rsid w:val="005E6291"/>
    <w:rsid w:val="005E6897"/>
    <w:rsid w:val="005E755D"/>
    <w:rsid w:val="005E7719"/>
    <w:rsid w:val="005F162E"/>
    <w:rsid w:val="005F1D41"/>
    <w:rsid w:val="005F1F2B"/>
    <w:rsid w:val="005F2B54"/>
    <w:rsid w:val="005F3A58"/>
    <w:rsid w:val="005F403F"/>
    <w:rsid w:val="005F4695"/>
    <w:rsid w:val="005F4807"/>
    <w:rsid w:val="005F5119"/>
    <w:rsid w:val="005F5C27"/>
    <w:rsid w:val="005F67A5"/>
    <w:rsid w:val="005F688A"/>
    <w:rsid w:val="005F76FC"/>
    <w:rsid w:val="00601227"/>
    <w:rsid w:val="006017CF"/>
    <w:rsid w:val="00601FDC"/>
    <w:rsid w:val="006029BF"/>
    <w:rsid w:val="00603125"/>
    <w:rsid w:val="00603813"/>
    <w:rsid w:val="0060405D"/>
    <w:rsid w:val="0060474C"/>
    <w:rsid w:val="00604FB6"/>
    <w:rsid w:val="0060632F"/>
    <w:rsid w:val="0060684B"/>
    <w:rsid w:val="0060685D"/>
    <w:rsid w:val="00610A63"/>
    <w:rsid w:val="00610D12"/>
    <w:rsid w:val="00611E80"/>
    <w:rsid w:val="006121C0"/>
    <w:rsid w:val="00613E41"/>
    <w:rsid w:val="006143EF"/>
    <w:rsid w:val="00614715"/>
    <w:rsid w:val="00620215"/>
    <w:rsid w:val="00621D91"/>
    <w:rsid w:val="006233AF"/>
    <w:rsid w:val="0062354D"/>
    <w:rsid w:val="006237E6"/>
    <w:rsid w:val="0062394F"/>
    <w:rsid w:val="00623DE3"/>
    <w:rsid w:val="006247C4"/>
    <w:rsid w:val="00624876"/>
    <w:rsid w:val="00624DFD"/>
    <w:rsid w:val="00625108"/>
    <w:rsid w:val="006253D8"/>
    <w:rsid w:val="006255D3"/>
    <w:rsid w:val="00625755"/>
    <w:rsid w:val="00625884"/>
    <w:rsid w:val="00626115"/>
    <w:rsid w:val="00627F15"/>
    <w:rsid w:val="00630626"/>
    <w:rsid w:val="00630704"/>
    <w:rsid w:val="006312D3"/>
    <w:rsid w:val="00631F1A"/>
    <w:rsid w:val="006325A1"/>
    <w:rsid w:val="00632C5D"/>
    <w:rsid w:val="00632CCB"/>
    <w:rsid w:val="006341D2"/>
    <w:rsid w:val="00634B89"/>
    <w:rsid w:val="00636EEB"/>
    <w:rsid w:val="006413CA"/>
    <w:rsid w:val="0064155A"/>
    <w:rsid w:val="00641ECF"/>
    <w:rsid w:val="00642F74"/>
    <w:rsid w:val="00644575"/>
    <w:rsid w:val="00644A8A"/>
    <w:rsid w:val="006464CD"/>
    <w:rsid w:val="00646AF9"/>
    <w:rsid w:val="00647910"/>
    <w:rsid w:val="00647EF8"/>
    <w:rsid w:val="00650278"/>
    <w:rsid w:val="006505E9"/>
    <w:rsid w:val="0065072D"/>
    <w:rsid w:val="006510B2"/>
    <w:rsid w:val="0065190A"/>
    <w:rsid w:val="00653595"/>
    <w:rsid w:val="00653EF1"/>
    <w:rsid w:val="0065463C"/>
    <w:rsid w:val="006552DA"/>
    <w:rsid w:val="0065557E"/>
    <w:rsid w:val="00656B8A"/>
    <w:rsid w:val="0065753C"/>
    <w:rsid w:val="006578F4"/>
    <w:rsid w:val="00657B02"/>
    <w:rsid w:val="00657E79"/>
    <w:rsid w:val="00660B03"/>
    <w:rsid w:val="0066161A"/>
    <w:rsid w:val="006621B9"/>
    <w:rsid w:val="006651F3"/>
    <w:rsid w:val="0066576F"/>
    <w:rsid w:val="00666AA2"/>
    <w:rsid w:val="00666C4D"/>
    <w:rsid w:val="00670FC3"/>
    <w:rsid w:val="00671DA1"/>
    <w:rsid w:val="0067214E"/>
    <w:rsid w:val="006735C9"/>
    <w:rsid w:val="0067480D"/>
    <w:rsid w:val="006755C5"/>
    <w:rsid w:val="00676063"/>
    <w:rsid w:val="006762DC"/>
    <w:rsid w:val="00680674"/>
    <w:rsid w:val="00681BD8"/>
    <w:rsid w:val="00681D03"/>
    <w:rsid w:val="00682232"/>
    <w:rsid w:val="006828F6"/>
    <w:rsid w:val="0068296C"/>
    <w:rsid w:val="00683065"/>
    <w:rsid w:val="006832D1"/>
    <w:rsid w:val="0068350C"/>
    <w:rsid w:val="006841F9"/>
    <w:rsid w:val="006874D8"/>
    <w:rsid w:val="00687C6E"/>
    <w:rsid w:val="00690D87"/>
    <w:rsid w:val="00691391"/>
    <w:rsid w:val="00691624"/>
    <w:rsid w:val="006920AA"/>
    <w:rsid w:val="00692C34"/>
    <w:rsid w:val="006935B0"/>
    <w:rsid w:val="006951E7"/>
    <w:rsid w:val="006954A8"/>
    <w:rsid w:val="00697198"/>
    <w:rsid w:val="006977D1"/>
    <w:rsid w:val="00697A91"/>
    <w:rsid w:val="00697E9D"/>
    <w:rsid w:val="006A00F7"/>
    <w:rsid w:val="006A0C5B"/>
    <w:rsid w:val="006A1144"/>
    <w:rsid w:val="006A2836"/>
    <w:rsid w:val="006A2E63"/>
    <w:rsid w:val="006A2F42"/>
    <w:rsid w:val="006A47AD"/>
    <w:rsid w:val="006A47F9"/>
    <w:rsid w:val="006A5446"/>
    <w:rsid w:val="006A545C"/>
    <w:rsid w:val="006A5541"/>
    <w:rsid w:val="006A5CAE"/>
    <w:rsid w:val="006A6200"/>
    <w:rsid w:val="006A6549"/>
    <w:rsid w:val="006A71B5"/>
    <w:rsid w:val="006B021B"/>
    <w:rsid w:val="006B1542"/>
    <w:rsid w:val="006B29C7"/>
    <w:rsid w:val="006B32AE"/>
    <w:rsid w:val="006B3E40"/>
    <w:rsid w:val="006B5305"/>
    <w:rsid w:val="006B570F"/>
    <w:rsid w:val="006B592D"/>
    <w:rsid w:val="006B749A"/>
    <w:rsid w:val="006B793D"/>
    <w:rsid w:val="006B7A04"/>
    <w:rsid w:val="006B7F08"/>
    <w:rsid w:val="006C1A2C"/>
    <w:rsid w:val="006C1C42"/>
    <w:rsid w:val="006C24CB"/>
    <w:rsid w:val="006C342B"/>
    <w:rsid w:val="006C478D"/>
    <w:rsid w:val="006C65D5"/>
    <w:rsid w:val="006C691C"/>
    <w:rsid w:val="006C72B5"/>
    <w:rsid w:val="006D0818"/>
    <w:rsid w:val="006D124A"/>
    <w:rsid w:val="006D17D8"/>
    <w:rsid w:val="006D1C2D"/>
    <w:rsid w:val="006D307C"/>
    <w:rsid w:val="006D3FB9"/>
    <w:rsid w:val="006D7572"/>
    <w:rsid w:val="006D7EEB"/>
    <w:rsid w:val="006E0450"/>
    <w:rsid w:val="006E069B"/>
    <w:rsid w:val="006E0A85"/>
    <w:rsid w:val="006E0C94"/>
    <w:rsid w:val="006E3A6C"/>
    <w:rsid w:val="006E3F70"/>
    <w:rsid w:val="006E48EB"/>
    <w:rsid w:val="006E4E5C"/>
    <w:rsid w:val="006E68CC"/>
    <w:rsid w:val="006E6DDF"/>
    <w:rsid w:val="006E720A"/>
    <w:rsid w:val="006E76A7"/>
    <w:rsid w:val="006F01DF"/>
    <w:rsid w:val="006F0316"/>
    <w:rsid w:val="006F115D"/>
    <w:rsid w:val="006F13D0"/>
    <w:rsid w:val="006F166B"/>
    <w:rsid w:val="006F229D"/>
    <w:rsid w:val="006F3556"/>
    <w:rsid w:val="006F363C"/>
    <w:rsid w:val="006F3C9E"/>
    <w:rsid w:val="006F3F09"/>
    <w:rsid w:val="006F457A"/>
    <w:rsid w:val="006F4709"/>
    <w:rsid w:val="006F5969"/>
    <w:rsid w:val="006F6383"/>
    <w:rsid w:val="00700308"/>
    <w:rsid w:val="0070107E"/>
    <w:rsid w:val="00701962"/>
    <w:rsid w:val="00701C9F"/>
    <w:rsid w:val="0070238A"/>
    <w:rsid w:val="0070249A"/>
    <w:rsid w:val="0070393D"/>
    <w:rsid w:val="00703CF1"/>
    <w:rsid w:val="0070458A"/>
    <w:rsid w:val="00705129"/>
    <w:rsid w:val="0070681F"/>
    <w:rsid w:val="00706BE8"/>
    <w:rsid w:val="0070777D"/>
    <w:rsid w:val="00707FAC"/>
    <w:rsid w:val="00710801"/>
    <w:rsid w:val="00711352"/>
    <w:rsid w:val="00712101"/>
    <w:rsid w:val="00713AFE"/>
    <w:rsid w:val="007165DE"/>
    <w:rsid w:val="0071683C"/>
    <w:rsid w:val="00717A33"/>
    <w:rsid w:val="00720AA8"/>
    <w:rsid w:val="0072125E"/>
    <w:rsid w:val="00721FEF"/>
    <w:rsid w:val="007225F7"/>
    <w:rsid w:val="00722FCB"/>
    <w:rsid w:val="00723F11"/>
    <w:rsid w:val="00724E8F"/>
    <w:rsid w:val="00725D6F"/>
    <w:rsid w:val="00726F37"/>
    <w:rsid w:val="007272EB"/>
    <w:rsid w:val="007308C9"/>
    <w:rsid w:val="00732006"/>
    <w:rsid w:val="00740050"/>
    <w:rsid w:val="007407C1"/>
    <w:rsid w:val="00741963"/>
    <w:rsid w:val="00741C7B"/>
    <w:rsid w:val="007423D6"/>
    <w:rsid w:val="00742B8F"/>
    <w:rsid w:val="0074447E"/>
    <w:rsid w:val="00744CC7"/>
    <w:rsid w:val="007454C6"/>
    <w:rsid w:val="00745EB9"/>
    <w:rsid w:val="0074610B"/>
    <w:rsid w:val="007475E6"/>
    <w:rsid w:val="00747784"/>
    <w:rsid w:val="00751C73"/>
    <w:rsid w:val="00751E39"/>
    <w:rsid w:val="00751EC3"/>
    <w:rsid w:val="0075337F"/>
    <w:rsid w:val="007536BE"/>
    <w:rsid w:val="00753963"/>
    <w:rsid w:val="00753C6A"/>
    <w:rsid w:val="0075495C"/>
    <w:rsid w:val="00754FE2"/>
    <w:rsid w:val="007552E4"/>
    <w:rsid w:val="00755A6A"/>
    <w:rsid w:val="00757B09"/>
    <w:rsid w:val="007600F3"/>
    <w:rsid w:val="00760421"/>
    <w:rsid w:val="007627EE"/>
    <w:rsid w:val="00762815"/>
    <w:rsid w:val="00763A52"/>
    <w:rsid w:val="00763C5D"/>
    <w:rsid w:val="00765471"/>
    <w:rsid w:val="007664AC"/>
    <w:rsid w:val="0076716B"/>
    <w:rsid w:val="00767AFA"/>
    <w:rsid w:val="00767BCF"/>
    <w:rsid w:val="00770152"/>
    <w:rsid w:val="0077015D"/>
    <w:rsid w:val="007704D5"/>
    <w:rsid w:val="007711F4"/>
    <w:rsid w:val="007717C5"/>
    <w:rsid w:val="007718B6"/>
    <w:rsid w:val="00772706"/>
    <w:rsid w:val="0077368C"/>
    <w:rsid w:val="00773DB3"/>
    <w:rsid w:val="00775981"/>
    <w:rsid w:val="00777018"/>
    <w:rsid w:val="00777FAD"/>
    <w:rsid w:val="00780836"/>
    <w:rsid w:val="00780A2B"/>
    <w:rsid w:val="00780C34"/>
    <w:rsid w:val="007812AB"/>
    <w:rsid w:val="00781CE7"/>
    <w:rsid w:val="00781EE6"/>
    <w:rsid w:val="007825D4"/>
    <w:rsid w:val="00782C58"/>
    <w:rsid w:val="007837B6"/>
    <w:rsid w:val="0078460C"/>
    <w:rsid w:val="007849FB"/>
    <w:rsid w:val="007853C3"/>
    <w:rsid w:val="00785572"/>
    <w:rsid w:val="00785CB4"/>
    <w:rsid w:val="007865F8"/>
    <w:rsid w:val="007909A2"/>
    <w:rsid w:val="00790BA2"/>
    <w:rsid w:val="00791088"/>
    <w:rsid w:val="007913BF"/>
    <w:rsid w:val="007916EC"/>
    <w:rsid w:val="00791976"/>
    <w:rsid w:val="007919E4"/>
    <w:rsid w:val="00792AF6"/>
    <w:rsid w:val="00792B83"/>
    <w:rsid w:val="0079308D"/>
    <w:rsid w:val="00794616"/>
    <w:rsid w:val="0079501A"/>
    <w:rsid w:val="00795343"/>
    <w:rsid w:val="00797623"/>
    <w:rsid w:val="00797ACF"/>
    <w:rsid w:val="00797DB2"/>
    <w:rsid w:val="007A011D"/>
    <w:rsid w:val="007A0533"/>
    <w:rsid w:val="007A0B0B"/>
    <w:rsid w:val="007A0DBF"/>
    <w:rsid w:val="007A2FB9"/>
    <w:rsid w:val="007A3906"/>
    <w:rsid w:val="007A39A4"/>
    <w:rsid w:val="007A4131"/>
    <w:rsid w:val="007A5C7D"/>
    <w:rsid w:val="007A79EE"/>
    <w:rsid w:val="007A7A41"/>
    <w:rsid w:val="007A7B28"/>
    <w:rsid w:val="007B0413"/>
    <w:rsid w:val="007B1155"/>
    <w:rsid w:val="007B16BC"/>
    <w:rsid w:val="007B241B"/>
    <w:rsid w:val="007B25F7"/>
    <w:rsid w:val="007B2618"/>
    <w:rsid w:val="007B2CFF"/>
    <w:rsid w:val="007B2FC4"/>
    <w:rsid w:val="007B4A82"/>
    <w:rsid w:val="007B4D63"/>
    <w:rsid w:val="007B4FC5"/>
    <w:rsid w:val="007B5FC0"/>
    <w:rsid w:val="007B6B6F"/>
    <w:rsid w:val="007C298E"/>
    <w:rsid w:val="007C33F2"/>
    <w:rsid w:val="007C36DE"/>
    <w:rsid w:val="007C3A0C"/>
    <w:rsid w:val="007C3D3C"/>
    <w:rsid w:val="007C4700"/>
    <w:rsid w:val="007C497C"/>
    <w:rsid w:val="007C6E83"/>
    <w:rsid w:val="007C716D"/>
    <w:rsid w:val="007D0121"/>
    <w:rsid w:val="007D0D9F"/>
    <w:rsid w:val="007D16F3"/>
    <w:rsid w:val="007D1E53"/>
    <w:rsid w:val="007D1F9E"/>
    <w:rsid w:val="007D3130"/>
    <w:rsid w:val="007D5171"/>
    <w:rsid w:val="007D53A7"/>
    <w:rsid w:val="007D5CDD"/>
    <w:rsid w:val="007D5D44"/>
    <w:rsid w:val="007D5D8A"/>
    <w:rsid w:val="007D5EBA"/>
    <w:rsid w:val="007D7705"/>
    <w:rsid w:val="007D7DBF"/>
    <w:rsid w:val="007E038B"/>
    <w:rsid w:val="007E1EB0"/>
    <w:rsid w:val="007E2082"/>
    <w:rsid w:val="007E20DE"/>
    <w:rsid w:val="007E2FC9"/>
    <w:rsid w:val="007E32D0"/>
    <w:rsid w:val="007E4689"/>
    <w:rsid w:val="007E5212"/>
    <w:rsid w:val="007E5F97"/>
    <w:rsid w:val="007E61DA"/>
    <w:rsid w:val="007E642C"/>
    <w:rsid w:val="007E7187"/>
    <w:rsid w:val="007E7D50"/>
    <w:rsid w:val="007E7F26"/>
    <w:rsid w:val="007F072F"/>
    <w:rsid w:val="007F226A"/>
    <w:rsid w:val="007F23F2"/>
    <w:rsid w:val="007F27A0"/>
    <w:rsid w:val="007F2F48"/>
    <w:rsid w:val="007F4961"/>
    <w:rsid w:val="007F559B"/>
    <w:rsid w:val="007F5EE0"/>
    <w:rsid w:val="007F5F21"/>
    <w:rsid w:val="007F5FD7"/>
    <w:rsid w:val="007F6022"/>
    <w:rsid w:val="007F69BE"/>
    <w:rsid w:val="007F77ED"/>
    <w:rsid w:val="007F79CA"/>
    <w:rsid w:val="00801644"/>
    <w:rsid w:val="00801744"/>
    <w:rsid w:val="00801E58"/>
    <w:rsid w:val="008021F4"/>
    <w:rsid w:val="00802D60"/>
    <w:rsid w:val="00803032"/>
    <w:rsid w:val="00803610"/>
    <w:rsid w:val="00803E11"/>
    <w:rsid w:val="008043A3"/>
    <w:rsid w:val="0080482E"/>
    <w:rsid w:val="008057F6"/>
    <w:rsid w:val="00806112"/>
    <w:rsid w:val="008065A1"/>
    <w:rsid w:val="00806C09"/>
    <w:rsid w:val="00806E16"/>
    <w:rsid w:val="00807B12"/>
    <w:rsid w:val="00807C44"/>
    <w:rsid w:val="008113C0"/>
    <w:rsid w:val="008121BD"/>
    <w:rsid w:val="00812B5C"/>
    <w:rsid w:val="00813A0B"/>
    <w:rsid w:val="00813B33"/>
    <w:rsid w:val="00813F9E"/>
    <w:rsid w:val="0081445F"/>
    <w:rsid w:val="00814A09"/>
    <w:rsid w:val="00815377"/>
    <w:rsid w:val="008154BC"/>
    <w:rsid w:val="008154E2"/>
    <w:rsid w:val="00815D70"/>
    <w:rsid w:val="00815F72"/>
    <w:rsid w:val="00816070"/>
    <w:rsid w:val="008171BC"/>
    <w:rsid w:val="00817411"/>
    <w:rsid w:val="00821796"/>
    <w:rsid w:val="00821BFC"/>
    <w:rsid w:val="0082241D"/>
    <w:rsid w:val="00822DD6"/>
    <w:rsid w:val="0082304B"/>
    <w:rsid w:val="0082383C"/>
    <w:rsid w:val="00823B54"/>
    <w:rsid w:val="00824108"/>
    <w:rsid w:val="00824863"/>
    <w:rsid w:val="00824D84"/>
    <w:rsid w:val="0083052F"/>
    <w:rsid w:val="008308BE"/>
    <w:rsid w:val="00830C9E"/>
    <w:rsid w:val="00831C96"/>
    <w:rsid w:val="008329A8"/>
    <w:rsid w:val="0083332A"/>
    <w:rsid w:val="0083405C"/>
    <w:rsid w:val="00834BAB"/>
    <w:rsid w:val="00834F97"/>
    <w:rsid w:val="008359BD"/>
    <w:rsid w:val="00835B71"/>
    <w:rsid w:val="00835E01"/>
    <w:rsid w:val="00836013"/>
    <w:rsid w:val="00836B63"/>
    <w:rsid w:val="00840055"/>
    <w:rsid w:val="0084036E"/>
    <w:rsid w:val="00840801"/>
    <w:rsid w:val="008411AB"/>
    <w:rsid w:val="008414F4"/>
    <w:rsid w:val="00841D52"/>
    <w:rsid w:val="00842012"/>
    <w:rsid w:val="00843776"/>
    <w:rsid w:val="008440EB"/>
    <w:rsid w:val="008441FF"/>
    <w:rsid w:val="00844398"/>
    <w:rsid w:val="00844618"/>
    <w:rsid w:val="008462B7"/>
    <w:rsid w:val="00846998"/>
    <w:rsid w:val="008470D6"/>
    <w:rsid w:val="00847330"/>
    <w:rsid w:val="0084740E"/>
    <w:rsid w:val="00847764"/>
    <w:rsid w:val="00847FF4"/>
    <w:rsid w:val="00850404"/>
    <w:rsid w:val="008504C8"/>
    <w:rsid w:val="008504D9"/>
    <w:rsid w:val="008508C0"/>
    <w:rsid w:val="00850FE8"/>
    <w:rsid w:val="00851C71"/>
    <w:rsid w:val="00851E11"/>
    <w:rsid w:val="008521FD"/>
    <w:rsid w:val="008529AD"/>
    <w:rsid w:val="0085356D"/>
    <w:rsid w:val="00855EC1"/>
    <w:rsid w:val="008562FE"/>
    <w:rsid w:val="0085637A"/>
    <w:rsid w:val="0085670C"/>
    <w:rsid w:val="008568C2"/>
    <w:rsid w:val="00856C4A"/>
    <w:rsid w:val="00856E31"/>
    <w:rsid w:val="008572D2"/>
    <w:rsid w:val="0086021E"/>
    <w:rsid w:val="00862790"/>
    <w:rsid w:val="00862D36"/>
    <w:rsid w:val="0086324D"/>
    <w:rsid w:val="00863B5E"/>
    <w:rsid w:val="008649A8"/>
    <w:rsid w:val="00866115"/>
    <w:rsid w:val="00866575"/>
    <w:rsid w:val="00866AB0"/>
    <w:rsid w:val="00867854"/>
    <w:rsid w:val="00867B3E"/>
    <w:rsid w:val="0087078C"/>
    <w:rsid w:val="0087158D"/>
    <w:rsid w:val="0087199A"/>
    <w:rsid w:val="00871D3D"/>
    <w:rsid w:val="00871E76"/>
    <w:rsid w:val="00873740"/>
    <w:rsid w:val="00873BBF"/>
    <w:rsid w:val="0087444D"/>
    <w:rsid w:val="00874BFA"/>
    <w:rsid w:val="008764A8"/>
    <w:rsid w:val="00881B53"/>
    <w:rsid w:val="00882B6C"/>
    <w:rsid w:val="00882E3C"/>
    <w:rsid w:val="00883911"/>
    <w:rsid w:val="0088434D"/>
    <w:rsid w:val="0088478F"/>
    <w:rsid w:val="00884AD0"/>
    <w:rsid w:val="00884E72"/>
    <w:rsid w:val="008859DD"/>
    <w:rsid w:val="00885C38"/>
    <w:rsid w:val="00886C95"/>
    <w:rsid w:val="008874B2"/>
    <w:rsid w:val="00887644"/>
    <w:rsid w:val="00890594"/>
    <w:rsid w:val="008912F4"/>
    <w:rsid w:val="00891F5D"/>
    <w:rsid w:val="0089322D"/>
    <w:rsid w:val="008934E4"/>
    <w:rsid w:val="00893CF2"/>
    <w:rsid w:val="008942B8"/>
    <w:rsid w:val="0089473D"/>
    <w:rsid w:val="00894FB2"/>
    <w:rsid w:val="00896200"/>
    <w:rsid w:val="0089752E"/>
    <w:rsid w:val="00897A95"/>
    <w:rsid w:val="008A00AD"/>
    <w:rsid w:val="008A025E"/>
    <w:rsid w:val="008A05B3"/>
    <w:rsid w:val="008A1DBC"/>
    <w:rsid w:val="008A1FFF"/>
    <w:rsid w:val="008A2281"/>
    <w:rsid w:val="008A276A"/>
    <w:rsid w:val="008A2784"/>
    <w:rsid w:val="008A2B2C"/>
    <w:rsid w:val="008A53C5"/>
    <w:rsid w:val="008A53EA"/>
    <w:rsid w:val="008A5531"/>
    <w:rsid w:val="008A554A"/>
    <w:rsid w:val="008A5B36"/>
    <w:rsid w:val="008A5DD3"/>
    <w:rsid w:val="008A65D6"/>
    <w:rsid w:val="008A687A"/>
    <w:rsid w:val="008A6B7E"/>
    <w:rsid w:val="008A6D7B"/>
    <w:rsid w:val="008A718C"/>
    <w:rsid w:val="008A7F80"/>
    <w:rsid w:val="008B090A"/>
    <w:rsid w:val="008B0A05"/>
    <w:rsid w:val="008B0AA1"/>
    <w:rsid w:val="008B13E4"/>
    <w:rsid w:val="008B1A2D"/>
    <w:rsid w:val="008B24C5"/>
    <w:rsid w:val="008B2789"/>
    <w:rsid w:val="008B2EF1"/>
    <w:rsid w:val="008B44CA"/>
    <w:rsid w:val="008B4F44"/>
    <w:rsid w:val="008B51FF"/>
    <w:rsid w:val="008B5290"/>
    <w:rsid w:val="008B5298"/>
    <w:rsid w:val="008B5335"/>
    <w:rsid w:val="008B589B"/>
    <w:rsid w:val="008B5B6C"/>
    <w:rsid w:val="008B6C8C"/>
    <w:rsid w:val="008C0EAF"/>
    <w:rsid w:val="008C1FC0"/>
    <w:rsid w:val="008C35DA"/>
    <w:rsid w:val="008C4ED8"/>
    <w:rsid w:val="008C55CF"/>
    <w:rsid w:val="008C55E7"/>
    <w:rsid w:val="008C57FB"/>
    <w:rsid w:val="008C6446"/>
    <w:rsid w:val="008C7D99"/>
    <w:rsid w:val="008D01CE"/>
    <w:rsid w:val="008D0B13"/>
    <w:rsid w:val="008D100A"/>
    <w:rsid w:val="008D1187"/>
    <w:rsid w:val="008D1659"/>
    <w:rsid w:val="008D1661"/>
    <w:rsid w:val="008D171C"/>
    <w:rsid w:val="008D1BD7"/>
    <w:rsid w:val="008D243F"/>
    <w:rsid w:val="008D2888"/>
    <w:rsid w:val="008D3006"/>
    <w:rsid w:val="008D3576"/>
    <w:rsid w:val="008D5238"/>
    <w:rsid w:val="008D52C1"/>
    <w:rsid w:val="008D584F"/>
    <w:rsid w:val="008D5EE2"/>
    <w:rsid w:val="008D63B5"/>
    <w:rsid w:val="008D642C"/>
    <w:rsid w:val="008D687A"/>
    <w:rsid w:val="008D6D44"/>
    <w:rsid w:val="008D7763"/>
    <w:rsid w:val="008D7AAD"/>
    <w:rsid w:val="008E0220"/>
    <w:rsid w:val="008E124A"/>
    <w:rsid w:val="008E288A"/>
    <w:rsid w:val="008E2E86"/>
    <w:rsid w:val="008E3312"/>
    <w:rsid w:val="008E35DF"/>
    <w:rsid w:val="008E38FF"/>
    <w:rsid w:val="008E4226"/>
    <w:rsid w:val="008E5A3E"/>
    <w:rsid w:val="008E5AC5"/>
    <w:rsid w:val="008E6696"/>
    <w:rsid w:val="008E7093"/>
    <w:rsid w:val="008F0219"/>
    <w:rsid w:val="008F0265"/>
    <w:rsid w:val="008F110A"/>
    <w:rsid w:val="008F17A3"/>
    <w:rsid w:val="008F1A1C"/>
    <w:rsid w:val="008F22A0"/>
    <w:rsid w:val="008F2907"/>
    <w:rsid w:val="008F29B4"/>
    <w:rsid w:val="008F3130"/>
    <w:rsid w:val="008F362B"/>
    <w:rsid w:val="008F39E8"/>
    <w:rsid w:val="008F53F0"/>
    <w:rsid w:val="008F654E"/>
    <w:rsid w:val="008F669C"/>
    <w:rsid w:val="008F7961"/>
    <w:rsid w:val="00900524"/>
    <w:rsid w:val="009007F9"/>
    <w:rsid w:val="00900FBB"/>
    <w:rsid w:val="00901EE2"/>
    <w:rsid w:val="00903334"/>
    <w:rsid w:val="00903EFD"/>
    <w:rsid w:val="00905C2D"/>
    <w:rsid w:val="00905FF0"/>
    <w:rsid w:val="00906430"/>
    <w:rsid w:val="0090685D"/>
    <w:rsid w:val="00906D80"/>
    <w:rsid w:val="00907327"/>
    <w:rsid w:val="00910C68"/>
    <w:rsid w:val="009110DE"/>
    <w:rsid w:val="00911D3C"/>
    <w:rsid w:val="0091235F"/>
    <w:rsid w:val="009128EE"/>
    <w:rsid w:val="009130A1"/>
    <w:rsid w:val="0091311C"/>
    <w:rsid w:val="009133EB"/>
    <w:rsid w:val="009142CE"/>
    <w:rsid w:val="00914942"/>
    <w:rsid w:val="00916735"/>
    <w:rsid w:val="009173EB"/>
    <w:rsid w:val="00917843"/>
    <w:rsid w:val="00920A89"/>
    <w:rsid w:val="009216A7"/>
    <w:rsid w:val="00921F5E"/>
    <w:rsid w:val="00922043"/>
    <w:rsid w:val="009221FB"/>
    <w:rsid w:val="0092529E"/>
    <w:rsid w:val="00925C43"/>
    <w:rsid w:val="00927B86"/>
    <w:rsid w:val="00927E3C"/>
    <w:rsid w:val="009304C1"/>
    <w:rsid w:val="00931982"/>
    <w:rsid w:val="00931C90"/>
    <w:rsid w:val="00931E1D"/>
    <w:rsid w:val="00932A83"/>
    <w:rsid w:val="00932AAC"/>
    <w:rsid w:val="00934999"/>
    <w:rsid w:val="00935507"/>
    <w:rsid w:val="009360AC"/>
    <w:rsid w:val="0093733F"/>
    <w:rsid w:val="009408B0"/>
    <w:rsid w:val="00940D09"/>
    <w:rsid w:val="00940E18"/>
    <w:rsid w:val="00940FEC"/>
    <w:rsid w:val="00941609"/>
    <w:rsid w:val="009418CD"/>
    <w:rsid w:val="00941A4F"/>
    <w:rsid w:val="009422A8"/>
    <w:rsid w:val="00943449"/>
    <w:rsid w:val="0094345B"/>
    <w:rsid w:val="00943732"/>
    <w:rsid w:val="00944341"/>
    <w:rsid w:val="00944412"/>
    <w:rsid w:val="009446E8"/>
    <w:rsid w:val="009450BC"/>
    <w:rsid w:val="00945415"/>
    <w:rsid w:val="00945D3E"/>
    <w:rsid w:val="00946368"/>
    <w:rsid w:val="00947B8E"/>
    <w:rsid w:val="0095082C"/>
    <w:rsid w:val="0095084B"/>
    <w:rsid w:val="00951298"/>
    <w:rsid w:val="009515F9"/>
    <w:rsid w:val="009516FC"/>
    <w:rsid w:val="00954611"/>
    <w:rsid w:val="0095489C"/>
    <w:rsid w:val="009548D9"/>
    <w:rsid w:val="00955472"/>
    <w:rsid w:val="00955C74"/>
    <w:rsid w:val="0095701A"/>
    <w:rsid w:val="00957833"/>
    <w:rsid w:val="0096006C"/>
    <w:rsid w:val="00960214"/>
    <w:rsid w:val="009609FD"/>
    <w:rsid w:val="0096251A"/>
    <w:rsid w:val="00963145"/>
    <w:rsid w:val="00963CFF"/>
    <w:rsid w:val="009649C1"/>
    <w:rsid w:val="0096590A"/>
    <w:rsid w:val="00965DA9"/>
    <w:rsid w:val="00965EE2"/>
    <w:rsid w:val="009667E3"/>
    <w:rsid w:val="00967312"/>
    <w:rsid w:val="00967B08"/>
    <w:rsid w:val="00967CE9"/>
    <w:rsid w:val="0097021B"/>
    <w:rsid w:val="009719EB"/>
    <w:rsid w:val="00972401"/>
    <w:rsid w:val="0097301A"/>
    <w:rsid w:val="00973212"/>
    <w:rsid w:val="009735B5"/>
    <w:rsid w:val="0097393D"/>
    <w:rsid w:val="00973D24"/>
    <w:rsid w:val="00974019"/>
    <w:rsid w:val="00974867"/>
    <w:rsid w:val="00976C8F"/>
    <w:rsid w:val="00976D96"/>
    <w:rsid w:val="00977DD7"/>
    <w:rsid w:val="00977ED3"/>
    <w:rsid w:val="009805C2"/>
    <w:rsid w:val="00980DB2"/>
    <w:rsid w:val="009816A6"/>
    <w:rsid w:val="009821A8"/>
    <w:rsid w:val="009821BC"/>
    <w:rsid w:val="00983C00"/>
    <w:rsid w:val="0098435C"/>
    <w:rsid w:val="009843BE"/>
    <w:rsid w:val="0098549C"/>
    <w:rsid w:val="00985743"/>
    <w:rsid w:val="00986737"/>
    <w:rsid w:val="00986EDC"/>
    <w:rsid w:val="00987F47"/>
    <w:rsid w:val="00987F5F"/>
    <w:rsid w:val="00990578"/>
    <w:rsid w:val="0099075B"/>
    <w:rsid w:val="00990D35"/>
    <w:rsid w:val="00991245"/>
    <w:rsid w:val="00991CF0"/>
    <w:rsid w:val="00991E77"/>
    <w:rsid w:val="009920D9"/>
    <w:rsid w:val="00992D3C"/>
    <w:rsid w:val="0099383F"/>
    <w:rsid w:val="00993F68"/>
    <w:rsid w:val="00995BB5"/>
    <w:rsid w:val="00996834"/>
    <w:rsid w:val="00997680"/>
    <w:rsid w:val="009979FC"/>
    <w:rsid w:val="00997CCB"/>
    <w:rsid w:val="009A0506"/>
    <w:rsid w:val="009A0AAF"/>
    <w:rsid w:val="009A0FF9"/>
    <w:rsid w:val="009A1763"/>
    <w:rsid w:val="009A1E3E"/>
    <w:rsid w:val="009A3116"/>
    <w:rsid w:val="009A3B09"/>
    <w:rsid w:val="009A3C08"/>
    <w:rsid w:val="009A3F50"/>
    <w:rsid w:val="009A5920"/>
    <w:rsid w:val="009A6229"/>
    <w:rsid w:val="009A6535"/>
    <w:rsid w:val="009B0699"/>
    <w:rsid w:val="009B1D75"/>
    <w:rsid w:val="009B2484"/>
    <w:rsid w:val="009B2FA6"/>
    <w:rsid w:val="009B3BAC"/>
    <w:rsid w:val="009B4099"/>
    <w:rsid w:val="009B55EC"/>
    <w:rsid w:val="009B5D5D"/>
    <w:rsid w:val="009B5DE6"/>
    <w:rsid w:val="009B6AA5"/>
    <w:rsid w:val="009B7876"/>
    <w:rsid w:val="009B7A5F"/>
    <w:rsid w:val="009C08FD"/>
    <w:rsid w:val="009C1BF8"/>
    <w:rsid w:val="009C375C"/>
    <w:rsid w:val="009C5764"/>
    <w:rsid w:val="009C5F58"/>
    <w:rsid w:val="009C6795"/>
    <w:rsid w:val="009C6ABC"/>
    <w:rsid w:val="009C7B19"/>
    <w:rsid w:val="009D0872"/>
    <w:rsid w:val="009D0926"/>
    <w:rsid w:val="009D0F92"/>
    <w:rsid w:val="009D0FC8"/>
    <w:rsid w:val="009D286A"/>
    <w:rsid w:val="009D29D2"/>
    <w:rsid w:val="009D2D10"/>
    <w:rsid w:val="009D4540"/>
    <w:rsid w:val="009D4603"/>
    <w:rsid w:val="009D4FE3"/>
    <w:rsid w:val="009D565A"/>
    <w:rsid w:val="009D66FD"/>
    <w:rsid w:val="009D6EC0"/>
    <w:rsid w:val="009D6F24"/>
    <w:rsid w:val="009E114C"/>
    <w:rsid w:val="009E1E0B"/>
    <w:rsid w:val="009E32C1"/>
    <w:rsid w:val="009E45C5"/>
    <w:rsid w:val="009E504C"/>
    <w:rsid w:val="009E586F"/>
    <w:rsid w:val="009E627A"/>
    <w:rsid w:val="009E758C"/>
    <w:rsid w:val="009E7888"/>
    <w:rsid w:val="009E7A54"/>
    <w:rsid w:val="009F0338"/>
    <w:rsid w:val="009F1732"/>
    <w:rsid w:val="009F1D2B"/>
    <w:rsid w:val="009F1D64"/>
    <w:rsid w:val="009F22D9"/>
    <w:rsid w:val="009F4ECA"/>
    <w:rsid w:val="00A00812"/>
    <w:rsid w:val="00A02096"/>
    <w:rsid w:val="00A020AE"/>
    <w:rsid w:val="00A0228A"/>
    <w:rsid w:val="00A03FE9"/>
    <w:rsid w:val="00A04375"/>
    <w:rsid w:val="00A04F42"/>
    <w:rsid w:val="00A07544"/>
    <w:rsid w:val="00A1019A"/>
    <w:rsid w:val="00A106EB"/>
    <w:rsid w:val="00A106F1"/>
    <w:rsid w:val="00A11BCA"/>
    <w:rsid w:val="00A11BD9"/>
    <w:rsid w:val="00A11E94"/>
    <w:rsid w:val="00A122C1"/>
    <w:rsid w:val="00A13023"/>
    <w:rsid w:val="00A136EE"/>
    <w:rsid w:val="00A14AB3"/>
    <w:rsid w:val="00A14FFA"/>
    <w:rsid w:val="00A160E1"/>
    <w:rsid w:val="00A17D57"/>
    <w:rsid w:val="00A2006A"/>
    <w:rsid w:val="00A20826"/>
    <w:rsid w:val="00A20A86"/>
    <w:rsid w:val="00A20CD8"/>
    <w:rsid w:val="00A20D99"/>
    <w:rsid w:val="00A21F25"/>
    <w:rsid w:val="00A224DD"/>
    <w:rsid w:val="00A22C09"/>
    <w:rsid w:val="00A22F8C"/>
    <w:rsid w:val="00A24147"/>
    <w:rsid w:val="00A24D1D"/>
    <w:rsid w:val="00A3084D"/>
    <w:rsid w:val="00A31C1A"/>
    <w:rsid w:val="00A320E3"/>
    <w:rsid w:val="00A32258"/>
    <w:rsid w:val="00A32760"/>
    <w:rsid w:val="00A32ED5"/>
    <w:rsid w:val="00A33337"/>
    <w:rsid w:val="00A33E1E"/>
    <w:rsid w:val="00A33F5D"/>
    <w:rsid w:val="00A341E6"/>
    <w:rsid w:val="00A34835"/>
    <w:rsid w:val="00A34A1C"/>
    <w:rsid w:val="00A35B26"/>
    <w:rsid w:val="00A36A5E"/>
    <w:rsid w:val="00A3742B"/>
    <w:rsid w:val="00A3771A"/>
    <w:rsid w:val="00A37D4B"/>
    <w:rsid w:val="00A37E0E"/>
    <w:rsid w:val="00A404D6"/>
    <w:rsid w:val="00A41324"/>
    <w:rsid w:val="00A43B31"/>
    <w:rsid w:val="00A43C12"/>
    <w:rsid w:val="00A44916"/>
    <w:rsid w:val="00A44998"/>
    <w:rsid w:val="00A451D7"/>
    <w:rsid w:val="00A45A51"/>
    <w:rsid w:val="00A45B18"/>
    <w:rsid w:val="00A46DF3"/>
    <w:rsid w:val="00A47194"/>
    <w:rsid w:val="00A472E8"/>
    <w:rsid w:val="00A47F99"/>
    <w:rsid w:val="00A51067"/>
    <w:rsid w:val="00A52AFF"/>
    <w:rsid w:val="00A530FF"/>
    <w:rsid w:val="00A536F1"/>
    <w:rsid w:val="00A53AB4"/>
    <w:rsid w:val="00A53C14"/>
    <w:rsid w:val="00A547FD"/>
    <w:rsid w:val="00A558A2"/>
    <w:rsid w:val="00A56410"/>
    <w:rsid w:val="00A56F68"/>
    <w:rsid w:val="00A6112E"/>
    <w:rsid w:val="00A614B4"/>
    <w:rsid w:val="00A616EC"/>
    <w:rsid w:val="00A617C6"/>
    <w:rsid w:val="00A62114"/>
    <w:rsid w:val="00A6238E"/>
    <w:rsid w:val="00A63911"/>
    <w:rsid w:val="00A642F9"/>
    <w:rsid w:val="00A645BC"/>
    <w:rsid w:val="00A64646"/>
    <w:rsid w:val="00A64A31"/>
    <w:rsid w:val="00A65177"/>
    <w:rsid w:val="00A65A96"/>
    <w:rsid w:val="00A65CF4"/>
    <w:rsid w:val="00A66395"/>
    <w:rsid w:val="00A67255"/>
    <w:rsid w:val="00A7011E"/>
    <w:rsid w:val="00A70B2E"/>
    <w:rsid w:val="00A70F0F"/>
    <w:rsid w:val="00A70FAA"/>
    <w:rsid w:val="00A7154F"/>
    <w:rsid w:val="00A7283D"/>
    <w:rsid w:val="00A72A3B"/>
    <w:rsid w:val="00A732D4"/>
    <w:rsid w:val="00A73786"/>
    <w:rsid w:val="00A737D9"/>
    <w:rsid w:val="00A73E4F"/>
    <w:rsid w:val="00A742EE"/>
    <w:rsid w:val="00A76AA0"/>
    <w:rsid w:val="00A76CA6"/>
    <w:rsid w:val="00A77183"/>
    <w:rsid w:val="00A7726D"/>
    <w:rsid w:val="00A77375"/>
    <w:rsid w:val="00A77B90"/>
    <w:rsid w:val="00A77F59"/>
    <w:rsid w:val="00A81560"/>
    <w:rsid w:val="00A81B25"/>
    <w:rsid w:val="00A829EF"/>
    <w:rsid w:val="00A831ED"/>
    <w:rsid w:val="00A839DF"/>
    <w:rsid w:val="00A8449E"/>
    <w:rsid w:val="00A84EAF"/>
    <w:rsid w:val="00A8572F"/>
    <w:rsid w:val="00A859FF"/>
    <w:rsid w:val="00A85BB5"/>
    <w:rsid w:val="00A8697A"/>
    <w:rsid w:val="00A86DD8"/>
    <w:rsid w:val="00A8776A"/>
    <w:rsid w:val="00A8783F"/>
    <w:rsid w:val="00A87A28"/>
    <w:rsid w:val="00A87D3D"/>
    <w:rsid w:val="00A912AA"/>
    <w:rsid w:val="00A915AD"/>
    <w:rsid w:val="00A916E9"/>
    <w:rsid w:val="00A92561"/>
    <w:rsid w:val="00A92A7E"/>
    <w:rsid w:val="00A93C32"/>
    <w:rsid w:val="00A93DAA"/>
    <w:rsid w:val="00A95605"/>
    <w:rsid w:val="00A95BC5"/>
    <w:rsid w:val="00A96861"/>
    <w:rsid w:val="00A96AC3"/>
    <w:rsid w:val="00A96B16"/>
    <w:rsid w:val="00A96BD8"/>
    <w:rsid w:val="00AA0F44"/>
    <w:rsid w:val="00AA244A"/>
    <w:rsid w:val="00AA250D"/>
    <w:rsid w:val="00AA34B4"/>
    <w:rsid w:val="00AA3FBE"/>
    <w:rsid w:val="00AA6B63"/>
    <w:rsid w:val="00AB0949"/>
    <w:rsid w:val="00AB0DD2"/>
    <w:rsid w:val="00AB23E6"/>
    <w:rsid w:val="00AB2D21"/>
    <w:rsid w:val="00AB2F3F"/>
    <w:rsid w:val="00AB5164"/>
    <w:rsid w:val="00AB52E2"/>
    <w:rsid w:val="00AB54E7"/>
    <w:rsid w:val="00AB6088"/>
    <w:rsid w:val="00AB6749"/>
    <w:rsid w:val="00AB7841"/>
    <w:rsid w:val="00AB7CBD"/>
    <w:rsid w:val="00AB7CF0"/>
    <w:rsid w:val="00AC0470"/>
    <w:rsid w:val="00AC082B"/>
    <w:rsid w:val="00AC0936"/>
    <w:rsid w:val="00AC1277"/>
    <w:rsid w:val="00AC3104"/>
    <w:rsid w:val="00AC3B76"/>
    <w:rsid w:val="00AC4D82"/>
    <w:rsid w:val="00AC65B1"/>
    <w:rsid w:val="00AC65D4"/>
    <w:rsid w:val="00AC698E"/>
    <w:rsid w:val="00AC783F"/>
    <w:rsid w:val="00AC7903"/>
    <w:rsid w:val="00AC7F1A"/>
    <w:rsid w:val="00AD0308"/>
    <w:rsid w:val="00AD148F"/>
    <w:rsid w:val="00AD168D"/>
    <w:rsid w:val="00AD1AFF"/>
    <w:rsid w:val="00AD1C44"/>
    <w:rsid w:val="00AD1F21"/>
    <w:rsid w:val="00AD2E66"/>
    <w:rsid w:val="00AD37B5"/>
    <w:rsid w:val="00AD5FED"/>
    <w:rsid w:val="00AD6EEA"/>
    <w:rsid w:val="00AD7A91"/>
    <w:rsid w:val="00AD7D31"/>
    <w:rsid w:val="00AD7F56"/>
    <w:rsid w:val="00AE040A"/>
    <w:rsid w:val="00AE0486"/>
    <w:rsid w:val="00AE0492"/>
    <w:rsid w:val="00AE0E9D"/>
    <w:rsid w:val="00AE12D9"/>
    <w:rsid w:val="00AE130F"/>
    <w:rsid w:val="00AE26C8"/>
    <w:rsid w:val="00AE306A"/>
    <w:rsid w:val="00AE37C1"/>
    <w:rsid w:val="00AE44A0"/>
    <w:rsid w:val="00AE50E9"/>
    <w:rsid w:val="00AE50F4"/>
    <w:rsid w:val="00AE52F7"/>
    <w:rsid w:val="00AE596F"/>
    <w:rsid w:val="00AE5C20"/>
    <w:rsid w:val="00AE6BF9"/>
    <w:rsid w:val="00AE7C18"/>
    <w:rsid w:val="00AF0794"/>
    <w:rsid w:val="00AF2529"/>
    <w:rsid w:val="00AF272A"/>
    <w:rsid w:val="00AF2C57"/>
    <w:rsid w:val="00AF2CB6"/>
    <w:rsid w:val="00AF37B4"/>
    <w:rsid w:val="00AF3D12"/>
    <w:rsid w:val="00AF424F"/>
    <w:rsid w:val="00AF53A2"/>
    <w:rsid w:val="00AF58F3"/>
    <w:rsid w:val="00B0030C"/>
    <w:rsid w:val="00B0058C"/>
    <w:rsid w:val="00B0100E"/>
    <w:rsid w:val="00B02D30"/>
    <w:rsid w:val="00B0436C"/>
    <w:rsid w:val="00B04479"/>
    <w:rsid w:val="00B04979"/>
    <w:rsid w:val="00B04C3A"/>
    <w:rsid w:val="00B05244"/>
    <w:rsid w:val="00B0666D"/>
    <w:rsid w:val="00B076F1"/>
    <w:rsid w:val="00B10AB9"/>
    <w:rsid w:val="00B10C85"/>
    <w:rsid w:val="00B14065"/>
    <w:rsid w:val="00B147CF"/>
    <w:rsid w:val="00B1658C"/>
    <w:rsid w:val="00B17200"/>
    <w:rsid w:val="00B1739F"/>
    <w:rsid w:val="00B176BD"/>
    <w:rsid w:val="00B17DC9"/>
    <w:rsid w:val="00B205DE"/>
    <w:rsid w:val="00B20FCA"/>
    <w:rsid w:val="00B219EF"/>
    <w:rsid w:val="00B21D0A"/>
    <w:rsid w:val="00B22AF9"/>
    <w:rsid w:val="00B232DE"/>
    <w:rsid w:val="00B2469E"/>
    <w:rsid w:val="00B24952"/>
    <w:rsid w:val="00B24A4F"/>
    <w:rsid w:val="00B25AC6"/>
    <w:rsid w:val="00B25F66"/>
    <w:rsid w:val="00B2684A"/>
    <w:rsid w:val="00B26986"/>
    <w:rsid w:val="00B27CBD"/>
    <w:rsid w:val="00B303A7"/>
    <w:rsid w:val="00B303C4"/>
    <w:rsid w:val="00B30B33"/>
    <w:rsid w:val="00B30C72"/>
    <w:rsid w:val="00B32B46"/>
    <w:rsid w:val="00B3336A"/>
    <w:rsid w:val="00B3370A"/>
    <w:rsid w:val="00B33974"/>
    <w:rsid w:val="00B33C93"/>
    <w:rsid w:val="00B33F69"/>
    <w:rsid w:val="00B3449B"/>
    <w:rsid w:val="00B34564"/>
    <w:rsid w:val="00B34604"/>
    <w:rsid w:val="00B36029"/>
    <w:rsid w:val="00B3646D"/>
    <w:rsid w:val="00B36D04"/>
    <w:rsid w:val="00B37A4E"/>
    <w:rsid w:val="00B37C11"/>
    <w:rsid w:val="00B4100E"/>
    <w:rsid w:val="00B4166F"/>
    <w:rsid w:val="00B41BC8"/>
    <w:rsid w:val="00B4267E"/>
    <w:rsid w:val="00B42BC7"/>
    <w:rsid w:val="00B430B6"/>
    <w:rsid w:val="00B44002"/>
    <w:rsid w:val="00B44999"/>
    <w:rsid w:val="00B451AD"/>
    <w:rsid w:val="00B46121"/>
    <w:rsid w:val="00B46366"/>
    <w:rsid w:val="00B46E45"/>
    <w:rsid w:val="00B47883"/>
    <w:rsid w:val="00B5029E"/>
    <w:rsid w:val="00B503DC"/>
    <w:rsid w:val="00B50F7D"/>
    <w:rsid w:val="00B5159C"/>
    <w:rsid w:val="00B515B9"/>
    <w:rsid w:val="00B516A6"/>
    <w:rsid w:val="00B52496"/>
    <w:rsid w:val="00B5365D"/>
    <w:rsid w:val="00B5412B"/>
    <w:rsid w:val="00B547B5"/>
    <w:rsid w:val="00B54890"/>
    <w:rsid w:val="00B5527B"/>
    <w:rsid w:val="00B55556"/>
    <w:rsid w:val="00B55BB4"/>
    <w:rsid w:val="00B55EDF"/>
    <w:rsid w:val="00B56B9D"/>
    <w:rsid w:val="00B56DAA"/>
    <w:rsid w:val="00B57715"/>
    <w:rsid w:val="00B57B48"/>
    <w:rsid w:val="00B61616"/>
    <w:rsid w:val="00B63108"/>
    <w:rsid w:val="00B63585"/>
    <w:rsid w:val="00B63C62"/>
    <w:rsid w:val="00B641D3"/>
    <w:rsid w:val="00B644CB"/>
    <w:rsid w:val="00B64E39"/>
    <w:rsid w:val="00B65B7E"/>
    <w:rsid w:val="00B6620E"/>
    <w:rsid w:val="00B66781"/>
    <w:rsid w:val="00B667E8"/>
    <w:rsid w:val="00B66B4D"/>
    <w:rsid w:val="00B67129"/>
    <w:rsid w:val="00B71F32"/>
    <w:rsid w:val="00B722F0"/>
    <w:rsid w:val="00B73190"/>
    <w:rsid w:val="00B731EA"/>
    <w:rsid w:val="00B734E5"/>
    <w:rsid w:val="00B7364E"/>
    <w:rsid w:val="00B74509"/>
    <w:rsid w:val="00B7571A"/>
    <w:rsid w:val="00B77E50"/>
    <w:rsid w:val="00B77F28"/>
    <w:rsid w:val="00B808E9"/>
    <w:rsid w:val="00B8241D"/>
    <w:rsid w:val="00B82854"/>
    <w:rsid w:val="00B833AA"/>
    <w:rsid w:val="00B84164"/>
    <w:rsid w:val="00B84812"/>
    <w:rsid w:val="00B85F48"/>
    <w:rsid w:val="00B86FEC"/>
    <w:rsid w:val="00B86FF0"/>
    <w:rsid w:val="00B90075"/>
    <w:rsid w:val="00B90BA9"/>
    <w:rsid w:val="00B913BF"/>
    <w:rsid w:val="00B91835"/>
    <w:rsid w:val="00B91B49"/>
    <w:rsid w:val="00B92282"/>
    <w:rsid w:val="00B93E27"/>
    <w:rsid w:val="00B93FB3"/>
    <w:rsid w:val="00B942F5"/>
    <w:rsid w:val="00B956C9"/>
    <w:rsid w:val="00B957A2"/>
    <w:rsid w:val="00B95813"/>
    <w:rsid w:val="00B963D5"/>
    <w:rsid w:val="00B96CEA"/>
    <w:rsid w:val="00B970E8"/>
    <w:rsid w:val="00B97999"/>
    <w:rsid w:val="00B97A6F"/>
    <w:rsid w:val="00BA145C"/>
    <w:rsid w:val="00BA198A"/>
    <w:rsid w:val="00BA52D5"/>
    <w:rsid w:val="00BA55F7"/>
    <w:rsid w:val="00BA57F6"/>
    <w:rsid w:val="00BA675F"/>
    <w:rsid w:val="00BA69C6"/>
    <w:rsid w:val="00BA69E9"/>
    <w:rsid w:val="00BA7055"/>
    <w:rsid w:val="00BB07C3"/>
    <w:rsid w:val="00BB1561"/>
    <w:rsid w:val="00BB1874"/>
    <w:rsid w:val="00BB344A"/>
    <w:rsid w:val="00BB4023"/>
    <w:rsid w:val="00BB40F5"/>
    <w:rsid w:val="00BB5099"/>
    <w:rsid w:val="00BB55FC"/>
    <w:rsid w:val="00BB5668"/>
    <w:rsid w:val="00BB5EF9"/>
    <w:rsid w:val="00BB6047"/>
    <w:rsid w:val="00BB752C"/>
    <w:rsid w:val="00BC01FD"/>
    <w:rsid w:val="00BC0A36"/>
    <w:rsid w:val="00BC0D16"/>
    <w:rsid w:val="00BC0E5C"/>
    <w:rsid w:val="00BC0EEB"/>
    <w:rsid w:val="00BC0F2D"/>
    <w:rsid w:val="00BC3BEB"/>
    <w:rsid w:val="00BC4E96"/>
    <w:rsid w:val="00BC51E7"/>
    <w:rsid w:val="00BC5BA4"/>
    <w:rsid w:val="00BC5C19"/>
    <w:rsid w:val="00BC6961"/>
    <w:rsid w:val="00BC700A"/>
    <w:rsid w:val="00BC749E"/>
    <w:rsid w:val="00BC7B3D"/>
    <w:rsid w:val="00BC7D66"/>
    <w:rsid w:val="00BD430D"/>
    <w:rsid w:val="00BD54E0"/>
    <w:rsid w:val="00BD5C06"/>
    <w:rsid w:val="00BD6245"/>
    <w:rsid w:val="00BD6F39"/>
    <w:rsid w:val="00BD7416"/>
    <w:rsid w:val="00BD7A5F"/>
    <w:rsid w:val="00BD7D6B"/>
    <w:rsid w:val="00BE0A0A"/>
    <w:rsid w:val="00BE0AF8"/>
    <w:rsid w:val="00BE0E02"/>
    <w:rsid w:val="00BE1929"/>
    <w:rsid w:val="00BE2B81"/>
    <w:rsid w:val="00BE4B45"/>
    <w:rsid w:val="00BE550A"/>
    <w:rsid w:val="00BE6603"/>
    <w:rsid w:val="00BE66B8"/>
    <w:rsid w:val="00BE68CF"/>
    <w:rsid w:val="00BE759B"/>
    <w:rsid w:val="00BE760C"/>
    <w:rsid w:val="00BE7BB7"/>
    <w:rsid w:val="00BF050F"/>
    <w:rsid w:val="00BF18B7"/>
    <w:rsid w:val="00BF20BA"/>
    <w:rsid w:val="00BF20EA"/>
    <w:rsid w:val="00BF2439"/>
    <w:rsid w:val="00BF24B3"/>
    <w:rsid w:val="00BF43E5"/>
    <w:rsid w:val="00BF47CB"/>
    <w:rsid w:val="00BF4E8A"/>
    <w:rsid w:val="00BF562E"/>
    <w:rsid w:val="00BF5B5A"/>
    <w:rsid w:val="00BF643F"/>
    <w:rsid w:val="00BF6FE2"/>
    <w:rsid w:val="00BF7532"/>
    <w:rsid w:val="00BF7B12"/>
    <w:rsid w:val="00C008E1"/>
    <w:rsid w:val="00C0323B"/>
    <w:rsid w:val="00C040DB"/>
    <w:rsid w:val="00C048ED"/>
    <w:rsid w:val="00C04A95"/>
    <w:rsid w:val="00C04F0D"/>
    <w:rsid w:val="00C07B9E"/>
    <w:rsid w:val="00C07F78"/>
    <w:rsid w:val="00C1041F"/>
    <w:rsid w:val="00C10472"/>
    <w:rsid w:val="00C10533"/>
    <w:rsid w:val="00C119A5"/>
    <w:rsid w:val="00C1214B"/>
    <w:rsid w:val="00C12C5B"/>
    <w:rsid w:val="00C12E00"/>
    <w:rsid w:val="00C1315E"/>
    <w:rsid w:val="00C13440"/>
    <w:rsid w:val="00C1395D"/>
    <w:rsid w:val="00C14EBD"/>
    <w:rsid w:val="00C15232"/>
    <w:rsid w:val="00C16962"/>
    <w:rsid w:val="00C2013A"/>
    <w:rsid w:val="00C206BC"/>
    <w:rsid w:val="00C206C3"/>
    <w:rsid w:val="00C2071C"/>
    <w:rsid w:val="00C21C84"/>
    <w:rsid w:val="00C2224C"/>
    <w:rsid w:val="00C22DC5"/>
    <w:rsid w:val="00C242A8"/>
    <w:rsid w:val="00C24A3B"/>
    <w:rsid w:val="00C27CFC"/>
    <w:rsid w:val="00C3017E"/>
    <w:rsid w:val="00C30B51"/>
    <w:rsid w:val="00C30C95"/>
    <w:rsid w:val="00C32B35"/>
    <w:rsid w:val="00C3317C"/>
    <w:rsid w:val="00C342DF"/>
    <w:rsid w:val="00C35555"/>
    <w:rsid w:val="00C35E59"/>
    <w:rsid w:val="00C41351"/>
    <w:rsid w:val="00C42115"/>
    <w:rsid w:val="00C42923"/>
    <w:rsid w:val="00C42AD0"/>
    <w:rsid w:val="00C42EAD"/>
    <w:rsid w:val="00C430D2"/>
    <w:rsid w:val="00C4497C"/>
    <w:rsid w:val="00C44B74"/>
    <w:rsid w:val="00C473B6"/>
    <w:rsid w:val="00C47F5E"/>
    <w:rsid w:val="00C50C88"/>
    <w:rsid w:val="00C56876"/>
    <w:rsid w:val="00C56A6A"/>
    <w:rsid w:val="00C57D80"/>
    <w:rsid w:val="00C608F0"/>
    <w:rsid w:val="00C61050"/>
    <w:rsid w:val="00C62079"/>
    <w:rsid w:val="00C624A3"/>
    <w:rsid w:val="00C62AC9"/>
    <w:rsid w:val="00C63A08"/>
    <w:rsid w:val="00C63A86"/>
    <w:rsid w:val="00C6434F"/>
    <w:rsid w:val="00C649C2"/>
    <w:rsid w:val="00C649F6"/>
    <w:rsid w:val="00C65B5E"/>
    <w:rsid w:val="00C66137"/>
    <w:rsid w:val="00C666E5"/>
    <w:rsid w:val="00C67CB2"/>
    <w:rsid w:val="00C708E2"/>
    <w:rsid w:val="00C709E8"/>
    <w:rsid w:val="00C70E12"/>
    <w:rsid w:val="00C710B9"/>
    <w:rsid w:val="00C713C9"/>
    <w:rsid w:val="00C71992"/>
    <w:rsid w:val="00C7264E"/>
    <w:rsid w:val="00C72C51"/>
    <w:rsid w:val="00C73165"/>
    <w:rsid w:val="00C73893"/>
    <w:rsid w:val="00C73A7D"/>
    <w:rsid w:val="00C73B94"/>
    <w:rsid w:val="00C73EA6"/>
    <w:rsid w:val="00C742E3"/>
    <w:rsid w:val="00C74ECA"/>
    <w:rsid w:val="00C75759"/>
    <w:rsid w:val="00C76382"/>
    <w:rsid w:val="00C765A9"/>
    <w:rsid w:val="00C77C7C"/>
    <w:rsid w:val="00C80BA7"/>
    <w:rsid w:val="00C81F24"/>
    <w:rsid w:val="00C83DD7"/>
    <w:rsid w:val="00C84A72"/>
    <w:rsid w:val="00C84B2B"/>
    <w:rsid w:val="00C84ED8"/>
    <w:rsid w:val="00C86E92"/>
    <w:rsid w:val="00C86F99"/>
    <w:rsid w:val="00C904F0"/>
    <w:rsid w:val="00C908DC"/>
    <w:rsid w:val="00C9091C"/>
    <w:rsid w:val="00C90B0F"/>
    <w:rsid w:val="00C90DCD"/>
    <w:rsid w:val="00C92119"/>
    <w:rsid w:val="00C92636"/>
    <w:rsid w:val="00C9273A"/>
    <w:rsid w:val="00C93096"/>
    <w:rsid w:val="00C93DDC"/>
    <w:rsid w:val="00C94A82"/>
    <w:rsid w:val="00C94FFF"/>
    <w:rsid w:val="00C95698"/>
    <w:rsid w:val="00C96253"/>
    <w:rsid w:val="00C97101"/>
    <w:rsid w:val="00C9711B"/>
    <w:rsid w:val="00CA1669"/>
    <w:rsid w:val="00CA1BE4"/>
    <w:rsid w:val="00CA2122"/>
    <w:rsid w:val="00CA2CA8"/>
    <w:rsid w:val="00CA3293"/>
    <w:rsid w:val="00CA4803"/>
    <w:rsid w:val="00CA585B"/>
    <w:rsid w:val="00CA70C3"/>
    <w:rsid w:val="00CA77D5"/>
    <w:rsid w:val="00CA7F43"/>
    <w:rsid w:val="00CB0B24"/>
    <w:rsid w:val="00CB1B3A"/>
    <w:rsid w:val="00CB2AD1"/>
    <w:rsid w:val="00CB3CAB"/>
    <w:rsid w:val="00CB4480"/>
    <w:rsid w:val="00CB44BC"/>
    <w:rsid w:val="00CB4E3C"/>
    <w:rsid w:val="00CB5349"/>
    <w:rsid w:val="00CB5963"/>
    <w:rsid w:val="00CB59FD"/>
    <w:rsid w:val="00CB6118"/>
    <w:rsid w:val="00CB6AA4"/>
    <w:rsid w:val="00CB7679"/>
    <w:rsid w:val="00CB78AC"/>
    <w:rsid w:val="00CB7F53"/>
    <w:rsid w:val="00CC06EF"/>
    <w:rsid w:val="00CC12F6"/>
    <w:rsid w:val="00CC24F2"/>
    <w:rsid w:val="00CC2549"/>
    <w:rsid w:val="00CC2BE9"/>
    <w:rsid w:val="00CC2E35"/>
    <w:rsid w:val="00CC318C"/>
    <w:rsid w:val="00CC484E"/>
    <w:rsid w:val="00CC4EAF"/>
    <w:rsid w:val="00CC54E6"/>
    <w:rsid w:val="00CC5546"/>
    <w:rsid w:val="00CD01DA"/>
    <w:rsid w:val="00CD06E8"/>
    <w:rsid w:val="00CD08B0"/>
    <w:rsid w:val="00CD1EEE"/>
    <w:rsid w:val="00CD28B6"/>
    <w:rsid w:val="00CD28BA"/>
    <w:rsid w:val="00CD313B"/>
    <w:rsid w:val="00CD42D8"/>
    <w:rsid w:val="00CD4737"/>
    <w:rsid w:val="00CD527F"/>
    <w:rsid w:val="00CD54EA"/>
    <w:rsid w:val="00CD74CD"/>
    <w:rsid w:val="00CD7E98"/>
    <w:rsid w:val="00CE00AA"/>
    <w:rsid w:val="00CE18DF"/>
    <w:rsid w:val="00CE4F7D"/>
    <w:rsid w:val="00CE5105"/>
    <w:rsid w:val="00CF1188"/>
    <w:rsid w:val="00CF129F"/>
    <w:rsid w:val="00CF1BC2"/>
    <w:rsid w:val="00CF1FA2"/>
    <w:rsid w:val="00CF42C0"/>
    <w:rsid w:val="00CF467E"/>
    <w:rsid w:val="00CF4A7D"/>
    <w:rsid w:val="00CF60D5"/>
    <w:rsid w:val="00CF6982"/>
    <w:rsid w:val="00D00C21"/>
    <w:rsid w:val="00D00E3C"/>
    <w:rsid w:val="00D00FEC"/>
    <w:rsid w:val="00D01730"/>
    <w:rsid w:val="00D0173F"/>
    <w:rsid w:val="00D01B96"/>
    <w:rsid w:val="00D02943"/>
    <w:rsid w:val="00D03138"/>
    <w:rsid w:val="00D03D60"/>
    <w:rsid w:val="00D04232"/>
    <w:rsid w:val="00D05824"/>
    <w:rsid w:val="00D06B0B"/>
    <w:rsid w:val="00D06C63"/>
    <w:rsid w:val="00D06EC4"/>
    <w:rsid w:val="00D07C24"/>
    <w:rsid w:val="00D10806"/>
    <w:rsid w:val="00D120DC"/>
    <w:rsid w:val="00D12FFA"/>
    <w:rsid w:val="00D13517"/>
    <w:rsid w:val="00D1414F"/>
    <w:rsid w:val="00D15248"/>
    <w:rsid w:val="00D1537F"/>
    <w:rsid w:val="00D158BF"/>
    <w:rsid w:val="00D16EC3"/>
    <w:rsid w:val="00D172B5"/>
    <w:rsid w:val="00D1790E"/>
    <w:rsid w:val="00D20060"/>
    <w:rsid w:val="00D21AD7"/>
    <w:rsid w:val="00D21BC0"/>
    <w:rsid w:val="00D229C8"/>
    <w:rsid w:val="00D22EA0"/>
    <w:rsid w:val="00D23B72"/>
    <w:rsid w:val="00D24C7F"/>
    <w:rsid w:val="00D252BB"/>
    <w:rsid w:val="00D25ECD"/>
    <w:rsid w:val="00D25ECF"/>
    <w:rsid w:val="00D26CAF"/>
    <w:rsid w:val="00D26DCB"/>
    <w:rsid w:val="00D2744A"/>
    <w:rsid w:val="00D27530"/>
    <w:rsid w:val="00D279CB"/>
    <w:rsid w:val="00D30351"/>
    <w:rsid w:val="00D30D8C"/>
    <w:rsid w:val="00D32E04"/>
    <w:rsid w:val="00D339E0"/>
    <w:rsid w:val="00D33A18"/>
    <w:rsid w:val="00D34AEF"/>
    <w:rsid w:val="00D34CDB"/>
    <w:rsid w:val="00D35651"/>
    <w:rsid w:val="00D359A3"/>
    <w:rsid w:val="00D360B4"/>
    <w:rsid w:val="00D365A5"/>
    <w:rsid w:val="00D37C11"/>
    <w:rsid w:val="00D4255E"/>
    <w:rsid w:val="00D431CA"/>
    <w:rsid w:val="00D442F8"/>
    <w:rsid w:val="00D448AB"/>
    <w:rsid w:val="00D457EB"/>
    <w:rsid w:val="00D45DC8"/>
    <w:rsid w:val="00D4775F"/>
    <w:rsid w:val="00D501C8"/>
    <w:rsid w:val="00D501CF"/>
    <w:rsid w:val="00D5073E"/>
    <w:rsid w:val="00D5079E"/>
    <w:rsid w:val="00D50BA3"/>
    <w:rsid w:val="00D51439"/>
    <w:rsid w:val="00D52A26"/>
    <w:rsid w:val="00D52BB0"/>
    <w:rsid w:val="00D53A19"/>
    <w:rsid w:val="00D53A2F"/>
    <w:rsid w:val="00D54EFE"/>
    <w:rsid w:val="00D55089"/>
    <w:rsid w:val="00D55109"/>
    <w:rsid w:val="00D55A01"/>
    <w:rsid w:val="00D56B93"/>
    <w:rsid w:val="00D5756B"/>
    <w:rsid w:val="00D5772A"/>
    <w:rsid w:val="00D577A5"/>
    <w:rsid w:val="00D57895"/>
    <w:rsid w:val="00D57BCB"/>
    <w:rsid w:val="00D603DD"/>
    <w:rsid w:val="00D60F87"/>
    <w:rsid w:val="00D616C5"/>
    <w:rsid w:val="00D61D76"/>
    <w:rsid w:val="00D638BB"/>
    <w:rsid w:val="00D64381"/>
    <w:rsid w:val="00D6461C"/>
    <w:rsid w:val="00D65A64"/>
    <w:rsid w:val="00D673B6"/>
    <w:rsid w:val="00D67F02"/>
    <w:rsid w:val="00D70B85"/>
    <w:rsid w:val="00D710B5"/>
    <w:rsid w:val="00D72EA1"/>
    <w:rsid w:val="00D767EC"/>
    <w:rsid w:val="00D77654"/>
    <w:rsid w:val="00D8119C"/>
    <w:rsid w:val="00D813F3"/>
    <w:rsid w:val="00D817B0"/>
    <w:rsid w:val="00D83070"/>
    <w:rsid w:val="00D83592"/>
    <w:rsid w:val="00D8483A"/>
    <w:rsid w:val="00D84ABF"/>
    <w:rsid w:val="00D851A8"/>
    <w:rsid w:val="00D8577C"/>
    <w:rsid w:val="00D86095"/>
    <w:rsid w:val="00D86BCF"/>
    <w:rsid w:val="00D87C51"/>
    <w:rsid w:val="00D87F72"/>
    <w:rsid w:val="00D900D3"/>
    <w:rsid w:val="00D902A7"/>
    <w:rsid w:val="00D902D5"/>
    <w:rsid w:val="00D902DE"/>
    <w:rsid w:val="00D9066B"/>
    <w:rsid w:val="00D910B8"/>
    <w:rsid w:val="00D92AF1"/>
    <w:rsid w:val="00D93D69"/>
    <w:rsid w:val="00D94F00"/>
    <w:rsid w:val="00D95528"/>
    <w:rsid w:val="00D97342"/>
    <w:rsid w:val="00D97A9A"/>
    <w:rsid w:val="00D97E18"/>
    <w:rsid w:val="00DA06A6"/>
    <w:rsid w:val="00DA0A11"/>
    <w:rsid w:val="00DA1227"/>
    <w:rsid w:val="00DA5175"/>
    <w:rsid w:val="00DA574B"/>
    <w:rsid w:val="00DA5D18"/>
    <w:rsid w:val="00DB0034"/>
    <w:rsid w:val="00DB1ABC"/>
    <w:rsid w:val="00DB2121"/>
    <w:rsid w:val="00DB256E"/>
    <w:rsid w:val="00DB2D04"/>
    <w:rsid w:val="00DB36C6"/>
    <w:rsid w:val="00DB4996"/>
    <w:rsid w:val="00DB586C"/>
    <w:rsid w:val="00DB58E7"/>
    <w:rsid w:val="00DB63E6"/>
    <w:rsid w:val="00DB6A6A"/>
    <w:rsid w:val="00DC0460"/>
    <w:rsid w:val="00DC0549"/>
    <w:rsid w:val="00DC057D"/>
    <w:rsid w:val="00DC115A"/>
    <w:rsid w:val="00DC24A2"/>
    <w:rsid w:val="00DC2F12"/>
    <w:rsid w:val="00DC54E6"/>
    <w:rsid w:val="00DC5C91"/>
    <w:rsid w:val="00DC5FDC"/>
    <w:rsid w:val="00DC6A8B"/>
    <w:rsid w:val="00DC7A78"/>
    <w:rsid w:val="00DD055D"/>
    <w:rsid w:val="00DD190B"/>
    <w:rsid w:val="00DD3689"/>
    <w:rsid w:val="00DD4F12"/>
    <w:rsid w:val="00DD546C"/>
    <w:rsid w:val="00DD6631"/>
    <w:rsid w:val="00DD6B43"/>
    <w:rsid w:val="00DD714F"/>
    <w:rsid w:val="00DD7FC5"/>
    <w:rsid w:val="00DE0D61"/>
    <w:rsid w:val="00DE1FF0"/>
    <w:rsid w:val="00DE4EB8"/>
    <w:rsid w:val="00DE596E"/>
    <w:rsid w:val="00DE6344"/>
    <w:rsid w:val="00DE6545"/>
    <w:rsid w:val="00DE66FE"/>
    <w:rsid w:val="00DE6E6B"/>
    <w:rsid w:val="00DE74E7"/>
    <w:rsid w:val="00DF0057"/>
    <w:rsid w:val="00DF0ECE"/>
    <w:rsid w:val="00DF0F97"/>
    <w:rsid w:val="00DF169E"/>
    <w:rsid w:val="00DF2173"/>
    <w:rsid w:val="00DF2199"/>
    <w:rsid w:val="00DF21E6"/>
    <w:rsid w:val="00DF2D2C"/>
    <w:rsid w:val="00DF2E42"/>
    <w:rsid w:val="00DF3280"/>
    <w:rsid w:val="00DF5CD4"/>
    <w:rsid w:val="00DF668B"/>
    <w:rsid w:val="00DF68CD"/>
    <w:rsid w:val="00DF6A2C"/>
    <w:rsid w:val="00DF7306"/>
    <w:rsid w:val="00E00523"/>
    <w:rsid w:val="00E00AFA"/>
    <w:rsid w:val="00E013C0"/>
    <w:rsid w:val="00E01703"/>
    <w:rsid w:val="00E01F84"/>
    <w:rsid w:val="00E03473"/>
    <w:rsid w:val="00E0650C"/>
    <w:rsid w:val="00E06E81"/>
    <w:rsid w:val="00E07F4B"/>
    <w:rsid w:val="00E10AE6"/>
    <w:rsid w:val="00E11155"/>
    <w:rsid w:val="00E114E8"/>
    <w:rsid w:val="00E115C7"/>
    <w:rsid w:val="00E11B68"/>
    <w:rsid w:val="00E12055"/>
    <w:rsid w:val="00E1277E"/>
    <w:rsid w:val="00E12E3A"/>
    <w:rsid w:val="00E14B03"/>
    <w:rsid w:val="00E14E65"/>
    <w:rsid w:val="00E15583"/>
    <w:rsid w:val="00E158B7"/>
    <w:rsid w:val="00E1625B"/>
    <w:rsid w:val="00E16BE5"/>
    <w:rsid w:val="00E16FE9"/>
    <w:rsid w:val="00E21733"/>
    <w:rsid w:val="00E21EAA"/>
    <w:rsid w:val="00E225F0"/>
    <w:rsid w:val="00E25723"/>
    <w:rsid w:val="00E26265"/>
    <w:rsid w:val="00E304B4"/>
    <w:rsid w:val="00E30C29"/>
    <w:rsid w:val="00E32B73"/>
    <w:rsid w:val="00E34010"/>
    <w:rsid w:val="00E34A10"/>
    <w:rsid w:val="00E34C01"/>
    <w:rsid w:val="00E35637"/>
    <w:rsid w:val="00E35CA8"/>
    <w:rsid w:val="00E35D4A"/>
    <w:rsid w:val="00E36074"/>
    <w:rsid w:val="00E3692A"/>
    <w:rsid w:val="00E372D0"/>
    <w:rsid w:val="00E375CA"/>
    <w:rsid w:val="00E40E5E"/>
    <w:rsid w:val="00E416FB"/>
    <w:rsid w:val="00E419A9"/>
    <w:rsid w:val="00E41F33"/>
    <w:rsid w:val="00E41FC7"/>
    <w:rsid w:val="00E423CE"/>
    <w:rsid w:val="00E428E2"/>
    <w:rsid w:val="00E42EB1"/>
    <w:rsid w:val="00E42ECA"/>
    <w:rsid w:val="00E43227"/>
    <w:rsid w:val="00E43324"/>
    <w:rsid w:val="00E43F17"/>
    <w:rsid w:val="00E44737"/>
    <w:rsid w:val="00E46635"/>
    <w:rsid w:val="00E500D0"/>
    <w:rsid w:val="00E513E7"/>
    <w:rsid w:val="00E525ED"/>
    <w:rsid w:val="00E5266B"/>
    <w:rsid w:val="00E52F76"/>
    <w:rsid w:val="00E53CD9"/>
    <w:rsid w:val="00E54075"/>
    <w:rsid w:val="00E54699"/>
    <w:rsid w:val="00E54A13"/>
    <w:rsid w:val="00E555F3"/>
    <w:rsid w:val="00E579E9"/>
    <w:rsid w:val="00E60969"/>
    <w:rsid w:val="00E60C92"/>
    <w:rsid w:val="00E610D9"/>
    <w:rsid w:val="00E619B9"/>
    <w:rsid w:val="00E61B7B"/>
    <w:rsid w:val="00E61B7F"/>
    <w:rsid w:val="00E63127"/>
    <w:rsid w:val="00E642C3"/>
    <w:rsid w:val="00E644B3"/>
    <w:rsid w:val="00E65D70"/>
    <w:rsid w:val="00E6677D"/>
    <w:rsid w:val="00E66A2D"/>
    <w:rsid w:val="00E66B4B"/>
    <w:rsid w:val="00E72F0D"/>
    <w:rsid w:val="00E744CB"/>
    <w:rsid w:val="00E746D0"/>
    <w:rsid w:val="00E74C28"/>
    <w:rsid w:val="00E75A22"/>
    <w:rsid w:val="00E76228"/>
    <w:rsid w:val="00E765F2"/>
    <w:rsid w:val="00E770F1"/>
    <w:rsid w:val="00E77E69"/>
    <w:rsid w:val="00E77ECC"/>
    <w:rsid w:val="00E80F38"/>
    <w:rsid w:val="00E812B1"/>
    <w:rsid w:val="00E81621"/>
    <w:rsid w:val="00E81A20"/>
    <w:rsid w:val="00E81BD2"/>
    <w:rsid w:val="00E82D24"/>
    <w:rsid w:val="00E82DAA"/>
    <w:rsid w:val="00E8457A"/>
    <w:rsid w:val="00E847D7"/>
    <w:rsid w:val="00E84AB8"/>
    <w:rsid w:val="00E84C1B"/>
    <w:rsid w:val="00E84CA0"/>
    <w:rsid w:val="00E85DD3"/>
    <w:rsid w:val="00E9053D"/>
    <w:rsid w:val="00E90AD8"/>
    <w:rsid w:val="00E90B38"/>
    <w:rsid w:val="00E9183C"/>
    <w:rsid w:val="00E91B71"/>
    <w:rsid w:val="00E92689"/>
    <w:rsid w:val="00E93D94"/>
    <w:rsid w:val="00E9422A"/>
    <w:rsid w:val="00E950EE"/>
    <w:rsid w:val="00E96B59"/>
    <w:rsid w:val="00E9761B"/>
    <w:rsid w:val="00EA1864"/>
    <w:rsid w:val="00EA1B04"/>
    <w:rsid w:val="00EA2DC0"/>
    <w:rsid w:val="00EA3358"/>
    <w:rsid w:val="00EA3B21"/>
    <w:rsid w:val="00EA4146"/>
    <w:rsid w:val="00EA485C"/>
    <w:rsid w:val="00EA4AF2"/>
    <w:rsid w:val="00EA5EC1"/>
    <w:rsid w:val="00EA6685"/>
    <w:rsid w:val="00EB3116"/>
    <w:rsid w:val="00EB3174"/>
    <w:rsid w:val="00EB3FA3"/>
    <w:rsid w:val="00EB4085"/>
    <w:rsid w:val="00EB5069"/>
    <w:rsid w:val="00EB51E9"/>
    <w:rsid w:val="00EB5C0F"/>
    <w:rsid w:val="00EB601C"/>
    <w:rsid w:val="00EB61D6"/>
    <w:rsid w:val="00EB6AFE"/>
    <w:rsid w:val="00EC15C0"/>
    <w:rsid w:val="00EC1EF8"/>
    <w:rsid w:val="00EC3475"/>
    <w:rsid w:val="00EC42B0"/>
    <w:rsid w:val="00EC4389"/>
    <w:rsid w:val="00EC4E35"/>
    <w:rsid w:val="00EC5992"/>
    <w:rsid w:val="00EC6777"/>
    <w:rsid w:val="00EC79BE"/>
    <w:rsid w:val="00ED11BC"/>
    <w:rsid w:val="00ED1441"/>
    <w:rsid w:val="00ED1949"/>
    <w:rsid w:val="00ED197D"/>
    <w:rsid w:val="00ED1C5D"/>
    <w:rsid w:val="00ED2014"/>
    <w:rsid w:val="00ED4128"/>
    <w:rsid w:val="00ED5E1E"/>
    <w:rsid w:val="00ED72F1"/>
    <w:rsid w:val="00ED753D"/>
    <w:rsid w:val="00ED7804"/>
    <w:rsid w:val="00ED7C51"/>
    <w:rsid w:val="00EE055A"/>
    <w:rsid w:val="00EE0DFD"/>
    <w:rsid w:val="00EE0E8F"/>
    <w:rsid w:val="00EE10BE"/>
    <w:rsid w:val="00EE1EAE"/>
    <w:rsid w:val="00EE31FA"/>
    <w:rsid w:val="00EE41E9"/>
    <w:rsid w:val="00EE4BA6"/>
    <w:rsid w:val="00EE5E7A"/>
    <w:rsid w:val="00EE6F13"/>
    <w:rsid w:val="00EE782B"/>
    <w:rsid w:val="00EE7B08"/>
    <w:rsid w:val="00EF07A2"/>
    <w:rsid w:val="00EF0F9E"/>
    <w:rsid w:val="00EF2278"/>
    <w:rsid w:val="00EF2695"/>
    <w:rsid w:val="00EF298A"/>
    <w:rsid w:val="00EF29EE"/>
    <w:rsid w:val="00EF40B0"/>
    <w:rsid w:val="00EF4A34"/>
    <w:rsid w:val="00EF4BD5"/>
    <w:rsid w:val="00EF5366"/>
    <w:rsid w:val="00EF5548"/>
    <w:rsid w:val="00EF5874"/>
    <w:rsid w:val="00EF7289"/>
    <w:rsid w:val="00EF7FEF"/>
    <w:rsid w:val="00F00B11"/>
    <w:rsid w:val="00F01AEA"/>
    <w:rsid w:val="00F02605"/>
    <w:rsid w:val="00F02F1C"/>
    <w:rsid w:val="00F02FDC"/>
    <w:rsid w:val="00F04713"/>
    <w:rsid w:val="00F0504C"/>
    <w:rsid w:val="00F0608F"/>
    <w:rsid w:val="00F06A7C"/>
    <w:rsid w:val="00F06E12"/>
    <w:rsid w:val="00F11006"/>
    <w:rsid w:val="00F11169"/>
    <w:rsid w:val="00F1161E"/>
    <w:rsid w:val="00F1240D"/>
    <w:rsid w:val="00F14D2D"/>
    <w:rsid w:val="00F16B6F"/>
    <w:rsid w:val="00F17BED"/>
    <w:rsid w:val="00F2018B"/>
    <w:rsid w:val="00F20A86"/>
    <w:rsid w:val="00F20BA2"/>
    <w:rsid w:val="00F22D46"/>
    <w:rsid w:val="00F2370F"/>
    <w:rsid w:val="00F240FD"/>
    <w:rsid w:val="00F24D02"/>
    <w:rsid w:val="00F2578B"/>
    <w:rsid w:val="00F27957"/>
    <w:rsid w:val="00F3005A"/>
    <w:rsid w:val="00F31363"/>
    <w:rsid w:val="00F31C85"/>
    <w:rsid w:val="00F31DA0"/>
    <w:rsid w:val="00F3283B"/>
    <w:rsid w:val="00F32A8E"/>
    <w:rsid w:val="00F32BD2"/>
    <w:rsid w:val="00F3396D"/>
    <w:rsid w:val="00F340C9"/>
    <w:rsid w:val="00F34105"/>
    <w:rsid w:val="00F34132"/>
    <w:rsid w:val="00F3568D"/>
    <w:rsid w:val="00F35D42"/>
    <w:rsid w:val="00F37118"/>
    <w:rsid w:val="00F3786A"/>
    <w:rsid w:val="00F4003F"/>
    <w:rsid w:val="00F40316"/>
    <w:rsid w:val="00F414DE"/>
    <w:rsid w:val="00F424FF"/>
    <w:rsid w:val="00F429C5"/>
    <w:rsid w:val="00F42DCC"/>
    <w:rsid w:val="00F44348"/>
    <w:rsid w:val="00F44BE5"/>
    <w:rsid w:val="00F46D3B"/>
    <w:rsid w:val="00F472A3"/>
    <w:rsid w:val="00F47D99"/>
    <w:rsid w:val="00F514FB"/>
    <w:rsid w:val="00F51D4A"/>
    <w:rsid w:val="00F52013"/>
    <w:rsid w:val="00F523C6"/>
    <w:rsid w:val="00F52B14"/>
    <w:rsid w:val="00F52D03"/>
    <w:rsid w:val="00F52EC2"/>
    <w:rsid w:val="00F564C7"/>
    <w:rsid w:val="00F56CEA"/>
    <w:rsid w:val="00F5738F"/>
    <w:rsid w:val="00F575ED"/>
    <w:rsid w:val="00F57F32"/>
    <w:rsid w:val="00F60BEB"/>
    <w:rsid w:val="00F60DC0"/>
    <w:rsid w:val="00F616F7"/>
    <w:rsid w:val="00F61C58"/>
    <w:rsid w:val="00F62A77"/>
    <w:rsid w:val="00F62B79"/>
    <w:rsid w:val="00F62E3C"/>
    <w:rsid w:val="00F637EB"/>
    <w:rsid w:val="00F63AAB"/>
    <w:rsid w:val="00F65DB9"/>
    <w:rsid w:val="00F661E3"/>
    <w:rsid w:val="00F66818"/>
    <w:rsid w:val="00F67914"/>
    <w:rsid w:val="00F67938"/>
    <w:rsid w:val="00F67A3A"/>
    <w:rsid w:val="00F67DB9"/>
    <w:rsid w:val="00F705C3"/>
    <w:rsid w:val="00F70745"/>
    <w:rsid w:val="00F70C79"/>
    <w:rsid w:val="00F70E8D"/>
    <w:rsid w:val="00F70F00"/>
    <w:rsid w:val="00F711E5"/>
    <w:rsid w:val="00F7120C"/>
    <w:rsid w:val="00F71FEF"/>
    <w:rsid w:val="00F72318"/>
    <w:rsid w:val="00F725FE"/>
    <w:rsid w:val="00F726C4"/>
    <w:rsid w:val="00F72827"/>
    <w:rsid w:val="00F728C5"/>
    <w:rsid w:val="00F72E56"/>
    <w:rsid w:val="00F72E70"/>
    <w:rsid w:val="00F73E9B"/>
    <w:rsid w:val="00F73EAD"/>
    <w:rsid w:val="00F764A4"/>
    <w:rsid w:val="00F76D94"/>
    <w:rsid w:val="00F76F16"/>
    <w:rsid w:val="00F7784D"/>
    <w:rsid w:val="00F77BA7"/>
    <w:rsid w:val="00F8107F"/>
    <w:rsid w:val="00F8139F"/>
    <w:rsid w:val="00F814B5"/>
    <w:rsid w:val="00F814FF"/>
    <w:rsid w:val="00F8151B"/>
    <w:rsid w:val="00F818A3"/>
    <w:rsid w:val="00F83346"/>
    <w:rsid w:val="00F833D5"/>
    <w:rsid w:val="00F83F2F"/>
    <w:rsid w:val="00F85145"/>
    <w:rsid w:val="00F8558E"/>
    <w:rsid w:val="00F856CF"/>
    <w:rsid w:val="00F85922"/>
    <w:rsid w:val="00F85B57"/>
    <w:rsid w:val="00F85C68"/>
    <w:rsid w:val="00F87458"/>
    <w:rsid w:val="00F87BD7"/>
    <w:rsid w:val="00F90196"/>
    <w:rsid w:val="00F91063"/>
    <w:rsid w:val="00F9151B"/>
    <w:rsid w:val="00F91B8C"/>
    <w:rsid w:val="00F927D5"/>
    <w:rsid w:val="00F92CE5"/>
    <w:rsid w:val="00F93777"/>
    <w:rsid w:val="00F93D50"/>
    <w:rsid w:val="00F942FE"/>
    <w:rsid w:val="00F95870"/>
    <w:rsid w:val="00F96543"/>
    <w:rsid w:val="00F96821"/>
    <w:rsid w:val="00F96F97"/>
    <w:rsid w:val="00F972B7"/>
    <w:rsid w:val="00F9795F"/>
    <w:rsid w:val="00FA055A"/>
    <w:rsid w:val="00FA0637"/>
    <w:rsid w:val="00FA1591"/>
    <w:rsid w:val="00FA4143"/>
    <w:rsid w:val="00FA439E"/>
    <w:rsid w:val="00FA4491"/>
    <w:rsid w:val="00FA5ECA"/>
    <w:rsid w:val="00FB02FA"/>
    <w:rsid w:val="00FB29DC"/>
    <w:rsid w:val="00FB37C8"/>
    <w:rsid w:val="00FB3AE9"/>
    <w:rsid w:val="00FB3EB2"/>
    <w:rsid w:val="00FB4CC9"/>
    <w:rsid w:val="00FB4F7C"/>
    <w:rsid w:val="00FB5720"/>
    <w:rsid w:val="00FB5ABF"/>
    <w:rsid w:val="00FB5C76"/>
    <w:rsid w:val="00FB7581"/>
    <w:rsid w:val="00FC002C"/>
    <w:rsid w:val="00FC010C"/>
    <w:rsid w:val="00FC0C4F"/>
    <w:rsid w:val="00FC2797"/>
    <w:rsid w:val="00FC2817"/>
    <w:rsid w:val="00FC328D"/>
    <w:rsid w:val="00FC34BE"/>
    <w:rsid w:val="00FC3A44"/>
    <w:rsid w:val="00FC4947"/>
    <w:rsid w:val="00FC4BD8"/>
    <w:rsid w:val="00FC4E87"/>
    <w:rsid w:val="00FC4EF1"/>
    <w:rsid w:val="00FC5206"/>
    <w:rsid w:val="00FC6112"/>
    <w:rsid w:val="00FC670A"/>
    <w:rsid w:val="00FC78C5"/>
    <w:rsid w:val="00FD038A"/>
    <w:rsid w:val="00FD08A8"/>
    <w:rsid w:val="00FD11F2"/>
    <w:rsid w:val="00FD1904"/>
    <w:rsid w:val="00FD2206"/>
    <w:rsid w:val="00FD26FF"/>
    <w:rsid w:val="00FD2CA5"/>
    <w:rsid w:val="00FD2D86"/>
    <w:rsid w:val="00FD2FC0"/>
    <w:rsid w:val="00FD3741"/>
    <w:rsid w:val="00FD3EAB"/>
    <w:rsid w:val="00FD4A2B"/>
    <w:rsid w:val="00FD4F10"/>
    <w:rsid w:val="00FD5176"/>
    <w:rsid w:val="00FD55E1"/>
    <w:rsid w:val="00FD61C5"/>
    <w:rsid w:val="00FD7A50"/>
    <w:rsid w:val="00FD7DDB"/>
    <w:rsid w:val="00FE0057"/>
    <w:rsid w:val="00FE01E8"/>
    <w:rsid w:val="00FE06CC"/>
    <w:rsid w:val="00FE18C9"/>
    <w:rsid w:val="00FE2CBA"/>
    <w:rsid w:val="00FE2F21"/>
    <w:rsid w:val="00FE3657"/>
    <w:rsid w:val="00FE3C36"/>
    <w:rsid w:val="00FE5666"/>
    <w:rsid w:val="00FE7011"/>
    <w:rsid w:val="00FE7337"/>
    <w:rsid w:val="00FE75CF"/>
    <w:rsid w:val="00FE7937"/>
    <w:rsid w:val="00FE7D59"/>
    <w:rsid w:val="00FE7F18"/>
    <w:rsid w:val="00FF0BF5"/>
    <w:rsid w:val="00FF0CA2"/>
    <w:rsid w:val="00FF1414"/>
    <w:rsid w:val="00FF1523"/>
    <w:rsid w:val="00FF19B9"/>
    <w:rsid w:val="00FF5DC2"/>
    <w:rsid w:val="00FF6933"/>
    <w:rsid w:val="00FF716B"/>
    <w:rsid w:val="01037827"/>
    <w:rsid w:val="03D26CAE"/>
    <w:rsid w:val="041B4B27"/>
    <w:rsid w:val="046138FC"/>
    <w:rsid w:val="0533111A"/>
    <w:rsid w:val="0539705F"/>
    <w:rsid w:val="07414C34"/>
    <w:rsid w:val="07476620"/>
    <w:rsid w:val="0B905927"/>
    <w:rsid w:val="0D4348F1"/>
    <w:rsid w:val="0E3E48E9"/>
    <w:rsid w:val="0F572DBB"/>
    <w:rsid w:val="11AF53F1"/>
    <w:rsid w:val="12861652"/>
    <w:rsid w:val="1331081A"/>
    <w:rsid w:val="17AC3046"/>
    <w:rsid w:val="17B92A2F"/>
    <w:rsid w:val="18C114AD"/>
    <w:rsid w:val="208F0CAC"/>
    <w:rsid w:val="212F04B1"/>
    <w:rsid w:val="216D2979"/>
    <w:rsid w:val="2368307E"/>
    <w:rsid w:val="24980024"/>
    <w:rsid w:val="27CA1771"/>
    <w:rsid w:val="28CE659F"/>
    <w:rsid w:val="297B5BC2"/>
    <w:rsid w:val="29850CB3"/>
    <w:rsid w:val="2BBE1C7A"/>
    <w:rsid w:val="2DF91068"/>
    <w:rsid w:val="2E9C62E0"/>
    <w:rsid w:val="2F5307B0"/>
    <w:rsid w:val="34187B97"/>
    <w:rsid w:val="348C5855"/>
    <w:rsid w:val="35A259D5"/>
    <w:rsid w:val="36B84136"/>
    <w:rsid w:val="3B1649BD"/>
    <w:rsid w:val="3C9821E2"/>
    <w:rsid w:val="3CB65783"/>
    <w:rsid w:val="3D0C72B2"/>
    <w:rsid w:val="3DA9221B"/>
    <w:rsid w:val="3E41208D"/>
    <w:rsid w:val="404204F8"/>
    <w:rsid w:val="412675B3"/>
    <w:rsid w:val="42887F82"/>
    <w:rsid w:val="467E1735"/>
    <w:rsid w:val="476706F2"/>
    <w:rsid w:val="4918721F"/>
    <w:rsid w:val="4A6A5E79"/>
    <w:rsid w:val="4A97171D"/>
    <w:rsid w:val="4BA66728"/>
    <w:rsid w:val="4C5C42E3"/>
    <w:rsid w:val="53DF453C"/>
    <w:rsid w:val="567676EB"/>
    <w:rsid w:val="56BA121C"/>
    <w:rsid w:val="575811E5"/>
    <w:rsid w:val="58AA0860"/>
    <w:rsid w:val="5AFB56F9"/>
    <w:rsid w:val="5B1D0059"/>
    <w:rsid w:val="5CF36462"/>
    <w:rsid w:val="5DB57BB1"/>
    <w:rsid w:val="5E090A1C"/>
    <w:rsid w:val="60191B31"/>
    <w:rsid w:val="61706A09"/>
    <w:rsid w:val="61D369C0"/>
    <w:rsid w:val="627821EC"/>
    <w:rsid w:val="62922867"/>
    <w:rsid w:val="62E9276E"/>
    <w:rsid w:val="634B6F5F"/>
    <w:rsid w:val="6474522D"/>
    <w:rsid w:val="68233070"/>
    <w:rsid w:val="68B65AA7"/>
    <w:rsid w:val="6ABA3717"/>
    <w:rsid w:val="6CB20655"/>
    <w:rsid w:val="6DE15097"/>
    <w:rsid w:val="6E9B4C18"/>
    <w:rsid w:val="6EF20F89"/>
    <w:rsid w:val="71647B50"/>
    <w:rsid w:val="73AF5452"/>
    <w:rsid w:val="75630BA5"/>
    <w:rsid w:val="758E32F2"/>
    <w:rsid w:val="7BD61D1C"/>
    <w:rsid w:val="7D0412F5"/>
    <w:rsid w:val="7D667DFA"/>
    <w:rsid w:val="7FE45B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nhideWhenUsed="0" w:uiPriority="0" w:semiHidden="0" w:name="heading 6"/>
    <w:lsdException w:qFormat="1" w:uiPriority="0" w:name="heading 7"/>
    <w:lsdException w:qFormat="1" w:unhideWhenUsed="0"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qFormat="1"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pacing w:val="10"/>
      <w:kern w:val="2"/>
      <w:sz w:val="28"/>
      <w:lang w:val="en-US" w:eastAsia="zh-CN" w:bidi="ar-SA"/>
    </w:rPr>
  </w:style>
  <w:style w:type="paragraph" w:styleId="2">
    <w:name w:val="heading 1"/>
    <w:basedOn w:val="1"/>
    <w:next w:val="1"/>
    <w:link w:val="73"/>
    <w:qFormat/>
    <w:uiPriority w:val="0"/>
    <w:pPr>
      <w:keepNext/>
      <w:numPr>
        <w:ilvl w:val="0"/>
        <w:numId w:val="1"/>
      </w:numPr>
      <w:spacing w:line="240" w:lineRule="auto"/>
      <w:outlineLvl w:val="0"/>
    </w:pPr>
    <w:rPr>
      <w:rFonts w:ascii="黑体" w:hAnsi="黑体" w:eastAsia="黑体"/>
      <w:spacing w:val="0"/>
      <w:kern w:val="0"/>
      <w:sz w:val="44"/>
    </w:rPr>
  </w:style>
  <w:style w:type="paragraph" w:styleId="3">
    <w:name w:val="heading 2"/>
    <w:basedOn w:val="1"/>
    <w:next w:val="1"/>
    <w:link w:val="74"/>
    <w:qFormat/>
    <w:uiPriority w:val="0"/>
    <w:pPr>
      <w:keepNext/>
      <w:widowControl/>
      <w:adjustRightInd/>
      <w:spacing w:line="360" w:lineRule="auto"/>
      <w:jc w:val="left"/>
      <w:textAlignment w:val="auto"/>
      <w:outlineLvl w:val="1"/>
    </w:pPr>
    <w:rPr>
      <w:rFonts w:ascii="仿宋_GB2312" w:hAnsi="仿宋_GB2312"/>
      <w:b/>
      <w:color w:val="000000"/>
      <w:spacing w:val="0"/>
      <w:kern w:val="0"/>
    </w:rPr>
  </w:style>
  <w:style w:type="paragraph" w:styleId="4">
    <w:name w:val="heading 3"/>
    <w:basedOn w:val="1"/>
    <w:next w:val="5"/>
    <w:qFormat/>
    <w:uiPriority w:val="0"/>
    <w:pPr>
      <w:keepNext/>
      <w:numPr>
        <w:ilvl w:val="0"/>
        <w:numId w:val="2"/>
      </w:numPr>
      <w:adjustRightInd/>
      <w:spacing w:line="360" w:lineRule="auto"/>
      <w:textAlignment w:val="auto"/>
      <w:outlineLvl w:val="2"/>
    </w:pPr>
    <w:rPr>
      <w:spacing w:val="0"/>
    </w:rPr>
  </w:style>
  <w:style w:type="paragraph" w:styleId="6">
    <w:name w:val="heading 5"/>
    <w:basedOn w:val="1"/>
    <w:next w:val="5"/>
    <w:qFormat/>
    <w:uiPriority w:val="0"/>
    <w:pPr>
      <w:keepNext/>
      <w:numPr>
        <w:ilvl w:val="0"/>
        <w:numId w:val="3"/>
      </w:numPr>
      <w:adjustRightInd/>
      <w:spacing w:line="360" w:lineRule="auto"/>
      <w:textAlignment w:val="auto"/>
      <w:outlineLvl w:val="4"/>
    </w:pPr>
    <w:rPr>
      <w:spacing w:val="0"/>
    </w:rPr>
  </w:style>
  <w:style w:type="paragraph" w:styleId="7">
    <w:name w:val="heading 6"/>
    <w:basedOn w:val="1"/>
    <w:next w:val="5"/>
    <w:qFormat/>
    <w:uiPriority w:val="0"/>
    <w:pPr>
      <w:keepNext/>
      <w:numPr>
        <w:ilvl w:val="0"/>
        <w:numId w:val="4"/>
      </w:numPr>
      <w:adjustRightInd/>
      <w:spacing w:line="360" w:lineRule="auto"/>
      <w:ind w:firstLine="560"/>
      <w:textAlignment w:val="auto"/>
      <w:outlineLvl w:val="5"/>
    </w:pPr>
    <w:rPr>
      <w:spacing w:val="0"/>
    </w:rPr>
  </w:style>
  <w:style w:type="paragraph" w:styleId="8">
    <w:name w:val="heading 8"/>
    <w:basedOn w:val="1"/>
    <w:next w:val="5"/>
    <w:qFormat/>
    <w:uiPriority w:val="0"/>
    <w:pPr>
      <w:keepNext/>
      <w:numPr>
        <w:ilvl w:val="0"/>
        <w:numId w:val="5"/>
      </w:numPr>
      <w:adjustRightInd/>
      <w:spacing w:line="360" w:lineRule="auto"/>
      <w:textAlignment w:val="auto"/>
      <w:outlineLvl w:val="7"/>
    </w:pPr>
    <w:rPr>
      <w:b/>
      <w:spacing w:val="0"/>
    </w:rPr>
  </w:style>
  <w:style w:type="character" w:default="1" w:styleId="30">
    <w:name w:val="Default Paragraph Font"/>
    <w:semiHidden/>
    <w:unhideWhenUsed/>
    <w:qFormat/>
    <w:uiPriority w:val="1"/>
  </w:style>
  <w:style w:type="table" w:default="1" w:styleId="36">
    <w:name w:val="Normal Table"/>
    <w:semiHidden/>
    <w:unhideWhenUsed/>
    <w:qFormat/>
    <w:uiPriority w:val="99"/>
    <w:tblPr>
      <w:tblLayout w:type="fixed"/>
      <w:tblCellMar>
        <w:top w:w="0" w:type="dxa"/>
        <w:left w:w="108" w:type="dxa"/>
        <w:bottom w:w="0" w:type="dxa"/>
        <w:right w:w="108" w:type="dxa"/>
      </w:tblCellMar>
    </w:tblPr>
  </w:style>
  <w:style w:type="paragraph" w:styleId="5">
    <w:name w:val="Normal Indent"/>
    <w:basedOn w:val="1"/>
    <w:qFormat/>
    <w:uiPriority w:val="0"/>
    <w:pPr>
      <w:adjustRightInd/>
      <w:spacing w:line="240" w:lineRule="auto"/>
      <w:ind w:firstLine="420"/>
      <w:textAlignment w:val="auto"/>
    </w:pPr>
    <w:rPr>
      <w:spacing w:val="0"/>
      <w:sz w:val="21"/>
    </w:rPr>
  </w:style>
  <w:style w:type="paragraph" w:styleId="9">
    <w:name w:val="annotation subject"/>
    <w:basedOn w:val="10"/>
    <w:next w:val="10"/>
    <w:semiHidden/>
    <w:qFormat/>
    <w:uiPriority w:val="0"/>
    <w:rPr>
      <w:b/>
      <w:bCs/>
    </w:rPr>
  </w:style>
  <w:style w:type="paragraph" w:styleId="10">
    <w:name w:val="annotation text"/>
    <w:basedOn w:val="1"/>
    <w:link w:val="70"/>
    <w:qFormat/>
    <w:uiPriority w:val="0"/>
    <w:pPr>
      <w:jc w:val="left"/>
    </w:pPr>
  </w:style>
  <w:style w:type="paragraph" w:styleId="11">
    <w:name w:val="Body Text First Indent"/>
    <w:basedOn w:val="12"/>
    <w:qFormat/>
    <w:uiPriority w:val="0"/>
    <w:pPr>
      <w:spacing w:after="120"/>
      <w:ind w:firstLine="420"/>
    </w:pPr>
    <w:rPr>
      <w:rFonts w:ascii="Times New Roman"/>
      <w:sz w:val="21"/>
    </w:rPr>
  </w:style>
  <w:style w:type="paragraph" w:styleId="12">
    <w:name w:val="Body Text"/>
    <w:basedOn w:val="1"/>
    <w:qFormat/>
    <w:uiPriority w:val="0"/>
    <w:pPr>
      <w:adjustRightInd/>
      <w:spacing w:line="240" w:lineRule="auto"/>
      <w:textAlignment w:val="auto"/>
    </w:pPr>
    <w:rPr>
      <w:rFonts w:ascii="宋体"/>
      <w:spacing w:val="0"/>
    </w:rPr>
  </w:style>
  <w:style w:type="paragraph" w:styleId="13">
    <w:name w:val="Document Map"/>
    <w:basedOn w:val="1"/>
    <w:semiHidden/>
    <w:qFormat/>
    <w:uiPriority w:val="0"/>
    <w:pPr>
      <w:shd w:val="clear" w:color="auto" w:fill="000080"/>
    </w:pPr>
  </w:style>
  <w:style w:type="paragraph" w:styleId="14">
    <w:name w:val="Body Text Indent"/>
    <w:basedOn w:val="1"/>
    <w:qFormat/>
    <w:uiPriority w:val="0"/>
    <w:pPr>
      <w:spacing w:line="500" w:lineRule="exact"/>
      <w:ind w:firstLine="720"/>
    </w:pPr>
  </w:style>
  <w:style w:type="paragraph" w:styleId="15">
    <w:name w:val="List 2"/>
    <w:basedOn w:val="1"/>
    <w:qFormat/>
    <w:uiPriority w:val="0"/>
    <w:pPr>
      <w:adjustRightInd/>
      <w:spacing w:line="240" w:lineRule="auto"/>
      <w:ind w:left="840" w:hanging="420"/>
      <w:textAlignment w:val="auto"/>
    </w:pPr>
    <w:rPr>
      <w:spacing w:val="0"/>
      <w:sz w:val="21"/>
    </w:rPr>
  </w:style>
  <w:style w:type="paragraph" w:styleId="16">
    <w:name w:val="Plain Text"/>
    <w:basedOn w:val="1"/>
    <w:link w:val="55"/>
    <w:qFormat/>
    <w:uiPriority w:val="0"/>
    <w:pPr>
      <w:adjustRightInd/>
      <w:spacing w:line="240" w:lineRule="auto"/>
      <w:textAlignment w:val="auto"/>
    </w:pPr>
    <w:rPr>
      <w:rFonts w:ascii="宋体" w:hAnsi="Courier New"/>
      <w:spacing w:val="0"/>
      <w:sz w:val="21"/>
    </w:rPr>
  </w:style>
  <w:style w:type="paragraph" w:styleId="17">
    <w:name w:val="Date"/>
    <w:basedOn w:val="1"/>
    <w:next w:val="1"/>
    <w:link w:val="71"/>
    <w:qFormat/>
    <w:uiPriority w:val="0"/>
    <w:pPr>
      <w:autoSpaceDE w:val="0"/>
      <w:autoSpaceDN w:val="0"/>
      <w:spacing w:line="240" w:lineRule="auto"/>
      <w:jc w:val="right"/>
    </w:pPr>
    <w:rPr>
      <w:kern w:val="0"/>
    </w:rPr>
  </w:style>
  <w:style w:type="paragraph" w:styleId="18">
    <w:name w:val="Body Text Indent 2"/>
    <w:basedOn w:val="1"/>
    <w:qFormat/>
    <w:uiPriority w:val="0"/>
    <w:pPr>
      <w:spacing w:line="500" w:lineRule="exact"/>
      <w:ind w:firstLine="600"/>
    </w:pPr>
  </w:style>
  <w:style w:type="paragraph" w:styleId="19">
    <w:name w:val="Balloon Text"/>
    <w:basedOn w:val="1"/>
    <w:semiHidden/>
    <w:qFormat/>
    <w:uiPriority w:val="0"/>
    <w:rPr>
      <w:sz w:val="18"/>
      <w:szCs w:val="18"/>
    </w:rPr>
  </w:style>
  <w:style w:type="paragraph" w:styleId="20">
    <w:name w:val="footer"/>
    <w:basedOn w:val="1"/>
    <w:qFormat/>
    <w:uiPriority w:val="0"/>
    <w:pPr>
      <w:tabs>
        <w:tab w:val="center" w:pos="4153"/>
        <w:tab w:val="right" w:pos="8306"/>
      </w:tabs>
      <w:spacing w:line="240" w:lineRule="atLeast"/>
      <w:jc w:val="left"/>
    </w:pPr>
    <w:rPr>
      <w:sz w:val="18"/>
    </w:rPr>
  </w:style>
  <w:style w:type="paragraph" w:styleId="21">
    <w:name w:val="Body Text First Indent 2"/>
    <w:basedOn w:val="14"/>
    <w:qFormat/>
    <w:uiPriority w:val="0"/>
    <w:pPr>
      <w:adjustRightInd/>
      <w:spacing w:after="120" w:line="240" w:lineRule="auto"/>
      <w:ind w:left="420" w:firstLine="210"/>
      <w:textAlignment w:val="auto"/>
    </w:pPr>
    <w:rPr>
      <w:spacing w:val="0"/>
      <w:sz w:val="21"/>
    </w:rPr>
  </w:style>
  <w:style w:type="paragraph" w:styleId="22">
    <w:name w:val="header"/>
    <w:basedOn w:val="1"/>
    <w:qFormat/>
    <w:uiPriority w:val="0"/>
    <w:pPr>
      <w:pBdr>
        <w:bottom w:val="single" w:color="auto" w:sz="6" w:space="1"/>
      </w:pBdr>
      <w:tabs>
        <w:tab w:val="center" w:pos="4153"/>
        <w:tab w:val="right" w:pos="8306"/>
      </w:tabs>
      <w:snapToGrid w:val="0"/>
      <w:spacing w:line="240" w:lineRule="atLeast"/>
      <w:jc w:val="left"/>
    </w:pPr>
    <w:rPr>
      <w:rFonts w:eastAsia="华文宋体"/>
      <w:sz w:val="21"/>
    </w:rPr>
  </w:style>
  <w:style w:type="paragraph" w:styleId="23">
    <w:name w:val="toc 1"/>
    <w:basedOn w:val="1"/>
    <w:next w:val="1"/>
    <w:qFormat/>
    <w:uiPriority w:val="39"/>
    <w:pPr>
      <w:tabs>
        <w:tab w:val="right" w:leader="dot" w:pos="8210"/>
      </w:tabs>
      <w:spacing w:line="360" w:lineRule="auto"/>
    </w:pPr>
    <w:rPr>
      <w:rFonts w:ascii="仿宋_GB2312" w:hAnsi="宋体" w:eastAsia="仿宋_GB2312"/>
      <w:b/>
      <w:bCs/>
      <w:color w:val="000000"/>
    </w:rPr>
  </w:style>
  <w:style w:type="paragraph" w:styleId="24">
    <w:name w:val="List"/>
    <w:basedOn w:val="1"/>
    <w:qFormat/>
    <w:uiPriority w:val="0"/>
    <w:pPr>
      <w:adjustRightInd/>
      <w:spacing w:line="240" w:lineRule="auto"/>
      <w:ind w:left="420" w:hanging="420"/>
      <w:textAlignment w:val="auto"/>
    </w:pPr>
    <w:rPr>
      <w:spacing w:val="0"/>
      <w:sz w:val="21"/>
    </w:rPr>
  </w:style>
  <w:style w:type="paragraph" w:styleId="25">
    <w:name w:val="Body Text Indent 3"/>
    <w:basedOn w:val="1"/>
    <w:qFormat/>
    <w:uiPriority w:val="0"/>
    <w:pPr>
      <w:spacing w:line="500" w:lineRule="exact"/>
      <w:ind w:firstLine="575"/>
    </w:pPr>
    <w:rPr>
      <w:rFonts w:ascii="宋体"/>
      <w:spacing w:val="0"/>
    </w:rPr>
  </w:style>
  <w:style w:type="paragraph" w:styleId="26">
    <w:name w:val="toc 2"/>
    <w:basedOn w:val="1"/>
    <w:next w:val="1"/>
    <w:qFormat/>
    <w:uiPriority w:val="39"/>
    <w:pPr>
      <w:ind w:left="420" w:leftChars="200"/>
    </w:pPr>
  </w:style>
  <w:style w:type="paragraph" w:styleId="27">
    <w:name w:val="Body Text 2"/>
    <w:basedOn w:val="1"/>
    <w:qFormat/>
    <w:uiPriority w:val="0"/>
    <w:pPr>
      <w:spacing w:line="500" w:lineRule="exact"/>
      <w:jc w:val="center"/>
    </w:pPr>
    <w:rPr>
      <w:rFonts w:ascii="仿宋_GB2312" w:eastAsia="仿宋_GB2312"/>
      <w:spacing w:val="-20"/>
    </w:rPr>
  </w:style>
  <w:style w:type="paragraph" w:styleId="28">
    <w:name w:val="HTML Preformatted"/>
    <w:basedOn w:val="1"/>
    <w:link w:val="6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textAlignment w:val="auto"/>
    </w:pPr>
    <w:rPr>
      <w:rFonts w:ascii="宋体" w:hAnsi="宋体" w:cs="宋体"/>
      <w:spacing w:val="0"/>
      <w:kern w:val="0"/>
      <w:sz w:val="24"/>
      <w:szCs w:val="24"/>
    </w:rPr>
  </w:style>
  <w:style w:type="paragraph" w:styleId="29">
    <w:name w:val="Normal (Web)"/>
    <w:basedOn w:val="1"/>
    <w:qFormat/>
    <w:uiPriority w:val="99"/>
    <w:pPr>
      <w:widowControl/>
      <w:adjustRightInd/>
      <w:spacing w:before="160" w:line="312" w:lineRule="auto"/>
      <w:ind w:firstLine="480"/>
      <w:jc w:val="left"/>
      <w:textAlignment w:val="auto"/>
    </w:pPr>
    <w:rPr>
      <w:color w:val="000000"/>
      <w:spacing w:val="16"/>
      <w:kern w:val="0"/>
      <w:sz w:val="18"/>
      <w:szCs w:val="18"/>
    </w:rPr>
  </w:style>
  <w:style w:type="character" w:styleId="31">
    <w:name w:val="Strong"/>
    <w:qFormat/>
    <w:uiPriority w:val="22"/>
    <w:rPr>
      <w:b/>
      <w:bCs/>
    </w:rPr>
  </w:style>
  <w:style w:type="character" w:styleId="32">
    <w:name w:val="page number"/>
    <w:basedOn w:val="30"/>
    <w:qFormat/>
    <w:uiPriority w:val="0"/>
  </w:style>
  <w:style w:type="character" w:styleId="33">
    <w:name w:val="Emphasis"/>
    <w:qFormat/>
    <w:uiPriority w:val="0"/>
    <w:rPr>
      <w:color w:val="CC0033"/>
    </w:rPr>
  </w:style>
  <w:style w:type="character" w:styleId="34">
    <w:name w:val="Hyperlink"/>
    <w:qFormat/>
    <w:uiPriority w:val="99"/>
    <w:rPr>
      <w:color w:val="00007F"/>
      <w:u w:val="none"/>
    </w:rPr>
  </w:style>
  <w:style w:type="character" w:styleId="35">
    <w:name w:val="annotation reference"/>
    <w:basedOn w:val="30"/>
    <w:qFormat/>
    <w:uiPriority w:val="0"/>
    <w:rPr>
      <w:sz w:val="21"/>
      <w:szCs w:val="21"/>
    </w:rPr>
  </w:style>
  <w:style w:type="table" w:styleId="37">
    <w:name w:val="Table Grid"/>
    <w:basedOn w:val="36"/>
    <w:qFormat/>
    <w:uiPriority w:val="0"/>
    <w:pPr>
      <w:widowControl w:val="0"/>
      <w:adjustRightInd w:val="0"/>
      <w:spacing w:line="312" w:lineRule="atLeast"/>
      <w:jc w:val="both"/>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38">
    <w:name w:val="Table Grid 7"/>
    <w:basedOn w:val="36"/>
    <w:qFormat/>
    <w:uiPriority w:val="0"/>
    <w:pPr>
      <w:widowControl w:val="0"/>
      <w:adjustRightInd w:val="0"/>
      <w:spacing w:line="312" w:lineRule="atLeast"/>
      <w:jc w:val="both"/>
      <w:textAlignment w:val="baseline"/>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b w:val="0"/>
        <w:bCs w:val="0"/>
      </w:rPr>
      <w:tblPr>
        <w:tblLayout w:type="fixed"/>
      </w:tblPr>
      <w:tcPr>
        <w:tcBorders>
          <w:bottom w:val="single" w:color="000000" w:sz="12" w:space="0"/>
          <w:tl2br w:val="nil"/>
          <w:tr2bl w:val="nil"/>
        </w:tcBorders>
      </w:tcPr>
    </w:tblStylePr>
    <w:tblStylePr w:type="lastRow">
      <w:rPr>
        <w:b w:val="0"/>
        <w:bCs w:val="0"/>
      </w:rPr>
      <w:tblPr>
        <w:tblLayout w:type="fixed"/>
      </w:tblPr>
      <w:tcPr>
        <w:tcBorders>
          <w:top w:val="single" w:color="000000" w:sz="6" w:space="0"/>
          <w:tl2br w:val="nil"/>
          <w:tr2bl w:val="nil"/>
        </w:tcBorders>
      </w:tcPr>
    </w:tblStylePr>
    <w:tblStylePr w:type="firstCol">
      <w:rPr>
        <w:b w:val="0"/>
        <w:bCs w:val="0"/>
      </w:rPr>
      <w:tblPr>
        <w:tblLayout w:type="fixed"/>
      </w:tblPr>
      <w:tcPr>
        <w:tcBorders>
          <w:tl2br w:val="nil"/>
          <w:tr2bl w:val="nil"/>
        </w:tcBorders>
      </w:tcPr>
    </w:tblStylePr>
    <w:tblStylePr w:type="lastCol">
      <w:rPr>
        <w:b w:val="0"/>
        <w:bCs w:val="0"/>
      </w:rPr>
      <w:tblPr>
        <w:tblLayout w:type="fixed"/>
      </w:tblPr>
      <w:tcPr>
        <w:tcBorders>
          <w:tl2br w:val="nil"/>
          <w:tr2bl w:val="nil"/>
        </w:tcBorders>
      </w:tcPr>
    </w:tblStylePr>
    <w:tblStylePr w:type="nwCell">
      <w:tblPr>
        <w:tblLayout w:type="fixed"/>
      </w:tblPr>
      <w:tcPr>
        <w:tcBorders>
          <w:tl2br w:val="single" w:color="000000" w:sz="6" w:space="0"/>
          <w:tr2bl w:val="nil"/>
        </w:tcBorders>
      </w:tcPr>
    </w:tblStylePr>
  </w:style>
  <w:style w:type="paragraph" w:customStyle="1" w:styleId="39">
    <w:name w:val="正文1"/>
    <w:qFormat/>
    <w:uiPriority w:val="0"/>
    <w:pPr>
      <w:widowControl w:val="0"/>
      <w:adjustRightInd w:val="0"/>
      <w:spacing w:line="360" w:lineRule="atLeast"/>
      <w:textAlignment w:val="baseline"/>
    </w:pPr>
    <w:rPr>
      <w:rFonts w:ascii="宋体" w:hAnsi="Times New Roman" w:eastAsia="宋体" w:cs="Times New Roman"/>
      <w:sz w:val="34"/>
      <w:lang w:val="en-US" w:eastAsia="zh-CN" w:bidi="ar-SA"/>
    </w:rPr>
  </w:style>
  <w:style w:type="paragraph" w:customStyle="1" w:styleId="40">
    <w:name w:val="ST20_1"/>
    <w:basedOn w:val="1"/>
    <w:qFormat/>
    <w:uiPriority w:val="0"/>
    <w:pPr>
      <w:autoSpaceDE w:val="0"/>
      <w:autoSpaceDN w:val="0"/>
      <w:spacing w:line="500" w:lineRule="atLeast"/>
      <w:jc w:val="left"/>
    </w:pPr>
    <w:rPr>
      <w:rFonts w:ascii="昆仑仿宋" w:hAnsi="Tms Rmn" w:eastAsia="昆仑仿宋"/>
      <w:spacing w:val="0"/>
      <w:kern w:val="0"/>
    </w:rPr>
  </w:style>
  <w:style w:type="character" w:customStyle="1" w:styleId="41">
    <w:name w:val="style18"/>
    <w:basedOn w:val="30"/>
    <w:qFormat/>
    <w:uiPriority w:val="0"/>
  </w:style>
  <w:style w:type="paragraph" w:customStyle="1" w:styleId="42">
    <w:name w:val="1"/>
    <w:basedOn w:val="1"/>
    <w:qFormat/>
    <w:uiPriority w:val="0"/>
    <w:pPr>
      <w:adjustRightInd/>
      <w:spacing w:line="240" w:lineRule="auto"/>
      <w:textAlignment w:val="auto"/>
    </w:pPr>
    <w:rPr>
      <w:rFonts w:ascii="宋体" w:hAnsi="宋体" w:cs="Courier New"/>
      <w:spacing w:val="0"/>
      <w:sz w:val="32"/>
      <w:szCs w:val="32"/>
    </w:rPr>
  </w:style>
  <w:style w:type="character" w:customStyle="1" w:styleId="43">
    <w:name w:val="a14c1"/>
    <w:qFormat/>
    <w:uiPriority w:val="0"/>
    <w:rPr>
      <w:sz w:val="21"/>
      <w:szCs w:val="21"/>
    </w:rPr>
  </w:style>
  <w:style w:type="paragraph" w:customStyle="1" w:styleId="44">
    <w:name w:val="Style 龙泰正文 + First line:  2 ch1"/>
    <w:basedOn w:val="1"/>
    <w:qFormat/>
    <w:uiPriority w:val="0"/>
    <w:pPr>
      <w:autoSpaceDE w:val="0"/>
      <w:autoSpaceDN w:val="0"/>
      <w:spacing w:line="360" w:lineRule="auto"/>
      <w:ind w:firstLine="640" w:firstLineChars="200"/>
    </w:pPr>
    <w:rPr>
      <w:rFonts w:ascii="Arial" w:hAnsi="Arial" w:eastAsia="仿宋_GB2312" w:cs="宋体"/>
      <w:spacing w:val="20"/>
      <w:kern w:val="0"/>
      <w:szCs w:val="28"/>
    </w:rPr>
  </w:style>
  <w:style w:type="paragraph" w:customStyle="1" w:styleId="45">
    <w:name w:val="龙泰正文"/>
    <w:basedOn w:val="1"/>
    <w:qFormat/>
    <w:uiPriority w:val="0"/>
    <w:pPr>
      <w:autoSpaceDE w:val="0"/>
      <w:autoSpaceDN w:val="0"/>
      <w:spacing w:line="360" w:lineRule="auto"/>
      <w:ind w:firstLine="200" w:firstLineChars="200"/>
    </w:pPr>
    <w:rPr>
      <w:rFonts w:ascii="仿宋_GB2312" w:hAnsi="Arial" w:eastAsia="仿宋_GB2312"/>
      <w:spacing w:val="0"/>
      <w:szCs w:val="28"/>
    </w:rPr>
  </w:style>
  <w:style w:type="paragraph" w:customStyle="1" w:styleId="46">
    <w:name w:val="龙泰标题5"/>
    <w:basedOn w:val="6"/>
    <w:next w:val="45"/>
    <w:qFormat/>
    <w:uiPriority w:val="0"/>
    <w:pPr>
      <w:keepNext w:val="0"/>
      <w:widowControl/>
      <w:numPr>
        <w:numId w:val="0"/>
      </w:numPr>
      <w:autoSpaceDE w:val="0"/>
      <w:autoSpaceDN w:val="0"/>
      <w:adjustRightInd w:val="0"/>
      <w:textAlignment w:val="baseline"/>
    </w:pPr>
    <w:rPr>
      <w:rFonts w:ascii="仿宋_GB2312" w:hAnsi="Arial" w:eastAsia="仿宋_GB2312"/>
      <w:bCs/>
      <w:kern w:val="0"/>
      <w:szCs w:val="28"/>
    </w:rPr>
  </w:style>
  <w:style w:type="paragraph" w:customStyle="1" w:styleId="47">
    <w:name w:val="龙泰正文 + First line:  2 ch1 + After:  12 pt First line:  6 ch"/>
    <w:basedOn w:val="1"/>
    <w:qFormat/>
    <w:uiPriority w:val="0"/>
    <w:pPr>
      <w:autoSpaceDE w:val="0"/>
      <w:autoSpaceDN w:val="0"/>
      <w:spacing w:line="360" w:lineRule="auto"/>
      <w:ind w:firstLine="600" w:firstLineChars="600"/>
    </w:pPr>
    <w:rPr>
      <w:rFonts w:ascii="仿宋_GB2312" w:hAnsi="Arial" w:eastAsia="仿宋_GB2312" w:cs="宋体"/>
      <w:spacing w:val="0"/>
    </w:rPr>
  </w:style>
  <w:style w:type="paragraph" w:customStyle="1" w:styleId="48">
    <w:name w:val="龙泰标题4"/>
    <w:basedOn w:val="1"/>
    <w:next w:val="45"/>
    <w:qFormat/>
    <w:uiPriority w:val="0"/>
    <w:pPr>
      <w:keepLines/>
      <w:tabs>
        <w:tab w:val="left" w:pos="720"/>
      </w:tabs>
      <w:autoSpaceDE w:val="0"/>
      <w:autoSpaceDN w:val="0"/>
      <w:spacing w:line="360" w:lineRule="auto"/>
      <w:outlineLvl w:val="3"/>
    </w:pPr>
    <w:rPr>
      <w:rFonts w:ascii="仿宋_GB2312" w:hAnsi="Arial" w:eastAsia="仿宋_GB2312"/>
      <w:kern w:val="0"/>
      <w:szCs w:val="28"/>
    </w:rPr>
  </w:style>
  <w:style w:type="paragraph" w:customStyle="1" w:styleId="49">
    <w:name w:val="龙泰正文 + First line:  2 ch1"/>
    <w:basedOn w:val="45"/>
    <w:qFormat/>
    <w:uiPriority w:val="0"/>
    <w:pPr>
      <w:ind w:firstLine="600"/>
    </w:pPr>
  </w:style>
  <w:style w:type="paragraph" w:customStyle="1" w:styleId="50">
    <w:name w:val="龙泰正文 + First line:  2 ch1 + After:  12 pt First line:  4 ch1"/>
    <w:basedOn w:val="49"/>
    <w:qFormat/>
    <w:uiPriority w:val="0"/>
    <w:pPr>
      <w:ind w:firstLine="400" w:firstLineChars="400"/>
    </w:pPr>
    <w:rPr>
      <w:rFonts w:cs="宋体"/>
      <w:szCs w:val="20"/>
    </w:rPr>
  </w:style>
  <w:style w:type="paragraph" w:customStyle="1" w:styleId="51">
    <w:name w:val="Char Char Char1 Char Char Char Char"/>
    <w:basedOn w:val="1"/>
    <w:qFormat/>
    <w:uiPriority w:val="0"/>
    <w:pPr>
      <w:adjustRightInd/>
      <w:spacing w:line="240" w:lineRule="auto"/>
      <w:textAlignment w:val="auto"/>
    </w:pPr>
    <w:rPr>
      <w:rFonts w:ascii="宋体" w:hAnsi="宋体" w:cs="Courier New"/>
      <w:spacing w:val="0"/>
      <w:sz w:val="32"/>
      <w:szCs w:val="32"/>
    </w:rPr>
  </w:style>
  <w:style w:type="paragraph" w:customStyle="1" w:styleId="52">
    <w:name w:val="standard"/>
    <w:basedOn w:val="1"/>
    <w:qFormat/>
    <w:uiPriority w:val="0"/>
    <w:pPr>
      <w:widowControl/>
      <w:adjustRightInd/>
      <w:spacing w:before="100" w:beforeAutospacing="1" w:after="100" w:afterAutospacing="1" w:line="240" w:lineRule="auto"/>
      <w:jc w:val="left"/>
      <w:textAlignment w:val="auto"/>
    </w:pPr>
    <w:rPr>
      <w:rFonts w:hint="eastAsia" w:ascii="宋体" w:hAnsi="宋体" w:cs="Arial Unicode MS"/>
      <w:color w:val="666666"/>
      <w:spacing w:val="0"/>
      <w:kern w:val="0"/>
      <w:sz w:val="22"/>
      <w:szCs w:val="22"/>
    </w:rPr>
  </w:style>
  <w:style w:type="paragraph" w:customStyle="1" w:styleId="53">
    <w:name w:val="bn1"/>
    <w:basedOn w:val="1"/>
    <w:qFormat/>
    <w:uiPriority w:val="0"/>
    <w:pPr>
      <w:widowControl/>
      <w:adjustRightInd/>
      <w:spacing w:before="100" w:beforeAutospacing="1" w:after="100" w:afterAutospacing="1" w:line="540" w:lineRule="atLeast"/>
      <w:jc w:val="left"/>
      <w:textAlignment w:val="auto"/>
    </w:pPr>
    <w:rPr>
      <w:rFonts w:ascii="宋体" w:hAnsi="宋体" w:cs="宋体"/>
      <w:spacing w:val="0"/>
      <w:kern w:val="0"/>
      <w:sz w:val="24"/>
      <w:szCs w:val="24"/>
    </w:rPr>
  </w:style>
  <w:style w:type="character" w:customStyle="1" w:styleId="54">
    <w:name w:val="gray1"/>
    <w:qFormat/>
    <w:uiPriority w:val="0"/>
    <w:rPr>
      <w:color w:val="888888"/>
      <w:sz w:val="18"/>
      <w:szCs w:val="18"/>
    </w:rPr>
  </w:style>
  <w:style w:type="character" w:customStyle="1" w:styleId="55">
    <w:name w:val="纯文本 Char"/>
    <w:link w:val="16"/>
    <w:qFormat/>
    <w:uiPriority w:val="0"/>
    <w:rPr>
      <w:rFonts w:ascii="宋体" w:hAnsi="Courier New" w:eastAsia="宋体"/>
      <w:kern w:val="2"/>
      <w:sz w:val="21"/>
      <w:lang w:val="en-US" w:eastAsia="zh-CN" w:bidi="ar-SA"/>
    </w:rPr>
  </w:style>
  <w:style w:type="character" w:customStyle="1" w:styleId="56">
    <w:name w:val="style11"/>
    <w:qFormat/>
    <w:uiPriority w:val="0"/>
    <w:rPr>
      <w:b/>
      <w:bCs/>
      <w:color w:val="CC3300"/>
    </w:rPr>
  </w:style>
  <w:style w:type="character" w:customStyle="1" w:styleId="57">
    <w:name w:val="projecttitle"/>
    <w:basedOn w:val="30"/>
    <w:qFormat/>
    <w:uiPriority w:val="0"/>
  </w:style>
  <w:style w:type="character" w:customStyle="1" w:styleId="58">
    <w:name w:val="apple-converted-space"/>
    <w:basedOn w:val="30"/>
    <w:qFormat/>
    <w:uiPriority w:val="0"/>
  </w:style>
  <w:style w:type="paragraph" w:customStyle="1" w:styleId="59">
    <w:name w:val="Char Char Char1 Char Char Char Char1"/>
    <w:basedOn w:val="1"/>
    <w:qFormat/>
    <w:uiPriority w:val="0"/>
    <w:pPr>
      <w:adjustRightInd/>
      <w:spacing w:line="240" w:lineRule="auto"/>
      <w:textAlignment w:val="auto"/>
    </w:pPr>
    <w:rPr>
      <w:rFonts w:ascii="宋体" w:hAnsi="宋体" w:cs="Courier New"/>
      <w:spacing w:val="0"/>
      <w:sz w:val="32"/>
      <w:szCs w:val="32"/>
    </w:rPr>
  </w:style>
  <w:style w:type="character" w:customStyle="1" w:styleId="60">
    <w:name w:val="img_wrapper_img_descr"/>
    <w:basedOn w:val="30"/>
    <w:qFormat/>
    <w:uiPriority w:val="0"/>
  </w:style>
  <w:style w:type="paragraph" w:customStyle="1" w:styleId="61">
    <w:name w:val="album-div"/>
    <w:basedOn w:val="1"/>
    <w:qFormat/>
    <w:uiPriority w:val="0"/>
    <w:pPr>
      <w:widowControl/>
      <w:adjustRightInd/>
      <w:spacing w:before="100" w:beforeAutospacing="1" w:after="100" w:afterAutospacing="1" w:line="240" w:lineRule="auto"/>
      <w:jc w:val="left"/>
      <w:textAlignment w:val="auto"/>
    </w:pPr>
    <w:rPr>
      <w:rFonts w:ascii="宋体" w:hAnsi="宋体" w:cs="宋体"/>
      <w:spacing w:val="0"/>
      <w:kern w:val="0"/>
      <w:sz w:val="24"/>
      <w:szCs w:val="24"/>
    </w:rPr>
  </w:style>
  <w:style w:type="character" w:customStyle="1" w:styleId="62">
    <w:name w:val="title"/>
    <w:basedOn w:val="30"/>
    <w:qFormat/>
    <w:uiPriority w:val="0"/>
  </w:style>
  <w:style w:type="character" w:customStyle="1" w:styleId="63">
    <w:name w:val="albumcount"/>
    <w:basedOn w:val="30"/>
    <w:qFormat/>
    <w:uiPriority w:val="0"/>
  </w:style>
  <w:style w:type="table" w:customStyle="1" w:styleId="64">
    <w:name w:val="网格型1"/>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65">
    <w:name w:val="网格型2"/>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66">
    <w:name w:val="字元"/>
    <w:basedOn w:val="1"/>
    <w:qFormat/>
    <w:uiPriority w:val="0"/>
    <w:pPr>
      <w:widowControl/>
      <w:tabs>
        <w:tab w:val="left" w:pos="4665"/>
        <w:tab w:val="left" w:pos="8970"/>
      </w:tabs>
      <w:adjustRightInd/>
      <w:spacing w:line="240" w:lineRule="auto"/>
      <w:ind w:firstLine="400"/>
      <w:textAlignment w:val="auto"/>
    </w:pPr>
    <w:rPr>
      <w:rFonts w:ascii="Tahoma" w:hAnsi="Tahoma"/>
      <w:spacing w:val="0"/>
      <w:kern w:val="0"/>
      <w:sz w:val="24"/>
    </w:rPr>
  </w:style>
  <w:style w:type="character" w:customStyle="1" w:styleId="67">
    <w:name w:val="HTML 预设格式 Char"/>
    <w:basedOn w:val="30"/>
    <w:link w:val="28"/>
    <w:qFormat/>
    <w:uiPriority w:val="99"/>
    <w:rPr>
      <w:rFonts w:ascii="宋体" w:hAnsi="宋体" w:cs="宋体"/>
      <w:sz w:val="24"/>
      <w:szCs w:val="24"/>
    </w:rPr>
  </w:style>
  <w:style w:type="character" w:customStyle="1" w:styleId="68">
    <w:name w:val="htitle1"/>
    <w:basedOn w:val="30"/>
    <w:qFormat/>
    <w:uiPriority w:val="0"/>
    <w:rPr>
      <w:b/>
      <w:bCs/>
      <w:color w:val="669900"/>
      <w:sz w:val="21"/>
      <w:szCs w:val="21"/>
    </w:rPr>
  </w:style>
  <w:style w:type="character" w:customStyle="1" w:styleId="69">
    <w:name w:val="pred pirceinfo"/>
    <w:basedOn w:val="30"/>
    <w:qFormat/>
    <w:uiPriority w:val="0"/>
  </w:style>
  <w:style w:type="character" w:customStyle="1" w:styleId="70">
    <w:name w:val="批注文字 Char"/>
    <w:basedOn w:val="30"/>
    <w:link w:val="10"/>
    <w:qFormat/>
    <w:uiPriority w:val="99"/>
    <w:rPr>
      <w:spacing w:val="10"/>
      <w:kern w:val="2"/>
      <w:sz w:val="28"/>
    </w:rPr>
  </w:style>
  <w:style w:type="character" w:customStyle="1" w:styleId="71">
    <w:name w:val="日期 Char"/>
    <w:link w:val="17"/>
    <w:qFormat/>
    <w:uiPriority w:val="0"/>
    <w:rPr>
      <w:spacing w:val="10"/>
      <w:sz w:val="28"/>
    </w:rPr>
  </w:style>
  <w:style w:type="paragraph" w:styleId="72">
    <w:name w:val="List Paragraph"/>
    <w:basedOn w:val="1"/>
    <w:qFormat/>
    <w:uiPriority w:val="34"/>
    <w:pPr>
      <w:ind w:firstLine="420" w:firstLineChars="200"/>
    </w:pPr>
  </w:style>
  <w:style w:type="character" w:customStyle="1" w:styleId="73">
    <w:name w:val="标题 1 Char"/>
    <w:link w:val="2"/>
    <w:qFormat/>
    <w:uiPriority w:val="0"/>
    <w:rPr>
      <w:rFonts w:ascii="黑体" w:hAnsi="黑体" w:eastAsia="黑体"/>
      <w:spacing w:val="0"/>
      <w:kern w:val="0"/>
      <w:sz w:val="44"/>
    </w:rPr>
  </w:style>
  <w:style w:type="character" w:customStyle="1" w:styleId="74">
    <w:name w:val="标题 2 Char"/>
    <w:link w:val="3"/>
    <w:qFormat/>
    <w:uiPriority w:val="0"/>
    <w:rPr>
      <w:rFonts w:ascii="仿宋_GB2312" w:hAnsi="仿宋_GB2312"/>
      <w:b/>
      <w:color w:val="000000"/>
      <w:spacing w:val="0"/>
      <w:kern w:val="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3ACCAB-8F3F-4019-B00A-97356BE13937}">
  <ds:schemaRefs/>
</ds:datastoreItem>
</file>

<file path=docProps/app.xml><?xml version="1.0" encoding="utf-8"?>
<Properties xmlns="http://schemas.openxmlformats.org/officeDocument/2006/extended-properties" xmlns:vt="http://schemas.openxmlformats.org/officeDocument/2006/docPropsVTypes">
  <Template>Normal</Template>
  <Company>FBIC</Company>
  <Pages>1</Pages>
  <Words>2891</Words>
  <Characters>16483</Characters>
  <Lines>137</Lines>
  <Paragraphs>38</Paragraphs>
  <TotalTime>31</TotalTime>
  <ScaleCrop>false</ScaleCrop>
  <LinksUpToDate>false</LinksUpToDate>
  <CharactersWithSpaces>19336</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2018-06-25T23:18:00Z</dcterms:created>
  <dc:creator>估价部</dc:creator>
  <cp:lastModifiedBy>生如夏花</cp:lastModifiedBy>
  <cp:lastPrinted>2019-01-30T00:45:06Z</cp:lastPrinted>
  <dcterms:modified xsi:type="dcterms:W3CDTF">2019-01-30T00:47:08Z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