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9"/>
        <w:rPr>
          <w:rFonts w:ascii="Times New Roman" w:hAnsi="Times New Roman" w:cs="Times New Roman"/>
          <w:sz w:val="44"/>
          <w:szCs w:val="44"/>
        </w:rPr>
      </w:pPr>
      <w:r>
        <w:rPr>
          <w:rFonts w:ascii="Times New Roman" w:hAnsi="Times New Roman" w:cs="Times New Roman"/>
          <w:sz w:val="32"/>
          <w:szCs w:val="32"/>
        </w:rPr>
        <w:t xml:space="preserve">  </w:t>
      </w:r>
      <w:r>
        <w:rPr>
          <w:rFonts w:ascii="Times New Roman" w:hAnsi="Times New Roman" w:cs="Times New Roman"/>
          <w:sz w:val="44"/>
          <w:szCs w:val="44"/>
        </w:rPr>
        <w:t xml:space="preserve">             </w:t>
      </w:r>
    </w:p>
    <w:p>
      <w:pPr>
        <w:rPr>
          <w:rFonts w:ascii="Times New Roman" w:hAnsi="Times New Roman" w:cs="Times New Roman"/>
          <w:sz w:val="44"/>
          <w:szCs w:val="44"/>
        </w:rPr>
      </w:pPr>
      <w:r>
        <w:rPr>
          <w:rFonts w:ascii="Times New Roman" w:hAnsi="Times New Roman" w:cs="Times New Roman"/>
          <w:sz w:val="44"/>
          <w:szCs w:val="44"/>
        </w:rPr>
        <w:t xml:space="preserve">     </w:t>
      </w:r>
    </w:p>
    <w:p>
      <w:pPr>
        <w:rPr>
          <w:rFonts w:ascii="Times New Roman" w:hAnsi="Times New Roman" w:cs="Times New Roman"/>
          <w:sz w:val="28"/>
          <w:szCs w:val="28"/>
        </w:rPr>
      </w:pPr>
    </w:p>
    <w:p>
      <w:pPr>
        <w:rPr>
          <w:rFonts w:ascii="Times New Roman" w:hAnsi="Times New Roman" w:cs="Times New Roman"/>
          <w:sz w:val="13"/>
          <w:szCs w:val="13"/>
        </w:rPr>
      </w:pPr>
    </w:p>
    <w:p>
      <w:pPr>
        <w:pStyle w:val="29"/>
        <w:spacing w:line="1000" w:lineRule="exact"/>
        <w:ind w:left="1446" w:hanging="1446" w:hangingChars="200"/>
        <w:jc w:val="center"/>
        <w:rPr>
          <w:rFonts w:ascii="Times New Roman" w:hAnsi="Times New Roman" w:eastAsia="仿宋_GB2312" w:cs="Times New Roman"/>
          <w:b/>
          <w:bCs/>
          <w:spacing w:val="40"/>
          <w:sz w:val="84"/>
          <w:szCs w:val="84"/>
        </w:rPr>
      </w:pPr>
      <w:r>
        <w:rPr>
          <w:rFonts w:hint="default" w:ascii="Times New Roman" w:hAnsi="Times New Roman" w:eastAsia="宋体" w:cs="Times New Roman"/>
          <w:b/>
          <w:bCs/>
          <w:spacing w:val="0"/>
          <w:sz w:val="72"/>
          <w:szCs w:val="72"/>
        </w:rPr>
        <w:t>房地产估价</w:t>
      </w:r>
      <w:r>
        <w:rPr>
          <w:rFonts w:hint="default" w:ascii="Times New Roman" w:hAnsi="Times New Roman" w:eastAsia="宋体" w:cs="Times New Roman"/>
          <w:b/>
          <w:bCs/>
          <w:spacing w:val="0"/>
          <w:sz w:val="72"/>
          <w:szCs w:val="72"/>
          <w:lang w:eastAsia="zh-CN"/>
        </w:rPr>
        <w:t>结果</w:t>
      </w:r>
      <w:r>
        <w:rPr>
          <w:rFonts w:hint="default" w:ascii="Times New Roman" w:hAnsi="Times New Roman" w:eastAsia="宋体" w:cs="Times New Roman"/>
          <w:b/>
          <w:bCs/>
          <w:spacing w:val="0"/>
          <w:sz w:val="72"/>
          <w:szCs w:val="72"/>
        </w:rPr>
        <w:t>报告</w:t>
      </w:r>
    </w:p>
    <w:p>
      <w:pPr>
        <w:jc w:val="center"/>
        <w:rPr>
          <w:rFonts w:hint="default" w:ascii="Times New Roman" w:hAnsi="Times New Roman" w:eastAsia="仿宋_GB2312" w:cs="Times New Roman"/>
          <w:b/>
          <w:bCs w:val="0"/>
          <w:sz w:val="24"/>
          <w:szCs w:val="24"/>
          <w:highlight w:val="none"/>
          <w:lang w:eastAsia="zh-CN"/>
        </w:rPr>
      </w:pPr>
      <w:r>
        <w:rPr>
          <w:rFonts w:hint="default" w:ascii="Times New Roman" w:hAnsi="Times New Roman" w:eastAsia="仿宋_GB2312" w:cs="Times New Roman"/>
          <w:b/>
          <w:bCs w:val="0"/>
          <w:sz w:val="24"/>
          <w:szCs w:val="24"/>
          <w:highlight w:val="none"/>
          <w:lang w:eastAsia="zh-CN"/>
        </w:rPr>
        <w:t>鲁富房估字【201</w:t>
      </w:r>
      <w:r>
        <w:rPr>
          <w:rFonts w:hint="default" w:ascii="Times New Roman" w:hAnsi="Times New Roman" w:eastAsia="仿宋_GB2312" w:cs="Times New Roman"/>
          <w:b/>
          <w:bCs w:val="0"/>
          <w:sz w:val="24"/>
          <w:szCs w:val="24"/>
          <w:highlight w:val="none"/>
          <w:lang w:val="en-US" w:eastAsia="zh-CN"/>
        </w:rPr>
        <w:t>9</w:t>
      </w:r>
      <w:r>
        <w:rPr>
          <w:rFonts w:hint="default" w:ascii="Times New Roman" w:hAnsi="Times New Roman" w:eastAsia="仿宋_GB2312" w:cs="Times New Roman"/>
          <w:b/>
          <w:bCs w:val="0"/>
          <w:sz w:val="24"/>
          <w:szCs w:val="24"/>
          <w:highlight w:val="none"/>
          <w:lang w:eastAsia="zh-CN"/>
        </w:rPr>
        <w:t>】第</w:t>
      </w:r>
      <w:r>
        <w:rPr>
          <w:rFonts w:ascii="Times New Roman" w:hAnsi="Times New Roman" w:eastAsia="仿宋_GB2312" w:cs="Times New Roman"/>
          <w:b/>
          <w:bCs w:val="0"/>
          <w:kern w:val="2"/>
          <w:sz w:val="24"/>
          <w:szCs w:val="24"/>
          <w:highlight w:val="none"/>
          <w:lang w:val="en-US" w:eastAsia="zh-CN" w:bidi="ar"/>
        </w:rPr>
        <w:t>FFY02002</w:t>
      </w:r>
      <w:r>
        <w:rPr>
          <w:rFonts w:hint="default" w:ascii="Times New Roman" w:hAnsi="Times New Roman" w:eastAsia="仿宋_GB2312" w:cs="Times New Roman"/>
          <w:b/>
          <w:bCs w:val="0"/>
          <w:sz w:val="24"/>
          <w:szCs w:val="24"/>
          <w:highlight w:val="none"/>
          <w:lang w:eastAsia="zh-CN"/>
        </w:rPr>
        <w:t>号</w:t>
      </w:r>
    </w:p>
    <w:p>
      <w:pPr>
        <w:spacing w:beforeLines="0" w:afterLines="0" w:line="460" w:lineRule="exact"/>
        <w:ind w:left="1446" w:hanging="600" w:hangingChars="200"/>
        <w:jc w:val="center"/>
        <w:rPr>
          <w:rFonts w:hint="default" w:ascii="Times New Roman" w:hAnsi="Times New Roman" w:eastAsia="仿宋_GB2312" w:cs="Times New Roman"/>
          <w:bCs/>
          <w:kern w:val="0"/>
          <w:sz w:val="30"/>
          <w:szCs w:val="30"/>
          <w:lang w:eastAsia="zh-CN"/>
        </w:rPr>
      </w:pPr>
      <w:r>
        <w:rPr>
          <w:rFonts w:hint="default" w:ascii="Times New Roman" w:hAnsi="Times New Roman" w:eastAsia="仿宋_GB2312" w:cs="Times New Roman"/>
          <w:bCs/>
          <w:sz w:val="30"/>
          <w:szCs w:val="30"/>
          <w:lang w:eastAsia="zh-CN"/>
        </w:rPr>
        <w:t>潍坊市</w:t>
      </w:r>
      <w:r>
        <w:rPr>
          <w:rFonts w:hint="default" w:ascii="Times New Roman" w:hAnsi="Times New Roman" w:eastAsia="仿宋_GB2312" w:cs="Times New Roman"/>
          <w:bCs/>
          <w:kern w:val="0"/>
          <w:sz w:val="30"/>
          <w:szCs w:val="30"/>
        </w:rPr>
        <w:t>寒亭</w:t>
      </w:r>
      <w:r>
        <w:rPr>
          <w:rFonts w:hint="default" w:ascii="Times New Roman" w:hAnsi="Times New Roman" w:eastAsia="仿宋_GB2312" w:cs="Times New Roman"/>
          <w:bCs/>
          <w:sz w:val="30"/>
          <w:szCs w:val="30"/>
          <w:lang w:eastAsia="zh-CN"/>
        </w:rPr>
        <w:t>区人民</w:t>
      </w:r>
      <w:r>
        <w:rPr>
          <w:rFonts w:hint="default" w:ascii="Times New Roman" w:hAnsi="Times New Roman" w:eastAsia="仿宋_GB2312" w:cs="Times New Roman"/>
          <w:bCs/>
          <w:kern w:val="0"/>
          <w:sz w:val="30"/>
          <w:szCs w:val="30"/>
        </w:rPr>
        <w:t>法院</w:t>
      </w:r>
      <w:r>
        <w:rPr>
          <w:rFonts w:hint="default" w:ascii="Times New Roman" w:hAnsi="Times New Roman" w:eastAsia="仿宋_GB2312" w:cs="Times New Roman"/>
          <w:bCs/>
          <w:kern w:val="0"/>
          <w:sz w:val="30"/>
          <w:szCs w:val="30"/>
          <w:lang w:eastAsia="zh-CN"/>
        </w:rPr>
        <w:t>执行案件</w:t>
      </w:r>
    </w:p>
    <w:p>
      <w:pPr>
        <w:spacing w:beforeLines="0" w:afterLines="0" w:line="460" w:lineRule="exact"/>
        <w:ind w:left="1446" w:hanging="600" w:hangingChars="200"/>
        <w:jc w:val="center"/>
        <w:rPr>
          <w:rFonts w:hint="default" w:ascii="Times New Roman" w:hAnsi="Times New Roman" w:eastAsia="仿宋_GB2312" w:cs="Times New Roman"/>
          <w:bCs/>
          <w:kern w:val="0"/>
          <w:sz w:val="30"/>
          <w:szCs w:val="30"/>
          <w:lang w:eastAsia="zh-CN"/>
        </w:rPr>
      </w:pPr>
      <w:r>
        <w:rPr>
          <w:rFonts w:hint="default" w:ascii="Times New Roman" w:hAnsi="Times New Roman" w:eastAsia="仿宋_GB2312" w:cs="Times New Roman"/>
          <w:bCs/>
          <w:kern w:val="0"/>
          <w:sz w:val="30"/>
          <w:szCs w:val="30"/>
          <w:lang w:eastAsia="zh-CN"/>
        </w:rPr>
        <w:t>涉及的寒亭区泰祥东街1709号龙居家园</w:t>
      </w:r>
    </w:p>
    <w:p>
      <w:pPr>
        <w:pStyle w:val="29"/>
        <w:spacing w:line="240" w:lineRule="auto"/>
        <w:ind w:left="1446" w:hanging="600" w:hangingChars="200"/>
        <w:jc w:val="center"/>
        <w:rPr>
          <w:rFonts w:ascii="Times New Roman" w:hAnsi="Times New Roman" w:cs="Times New Roman"/>
          <w:b/>
          <w:bCs/>
          <w:sz w:val="32"/>
          <w:szCs w:val="32"/>
        </w:rPr>
      </w:pPr>
      <w:r>
        <w:rPr>
          <w:rFonts w:hint="default" w:ascii="Times New Roman" w:hAnsi="Times New Roman" w:eastAsia="仿宋_GB2312" w:cs="Times New Roman"/>
          <w:bCs/>
          <w:kern w:val="0"/>
          <w:sz w:val="30"/>
          <w:szCs w:val="30"/>
          <w:lang w:eastAsia="zh-CN"/>
        </w:rPr>
        <w:t>二</w:t>
      </w:r>
      <w:r>
        <w:rPr>
          <w:rFonts w:hint="default" w:ascii="Times New Roman" w:hAnsi="Times New Roman" w:eastAsia="仿宋_GB2312" w:cs="Times New Roman"/>
          <w:bCs/>
          <w:kern w:val="0"/>
          <w:sz w:val="30"/>
          <w:szCs w:val="30"/>
        </w:rPr>
        <w:t>处</w:t>
      </w:r>
      <w:r>
        <w:rPr>
          <w:rFonts w:hint="default" w:ascii="Times New Roman" w:hAnsi="Times New Roman" w:eastAsia="仿宋_GB2312" w:cs="Times New Roman"/>
          <w:bCs/>
          <w:kern w:val="0"/>
          <w:sz w:val="30"/>
          <w:szCs w:val="30"/>
          <w:lang w:eastAsia="zh-CN"/>
        </w:rPr>
        <w:t>住宅</w:t>
      </w:r>
      <w:r>
        <w:rPr>
          <w:rFonts w:hint="default" w:ascii="Times New Roman" w:hAnsi="Times New Roman" w:eastAsia="仿宋_GB2312" w:cs="Times New Roman"/>
          <w:bCs/>
          <w:kern w:val="0"/>
          <w:sz w:val="30"/>
          <w:szCs w:val="30"/>
        </w:rPr>
        <w:t>房</w:t>
      </w:r>
      <w:r>
        <w:rPr>
          <w:rFonts w:hint="default" w:ascii="Times New Roman" w:hAnsi="Times New Roman" w:eastAsia="仿宋_GB2312" w:cs="Times New Roman"/>
          <w:bCs/>
          <w:kern w:val="0"/>
          <w:sz w:val="30"/>
          <w:szCs w:val="30"/>
          <w:lang w:eastAsia="zh-CN"/>
        </w:rPr>
        <w:t>地</w:t>
      </w:r>
      <w:r>
        <w:rPr>
          <w:rFonts w:hint="default" w:ascii="Times New Roman" w:hAnsi="Times New Roman" w:eastAsia="仿宋_GB2312" w:cs="Times New Roman"/>
          <w:bCs/>
          <w:kern w:val="0"/>
          <w:sz w:val="30"/>
          <w:szCs w:val="30"/>
        </w:rPr>
        <w:t>产</w:t>
      </w:r>
      <w:r>
        <w:rPr>
          <w:rFonts w:hint="default" w:ascii="Times New Roman" w:hAnsi="Times New Roman" w:eastAsia="仿宋_GB2312" w:cs="Times New Roman"/>
          <w:bCs/>
          <w:sz w:val="30"/>
          <w:szCs w:val="30"/>
          <w:lang w:val="en-US" w:eastAsia="zh-CN"/>
        </w:rPr>
        <w:t>司法鉴定评估</w:t>
      </w:r>
    </w:p>
    <w:p>
      <w:pPr>
        <w:pStyle w:val="29"/>
        <w:rPr>
          <w:rFonts w:ascii="Times New Roman" w:hAnsi="Times New Roman" w:cs="Times New Roman"/>
          <w:b/>
          <w:bCs/>
          <w:sz w:val="32"/>
          <w:szCs w:val="32"/>
        </w:rPr>
      </w:pPr>
    </w:p>
    <w:p>
      <w:pPr>
        <w:pStyle w:val="29"/>
        <w:rPr>
          <w:rFonts w:ascii="Times New Roman" w:hAnsi="Times New Roman" w:cs="Times New Roman"/>
          <w:b/>
          <w:bCs/>
          <w:sz w:val="32"/>
          <w:szCs w:val="32"/>
        </w:rPr>
      </w:pPr>
    </w:p>
    <w:p>
      <w:pPr>
        <w:pStyle w:val="29"/>
        <w:rPr>
          <w:rFonts w:ascii="Times New Roman" w:hAnsi="Times New Roman" w:cs="Times New Roman"/>
          <w:b/>
          <w:bCs/>
          <w:sz w:val="32"/>
          <w:szCs w:val="32"/>
        </w:rPr>
      </w:pPr>
    </w:p>
    <w:p>
      <w:pPr>
        <w:pStyle w:val="29"/>
        <w:rPr>
          <w:rFonts w:ascii="Times New Roman" w:hAnsi="Times New Roman" w:cs="Times New Roman"/>
          <w:b/>
          <w:bCs/>
          <w:sz w:val="32"/>
          <w:szCs w:val="32"/>
        </w:rPr>
      </w:pPr>
    </w:p>
    <w:p>
      <w:pPr>
        <w:pStyle w:val="29"/>
        <w:rPr>
          <w:rFonts w:ascii="Times New Roman" w:hAnsi="Times New Roman" w:cs="Times New Roman"/>
          <w:b/>
          <w:bCs/>
          <w:sz w:val="32"/>
          <w:szCs w:val="32"/>
        </w:rPr>
      </w:pPr>
    </w:p>
    <w:p>
      <w:pPr>
        <w:pStyle w:val="29"/>
        <w:rPr>
          <w:rFonts w:ascii="Times New Roman" w:hAnsi="Times New Roman" w:cs="Times New Roman"/>
          <w:b/>
          <w:bCs/>
          <w:sz w:val="32"/>
          <w:szCs w:val="32"/>
        </w:rPr>
      </w:pPr>
    </w:p>
    <w:p>
      <w:pPr>
        <w:pStyle w:val="29"/>
        <w:rPr>
          <w:rFonts w:ascii="Times New Roman" w:hAnsi="Times New Roman" w:cs="Times New Roman"/>
          <w:b/>
          <w:bCs/>
          <w:sz w:val="32"/>
          <w:szCs w:val="32"/>
        </w:rPr>
      </w:pPr>
    </w:p>
    <w:p>
      <w:pPr>
        <w:pStyle w:val="29"/>
        <w:ind w:firstLine="160" w:firstLineChars="50"/>
        <w:rPr>
          <w:rFonts w:ascii="Times New Roman" w:hAnsi="Times New Roman" w:eastAsia="仿宋_GB2312" w:cs="Times New Roman"/>
        </w:rPr>
      </w:pPr>
      <w:r>
        <w:rPr>
          <w:rFonts w:hint="default" w:ascii="Times New Roman" w:hAnsi="Times New Roman" w:eastAsia="仿宋_GB2312" w:cs="Times New Roman"/>
          <w:bCs/>
          <w:sz w:val="32"/>
          <w:szCs w:val="32"/>
        </w:rPr>
        <w:t>估价委托人：</w:t>
      </w:r>
      <w:r>
        <w:rPr>
          <w:rFonts w:hint="default" w:ascii="Times New Roman" w:hAnsi="Times New Roman" w:eastAsia="仿宋_GB2312" w:cs="Times New Roman"/>
          <w:bCs/>
          <w:kern w:val="0"/>
          <w:sz w:val="32"/>
          <w:szCs w:val="32"/>
          <w:lang w:eastAsia="zh-CN"/>
        </w:rPr>
        <w:t>潍坊市寒亭区人民法院</w:t>
      </w:r>
    </w:p>
    <w:p>
      <w:pPr>
        <w:pStyle w:val="29"/>
        <w:ind w:firstLine="160" w:firstLineChars="50"/>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估价机构：山东富润土地房地产资产评估有限公司</w:t>
      </w:r>
    </w:p>
    <w:p>
      <w:pPr>
        <w:pStyle w:val="29"/>
        <w:ind w:firstLine="160" w:firstLineChars="50"/>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rPr>
        <w:t>注册房地产估价师：</w:t>
      </w:r>
      <w:r>
        <w:rPr>
          <w:rFonts w:hint="default" w:ascii="Times New Roman" w:hAnsi="Times New Roman" w:eastAsia="仿宋_GB2312" w:cs="Times New Roman"/>
          <w:bCs/>
          <w:sz w:val="32"/>
          <w:szCs w:val="32"/>
          <w:lang w:eastAsia="zh-CN"/>
        </w:rPr>
        <w:t>高守良</w:t>
      </w:r>
      <w:r>
        <w:rPr>
          <w:rFonts w:hint="default" w:ascii="Times New Roman" w:hAnsi="Times New Roman" w:eastAsia="仿宋_GB2312" w:cs="Times New Roman"/>
          <w:bCs/>
          <w:sz w:val="32"/>
          <w:szCs w:val="32"/>
        </w:rPr>
        <w:t>（注册号：</w:t>
      </w:r>
      <w:r>
        <w:rPr>
          <w:rFonts w:hint="default" w:ascii="Times New Roman" w:hAnsi="Times New Roman" w:eastAsia="仿宋_GB2312" w:cs="Times New Roman"/>
          <w:bCs/>
          <w:sz w:val="32"/>
          <w:szCs w:val="32"/>
          <w:lang w:val="en-US" w:eastAsia="zh-CN"/>
        </w:rPr>
        <w:t>2320160055</w:t>
      </w:r>
      <w:r>
        <w:rPr>
          <w:rFonts w:hint="default" w:ascii="Times New Roman" w:hAnsi="Times New Roman" w:eastAsia="仿宋_GB2312" w:cs="Times New Roman"/>
          <w:bCs/>
          <w:sz w:val="32"/>
          <w:szCs w:val="32"/>
        </w:rPr>
        <w:t>）</w:t>
      </w:r>
    </w:p>
    <w:p>
      <w:pPr>
        <w:pStyle w:val="29"/>
        <w:ind w:firstLine="3040" w:firstLineChars="950"/>
        <w:rPr>
          <w:rFonts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李  丽</w:t>
      </w:r>
      <w:r>
        <w:rPr>
          <w:rFonts w:hint="default" w:ascii="Times New Roman" w:hAnsi="Times New Roman" w:eastAsia="仿宋_GB2312" w:cs="Times New Roman"/>
          <w:bCs/>
          <w:sz w:val="32"/>
          <w:szCs w:val="32"/>
        </w:rPr>
        <w:t>（注册号：</w:t>
      </w:r>
      <w:r>
        <w:rPr>
          <w:rFonts w:hint="default" w:ascii="Times New Roman" w:hAnsi="Times New Roman" w:eastAsia="仿宋_GB2312" w:cs="Times New Roman"/>
          <w:bCs/>
          <w:sz w:val="32"/>
          <w:szCs w:val="32"/>
          <w:lang w:eastAsia="zh-CN"/>
        </w:rPr>
        <w:t>3720110150</w:t>
      </w:r>
      <w:r>
        <w:rPr>
          <w:rFonts w:hint="default" w:ascii="Times New Roman" w:hAnsi="Times New Roman" w:eastAsia="仿宋_GB2312" w:cs="Times New Roman"/>
          <w:bCs/>
          <w:sz w:val="32"/>
          <w:szCs w:val="32"/>
        </w:rPr>
        <w:t>）</w:t>
      </w:r>
    </w:p>
    <w:p>
      <w:pPr>
        <w:pStyle w:val="29"/>
        <w:ind w:firstLine="160" w:firstLineChars="50"/>
        <w:rPr>
          <w:rFonts w:ascii="Times New Roman" w:hAnsi="Times New Roman" w:eastAsia="仿宋_GB2312" w:cs="Times New Roman"/>
          <w:bCs/>
          <w:sz w:val="32"/>
          <w:szCs w:val="32"/>
        </w:rPr>
        <w:sectPr>
          <w:head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bCs/>
          <w:sz w:val="32"/>
          <w:szCs w:val="32"/>
        </w:rPr>
        <w:t>估价报告出具</w:t>
      </w:r>
      <w:bookmarkStart w:id="91" w:name="_GoBack"/>
      <w:bookmarkEnd w:id="91"/>
      <w:r>
        <w:rPr>
          <w:rFonts w:hint="default" w:ascii="Times New Roman" w:hAnsi="Times New Roman" w:eastAsia="仿宋_GB2312" w:cs="Times New Roman"/>
          <w:bCs/>
          <w:sz w:val="32"/>
          <w:szCs w:val="32"/>
        </w:rPr>
        <w:t>日期：</w:t>
      </w:r>
      <w:r>
        <w:rPr>
          <w:rFonts w:hint="default" w:ascii="Times New Roman" w:hAnsi="Times New Roman" w:eastAsia="仿宋_GB2312" w:cs="Times New Roman"/>
          <w:bCs/>
          <w:sz w:val="32"/>
          <w:szCs w:val="32"/>
          <w:lang w:eastAsia="zh-CN"/>
        </w:rPr>
        <w:t>201</w:t>
      </w:r>
      <w:r>
        <w:rPr>
          <w:rFonts w:hint="default" w:ascii="Times New Roman" w:hAnsi="Times New Roman" w:eastAsia="仿宋_GB2312" w:cs="Times New Roman"/>
          <w:bCs/>
          <w:sz w:val="32"/>
          <w:szCs w:val="32"/>
          <w:lang w:val="en-US" w:eastAsia="zh-CN"/>
        </w:rPr>
        <w:t>9</w:t>
      </w:r>
      <w:r>
        <w:rPr>
          <w:rFonts w:hint="default" w:ascii="Times New Roman" w:hAnsi="Times New Roman" w:eastAsia="仿宋_GB2312" w:cs="Times New Roman"/>
          <w:bCs/>
          <w:sz w:val="32"/>
          <w:szCs w:val="32"/>
          <w:lang w:eastAsia="zh-CN"/>
        </w:rPr>
        <w:t>年</w:t>
      </w:r>
      <w:r>
        <w:rPr>
          <w:rFonts w:hint="default" w:ascii="Times New Roman" w:hAnsi="Times New Roman" w:eastAsia="仿宋_GB2312" w:cs="Times New Roman"/>
          <w:bCs/>
          <w:sz w:val="32"/>
          <w:szCs w:val="32"/>
          <w:lang w:val="en-US" w:eastAsia="zh-CN"/>
        </w:rPr>
        <w:t>0</w:t>
      </w:r>
      <w:r>
        <w:rPr>
          <w:rFonts w:hint="default" w:ascii="Times New Roman" w:hAnsi="Times New Roman" w:eastAsia="仿宋_GB2312" w:cs="Times New Roman"/>
          <w:bCs/>
          <w:sz w:val="32"/>
          <w:szCs w:val="32"/>
          <w:lang w:eastAsia="zh-CN"/>
        </w:rPr>
        <w:t>1月</w:t>
      </w:r>
      <w:r>
        <w:rPr>
          <w:rFonts w:hint="default" w:ascii="Times New Roman" w:hAnsi="Times New Roman" w:eastAsia="仿宋_GB2312" w:cs="Times New Roman"/>
          <w:bCs/>
          <w:sz w:val="32"/>
          <w:szCs w:val="32"/>
          <w:lang w:val="en-US" w:eastAsia="zh-CN"/>
        </w:rPr>
        <w:t>15</w:t>
      </w:r>
      <w:r>
        <w:rPr>
          <w:rFonts w:hint="default" w:ascii="Times New Roman" w:hAnsi="Times New Roman" w:eastAsia="仿宋_GB2312" w:cs="Times New Roman"/>
          <w:bCs/>
          <w:sz w:val="32"/>
          <w:szCs w:val="32"/>
          <w:lang w:eastAsia="zh-CN"/>
        </w:rPr>
        <w:t>日</w:t>
      </w:r>
    </w:p>
    <w:p>
      <w:pPr>
        <w:spacing w:before="157" w:beforeLines="50" w:line="15" w:lineRule="auto"/>
        <w:jc w:val="center"/>
        <w:rPr>
          <w:rFonts w:ascii="Times New Roman" w:hAnsi="Times New Roman" w:eastAsia="黑体" w:cs="Times New Roman"/>
          <w:b/>
          <w:bCs/>
          <w:position w:val="17"/>
          <w:sz w:val="44"/>
        </w:rPr>
      </w:pPr>
      <w:r>
        <w:rPr>
          <w:rFonts w:hint="default" w:ascii="Times New Roman" w:hAnsi="Times New Roman" w:eastAsia="黑体" w:cs="Times New Roman"/>
          <w:b/>
          <w:bCs/>
          <w:snapToGrid w:val="0"/>
          <w:position w:val="-17"/>
          <w:sz w:val="44"/>
        </w:rPr>
        <w:t>目　　</w:t>
      </w:r>
      <w:r>
        <w:rPr>
          <w:rFonts w:ascii="Times New Roman" w:hAnsi="Times New Roman" w:eastAsia="黑体" w:cs="Times New Roman"/>
          <w:b/>
          <w:bCs/>
          <w:snapToGrid w:val="0"/>
          <w:position w:val="-17"/>
          <w:sz w:val="44"/>
        </w:rPr>
        <w:t xml:space="preserve">  </w:t>
      </w:r>
      <w:r>
        <w:rPr>
          <w:rFonts w:hint="default" w:ascii="Times New Roman" w:hAnsi="Times New Roman" w:eastAsia="黑体" w:cs="Times New Roman"/>
          <w:b/>
          <w:bCs/>
          <w:snapToGrid w:val="0"/>
          <w:position w:val="-17"/>
          <w:sz w:val="44"/>
        </w:rPr>
        <w:t>录</w:t>
      </w:r>
    </w:p>
    <w:p>
      <w:pPr>
        <w:pStyle w:val="11"/>
        <w:tabs>
          <w:tab w:val="right" w:leader="dot" w:pos="8306"/>
        </w:tabs>
        <w:spacing w:beforeLines="0" w:afterLines="0" w:line="50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fldChar w:fldCharType="begin"/>
      </w:r>
      <w:r>
        <w:rPr>
          <w:rFonts w:hint="default" w:ascii="Times New Roman" w:hAnsi="Times New Roman" w:eastAsia="仿宋_GB2312" w:cs="Times New Roman"/>
          <w:b/>
          <w:sz w:val="28"/>
          <w:szCs w:val="28"/>
        </w:rPr>
        <w:instrText xml:space="preserve"> HYPERLINK \l "_Toc9625" </w:instrText>
      </w:r>
      <w:r>
        <w:rPr>
          <w:rFonts w:hint="default" w:ascii="Times New Roman" w:hAnsi="Times New Roman" w:eastAsia="仿宋_GB2312" w:cs="Times New Roman"/>
          <w:b/>
          <w:sz w:val="28"/>
          <w:szCs w:val="28"/>
        </w:rPr>
        <w:fldChar w:fldCharType="separate"/>
      </w:r>
      <w:r>
        <w:rPr>
          <w:rFonts w:hint="default" w:ascii="Times New Roman" w:hAnsi="Times New Roman" w:eastAsia="仿宋_GB2312" w:cs="Times New Roman"/>
          <w:b/>
          <w:sz w:val="28"/>
          <w:szCs w:val="28"/>
        </w:rPr>
        <w:t>致估价委托人函</w:t>
      </w:r>
      <w:r>
        <w:rPr>
          <w:rFonts w:hint="default" w:ascii="Times New Roman" w:hAnsi="Times New Roman" w:eastAsia="仿宋_GB2312" w:cs="Times New Roman"/>
          <w:b/>
          <w:sz w:val="28"/>
          <w:szCs w:val="28"/>
        </w:rPr>
        <w:tab/>
      </w:r>
      <w:r>
        <w:rPr>
          <w:rFonts w:hint="default" w:ascii="Times New Roman" w:hAnsi="Times New Roman" w:eastAsia="仿宋_GB2312" w:cs="Times New Roman"/>
          <w:b/>
          <w:sz w:val="28"/>
          <w:szCs w:val="28"/>
        </w:rPr>
        <w:t>1</w:t>
      </w:r>
      <w:r>
        <w:rPr>
          <w:rFonts w:hint="default" w:ascii="Times New Roman" w:hAnsi="Times New Roman" w:eastAsia="仿宋_GB2312" w:cs="Times New Roman"/>
          <w:b/>
          <w:sz w:val="28"/>
          <w:szCs w:val="28"/>
        </w:rPr>
        <w:fldChar w:fldCharType="end"/>
      </w:r>
    </w:p>
    <w:p>
      <w:pPr>
        <w:pStyle w:val="11"/>
        <w:tabs>
          <w:tab w:val="right" w:leader="dot" w:pos="8306"/>
        </w:tabs>
        <w:spacing w:beforeLines="0" w:afterLines="0" w:line="50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fldChar w:fldCharType="begin"/>
      </w:r>
      <w:r>
        <w:rPr>
          <w:rFonts w:hint="default" w:ascii="Times New Roman" w:hAnsi="Times New Roman" w:eastAsia="仿宋_GB2312" w:cs="Times New Roman"/>
          <w:b/>
          <w:sz w:val="28"/>
          <w:szCs w:val="28"/>
        </w:rPr>
        <w:instrText xml:space="preserve">TOC \o "1-2" \h \u </w:instrText>
      </w:r>
      <w:r>
        <w:rPr>
          <w:rFonts w:hint="default" w:ascii="Times New Roman" w:hAnsi="Times New Roman" w:eastAsia="仿宋_GB2312" w:cs="Times New Roman"/>
          <w:b/>
          <w:sz w:val="28"/>
          <w:szCs w:val="28"/>
        </w:rPr>
        <w:fldChar w:fldCharType="separate"/>
      </w:r>
      <w:r>
        <w:rPr>
          <w:rFonts w:hint="default" w:ascii="Times New Roman" w:hAnsi="Times New Roman" w:eastAsia="仿宋_GB2312" w:cs="Times New Roman"/>
          <w:b/>
          <w:sz w:val="28"/>
          <w:szCs w:val="28"/>
        </w:rPr>
        <w:fldChar w:fldCharType="begin"/>
      </w:r>
      <w:r>
        <w:rPr>
          <w:rFonts w:hint="default" w:ascii="Times New Roman" w:hAnsi="Times New Roman" w:eastAsia="仿宋_GB2312" w:cs="Times New Roman"/>
          <w:b/>
          <w:sz w:val="28"/>
          <w:szCs w:val="28"/>
        </w:rPr>
        <w:instrText xml:space="preserve"> HYPERLINK \l _Toc17197 </w:instrText>
      </w:r>
      <w:r>
        <w:rPr>
          <w:rFonts w:hint="default" w:ascii="Times New Roman" w:hAnsi="Times New Roman" w:eastAsia="仿宋_GB2312" w:cs="Times New Roman"/>
          <w:b/>
          <w:sz w:val="28"/>
          <w:szCs w:val="28"/>
        </w:rPr>
        <w:fldChar w:fldCharType="separate"/>
      </w:r>
      <w:r>
        <w:rPr>
          <w:rFonts w:hint="default" w:ascii="Times New Roman" w:hAnsi="Times New Roman" w:eastAsia="仿宋_GB2312" w:cs="Times New Roman"/>
          <w:b/>
          <w:bCs w:val="0"/>
          <w:sz w:val="28"/>
          <w:szCs w:val="28"/>
        </w:rPr>
        <w:t>估价师声明</w:t>
      </w:r>
      <w:r>
        <w:rPr>
          <w:rFonts w:hint="default" w:ascii="Times New Roman" w:hAnsi="Times New Roman" w:eastAsia="仿宋_GB2312" w:cs="Times New Roman"/>
          <w:b/>
          <w:sz w:val="28"/>
          <w:szCs w:val="28"/>
        </w:rPr>
        <w:tab/>
      </w:r>
      <w:r>
        <w:rPr>
          <w:rFonts w:hint="default" w:ascii="Times New Roman" w:hAnsi="Times New Roman" w:eastAsia="仿宋_GB2312" w:cs="Times New Roman"/>
          <w:b/>
          <w:sz w:val="28"/>
          <w:szCs w:val="28"/>
        </w:rPr>
        <w:fldChar w:fldCharType="begin"/>
      </w:r>
      <w:r>
        <w:rPr>
          <w:rFonts w:hint="default" w:ascii="Times New Roman" w:hAnsi="Times New Roman" w:eastAsia="仿宋_GB2312" w:cs="Times New Roman"/>
          <w:b/>
          <w:sz w:val="28"/>
          <w:szCs w:val="28"/>
        </w:rPr>
        <w:instrText xml:space="preserve"> PAGEREF _Toc17197 </w:instrText>
      </w:r>
      <w:r>
        <w:rPr>
          <w:rFonts w:hint="default" w:ascii="Times New Roman" w:hAnsi="Times New Roman" w:eastAsia="仿宋_GB2312" w:cs="Times New Roman"/>
          <w:b/>
          <w:sz w:val="28"/>
          <w:szCs w:val="28"/>
        </w:rPr>
        <w:fldChar w:fldCharType="separate"/>
      </w:r>
      <w:r>
        <w:rPr>
          <w:rFonts w:hint="default" w:ascii="Times New Roman" w:hAnsi="Times New Roman" w:eastAsia="仿宋_GB2312" w:cs="Times New Roman"/>
          <w:b/>
          <w:sz w:val="28"/>
          <w:szCs w:val="28"/>
        </w:rPr>
        <w:t>2</w:t>
      </w:r>
      <w:r>
        <w:rPr>
          <w:rFonts w:hint="default" w:ascii="Times New Roman" w:hAnsi="Times New Roman" w:eastAsia="仿宋_GB2312" w:cs="Times New Roman"/>
          <w:b/>
          <w:sz w:val="28"/>
          <w:szCs w:val="28"/>
        </w:rPr>
        <w:fldChar w:fldCharType="end"/>
      </w:r>
      <w:r>
        <w:rPr>
          <w:rFonts w:hint="default" w:ascii="Times New Roman" w:hAnsi="Times New Roman" w:eastAsia="仿宋_GB2312" w:cs="Times New Roman"/>
          <w:b/>
          <w:sz w:val="28"/>
          <w:szCs w:val="28"/>
        </w:rPr>
        <w:fldChar w:fldCharType="end"/>
      </w:r>
    </w:p>
    <w:p>
      <w:pPr>
        <w:pStyle w:val="11"/>
        <w:tabs>
          <w:tab w:val="right" w:leader="dot" w:pos="8306"/>
        </w:tabs>
        <w:spacing w:beforeLines="0" w:afterLines="0" w:line="50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fldChar w:fldCharType="begin"/>
      </w:r>
      <w:r>
        <w:rPr>
          <w:rFonts w:hint="default" w:ascii="Times New Roman" w:hAnsi="Times New Roman" w:eastAsia="仿宋_GB2312" w:cs="Times New Roman"/>
          <w:b/>
          <w:sz w:val="28"/>
          <w:szCs w:val="28"/>
        </w:rPr>
        <w:instrText xml:space="preserve"> HYPERLINK \l _Toc23425 </w:instrText>
      </w:r>
      <w:r>
        <w:rPr>
          <w:rFonts w:hint="default" w:ascii="Times New Roman" w:hAnsi="Times New Roman" w:eastAsia="仿宋_GB2312" w:cs="Times New Roman"/>
          <w:b/>
          <w:sz w:val="28"/>
          <w:szCs w:val="28"/>
        </w:rPr>
        <w:fldChar w:fldCharType="separate"/>
      </w:r>
      <w:r>
        <w:rPr>
          <w:rFonts w:hint="default" w:ascii="Times New Roman" w:hAnsi="Times New Roman" w:eastAsia="仿宋_GB2312" w:cs="Times New Roman"/>
          <w:b/>
          <w:sz w:val="28"/>
          <w:szCs w:val="28"/>
        </w:rPr>
        <w:t>估价假设和限制条件</w:t>
      </w:r>
      <w:r>
        <w:rPr>
          <w:rFonts w:hint="default" w:ascii="Times New Roman" w:hAnsi="Times New Roman" w:eastAsia="仿宋_GB2312" w:cs="Times New Roman"/>
          <w:b/>
          <w:sz w:val="28"/>
          <w:szCs w:val="28"/>
        </w:rPr>
        <w:tab/>
      </w:r>
      <w:r>
        <w:rPr>
          <w:rFonts w:hint="default" w:ascii="Times New Roman" w:hAnsi="Times New Roman" w:eastAsia="仿宋_GB2312" w:cs="Times New Roman"/>
          <w:b/>
          <w:sz w:val="28"/>
          <w:szCs w:val="28"/>
        </w:rPr>
        <w:fldChar w:fldCharType="begin"/>
      </w:r>
      <w:r>
        <w:rPr>
          <w:rFonts w:hint="default" w:ascii="Times New Roman" w:hAnsi="Times New Roman" w:eastAsia="仿宋_GB2312" w:cs="Times New Roman"/>
          <w:b/>
          <w:sz w:val="28"/>
          <w:szCs w:val="28"/>
        </w:rPr>
        <w:instrText xml:space="preserve"> PAGEREF _Toc23425 </w:instrText>
      </w:r>
      <w:r>
        <w:rPr>
          <w:rFonts w:hint="default" w:ascii="Times New Roman" w:hAnsi="Times New Roman" w:eastAsia="仿宋_GB2312" w:cs="Times New Roman"/>
          <w:b/>
          <w:sz w:val="28"/>
          <w:szCs w:val="28"/>
        </w:rPr>
        <w:fldChar w:fldCharType="separate"/>
      </w:r>
      <w:r>
        <w:rPr>
          <w:rFonts w:hint="default" w:ascii="Times New Roman" w:hAnsi="Times New Roman" w:eastAsia="仿宋_GB2312" w:cs="Times New Roman"/>
          <w:b/>
          <w:sz w:val="28"/>
          <w:szCs w:val="28"/>
        </w:rPr>
        <w:t>4</w:t>
      </w:r>
      <w:r>
        <w:rPr>
          <w:rFonts w:hint="default" w:ascii="Times New Roman" w:hAnsi="Times New Roman" w:eastAsia="仿宋_GB2312" w:cs="Times New Roman"/>
          <w:b/>
          <w:sz w:val="28"/>
          <w:szCs w:val="28"/>
        </w:rPr>
        <w:fldChar w:fldCharType="end"/>
      </w:r>
      <w:r>
        <w:rPr>
          <w:rFonts w:hint="default" w:ascii="Times New Roman" w:hAnsi="Times New Roman" w:eastAsia="仿宋_GB2312" w:cs="Times New Roman"/>
          <w:b/>
          <w:sz w:val="28"/>
          <w:szCs w:val="28"/>
        </w:rPr>
        <w:fldChar w:fldCharType="end"/>
      </w:r>
    </w:p>
    <w:p>
      <w:pPr>
        <w:pStyle w:val="11"/>
        <w:tabs>
          <w:tab w:val="right" w:leader="dot" w:pos="8306"/>
        </w:tabs>
        <w:spacing w:beforeLines="0" w:afterLines="0" w:line="500" w:lineRule="exact"/>
        <w:ind w:firstLine="562"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fldChar w:fldCharType="begin"/>
      </w:r>
      <w:r>
        <w:rPr>
          <w:rFonts w:hint="default" w:ascii="Times New Roman" w:hAnsi="Times New Roman" w:eastAsia="仿宋_GB2312" w:cs="Times New Roman"/>
          <w:b/>
          <w:sz w:val="28"/>
          <w:szCs w:val="28"/>
        </w:rPr>
        <w:instrText xml:space="preserve"> HYPERLINK \l _Toc23647 </w:instrText>
      </w:r>
      <w:r>
        <w:rPr>
          <w:rFonts w:hint="default" w:ascii="Times New Roman" w:hAnsi="Times New Roman" w:eastAsia="仿宋_GB2312" w:cs="Times New Roman"/>
          <w:b/>
          <w:sz w:val="28"/>
          <w:szCs w:val="28"/>
        </w:rPr>
        <w:fldChar w:fldCharType="separate"/>
      </w:r>
      <w:r>
        <w:rPr>
          <w:rFonts w:hint="default" w:ascii="Times New Roman" w:hAnsi="Times New Roman" w:eastAsia="仿宋_GB2312" w:cs="Times New Roman"/>
          <w:b/>
          <w:sz w:val="28"/>
          <w:szCs w:val="28"/>
        </w:rPr>
        <w:t>估价结果报告</w:t>
      </w:r>
      <w:r>
        <w:rPr>
          <w:rFonts w:hint="default" w:ascii="Times New Roman" w:hAnsi="Times New Roman" w:eastAsia="仿宋_GB2312" w:cs="Times New Roman"/>
          <w:b/>
          <w:sz w:val="28"/>
          <w:szCs w:val="28"/>
        </w:rPr>
        <w:tab/>
      </w:r>
      <w:r>
        <w:rPr>
          <w:rFonts w:hint="default" w:ascii="Times New Roman" w:hAnsi="Times New Roman" w:eastAsia="仿宋_GB2312" w:cs="Times New Roman"/>
          <w:b/>
          <w:sz w:val="28"/>
          <w:szCs w:val="28"/>
        </w:rPr>
        <w:fldChar w:fldCharType="begin"/>
      </w:r>
      <w:r>
        <w:rPr>
          <w:rFonts w:hint="default" w:ascii="Times New Roman" w:hAnsi="Times New Roman" w:eastAsia="仿宋_GB2312" w:cs="Times New Roman"/>
          <w:b/>
          <w:sz w:val="28"/>
          <w:szCs w:val="28"/>
        </w:rPr>
        <w:instrText xml:space="preserve"> PAGEREF _Toc23647 </w:instrText>
      </w:r>
      <w:r>
        <w:rPr>
          <w:rFonts w:hint="default" w:ascii="Times New Roman" w:hAnsi="Times New Roman" w:eastAsia="仿宋_GB2312" w:cs="Times New Roman"/>
          <w:b/>
          <w:sz w:val="28"/>
          <w:szCs w:val="28"/>
        </w:rPr>
        <w:fldChar w:fldCharType="separate"/>
      </w:r>
      <w:r>
        <w:rPr>
          <w:rFonts w:hint="default" w:ascii="Times New Roman" w:hAnsi="Times New Roman" w:eastAsia="仿宋_GB2312" w:cs="Times New Roman"/>
          <w:b/>
          <w:sz w:val="28"/>
          <w:szCs w:val="28"/>
        </w:rPr>
        <w:t>8</w:t>
      </w:r>
      <w:r>
        <w:rPr>
          <w:rFonts w:hint="default" w:ascii="Times New Roman" w:hAnsi="Times New Roman" w:eastAsia="仿宋_GB2312" w:cs="Times New Roman"/>
          <w:b/>
          <w:sz w:val="28"/>
          <w:szCs w:val="28"/>
        </w:rPr>
        <w:fldChar w:fldCharType="end"/>
      </w:r>
      <w:r>
        <w:rPr>
          <w:rFonts w:hint="default" w:ascii="Times New Roman" w:hAnsi="Times New Roman" w:eastAsia="仿宋_GB2312" w:cs="Times New Roman"/>
          <w:b/>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_Toc10921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一、估价委托人</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_Toc10921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8</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_Toc22619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二、房地产估价机构</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_Toc22619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8</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_Toc6916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三、估价目的</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_Toc6916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8</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lang w:val="en-US" w:eastAsia="zh-CN"/>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_Toc12639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四、估价对象</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_Toc12639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8</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_Toc26852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五、价值时点</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_Toc26852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11</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_Toc23962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六、价值类型</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_Toc23962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11</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_Toc9749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七、估价原则</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_Toc9749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11</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_Toc24642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八、估价依据</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_Toc24642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12</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_Toc8334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九、估价方法</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_Toc8334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14</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_Toc18755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十、估价结果</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_Toc18755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15</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_Toc4615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十一、估价人员</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_Toc4615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16</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_Toc15046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十二、实地查勘期</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lang w:val="en-US" w:eastAsia="zh-CN"/>
        </w:rPr>
        <w:t>16</w:t>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_Toc24403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十三、估价作业日期</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_Toc24403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16</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_Toc12994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附  件</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_Toc12994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17</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left="1119" w:leftChars="266" w:hanging="560" w:hanging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_Toc31272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一、</w:t>
      </w:r>
      <w:r>
        <w:rPr>
          <w:rFonts w:hint="default" w:ascii="Times New Roman" w:hAnsi="Times New Roman" w:eastAsia="仿宋_GB2312" w:cs="Times New Roman"/>
          <w:b w:val="0"/>
          <w:bCs/>
          <w:sz w:val="28"/>
          <w:szCs w:val="28"/>
          <w:lang w:eastAsia="zh-CN"/>
        </w:rPr>
        <w:t>潍坊市寒亭区人民法院（</w:t>
      </w:r>
      <w:r>
        <w:rPr>
          <w:rFonts w:hint="default" w:ascii="Times New Roman" w:hAnsi="Times New Roman" w:eastAsia="仿宋_GB2312" w:cs="Times New Roman"/>
          <w:b w:val="0"/>
          <w:bCs/>
          <w:sz w:val="28"/>
          <w:szCs w:val="28"/>
          <w:lang w:val="en-US" w:eastAsia="zh-CN"/>
        </w:rPr>
        <w:t>2018</w:t>
      </w:r>
      <w:r>
        <w:rPr>
          <w:rFonts w:hint="default" w:ascii="Times New Roman" w:hAnsi="Times New Roman" w:eastAsia="仿宋_GB2312" w:cs="Times New Roman"/>
          <w:b w:val="0"/>
          <w:bCs/>
          <w:sz w:val="28"/>
          <w:szCs w:val="28"/>
          <w:lang w:eastAsia="zh-CN"/>
        </w:rPr>
        <w:t>）寒法技评字第</w:t>
      </w:r>
      <w:r>
        <w:rPr>
          <w:rFonts w:hint="default" w:ascii="Times New Roman" w:hAnsi="Times New Roman" w:eastAsia="仿宋_GB2312" w:cs="Times New Roman"/>
          <w:b w:val="0"/>
          <w:bCs/>
          <w:sz w:val="28"/>
          <w:szCs w:val="28"/>
          <w:lang w:val="en-US" w:eastAsia="zh-CN"/>
        </w:rPr>
        <w:t>0186号</w:t>
      </w:r>
      <w:r>
        <w:rPr>
          <w:rFonts w:hint="default" w:ascii="Times New Roman" w:hAnsi="Times New Roman" w:eastAsia="仿宋_GB2312" w:cs="Times New Roman"/>
          <w:b w:val="0"/>
          <w:bCs/>
          <w:sz w:val="28"/>
          <w:szCs w:val="28"/>
        </w:rPr>
        <w:t>鉴定委托函</w:t>
      </w:r>
      <w:r>
        <w:rPr>
          <w:rFonts w:hint="default" w:ascii="Times New Roman" w:hAnsi="Times New Roman" w:eastAsia="仿宋_GB2312" w:cs="Times New Roman"/>
          <w:b w:val="0"/>
          <w:bCs/>
          <w:sz w:val="28"/>
          <w:szCs w:val="28"/>
          <w:lang w:eastAsia="zh-CN"/>
        </w:rPr>
        <w:t>及司法鉴定委托书</w:t>
      </w:r>
      <w:r>
        <w:rPr>
          <w:rFonts w:hint="default" w:ascii="Times New Roman" w:hAnsi="Times New Roman" w:eastAsia="仿宋_GB2312" w:cs="Times New Roman"/>
          <w:b w:val="0"/>
          <w:bCs/>
          <w:sz w:val="28"/>
          <w:szCs w:val="28"/>
        </w:rPr>
        <w:t>复印件</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_Toc31272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17</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lang w:eastAsia="zh-CN"/>
        </w:rPr>
        <w:t>二、委托人提供的有关《查档证明》等产权材料</w:t>
      </w:r>
      <w:r>
        <w:rPr>
          <w:rFonts w:hint="default" w:ascii="Times New Roman" w:hAnsi="Times New Roman" w:eastAsia="仿宋_GB2312" w:cs="Times New Roman"/>
          <w:b w:val="0"/>
          <w:bCs/>
          <w:spacing w:val="0"/>
          <w:sz w:val="28"/>
          <w:szCs w:val="28"/>
          <w:lang w:val="en-US" w:eastAsia="zh-CN"/>
        </w:rPr>
        <w:t>复印件</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lang w:val="en-US" w:eastAsia="zh-CN"/>
        </w:rPr>
        <w:t>17</w:t>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_Toc29842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三、估价对象地理位置示意图</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_Toc29842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17</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_Toc24344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四、估价对象</w:t>
      </w:r>
      <w:r>
        <w:rPr>
          <w:rFonts w:hint="default" w:ascii="Times New Roman" w:hAnsi="Times New Roman" w:eastAsia="仿宋_GB2312" w:cs="Times New Roman"/>
          <w:b w:val="0"/>
          <w:bCs/>
          <w:sz w:val="28"/>
          <w:szCs w:val="28"/>
          <w:lang w:eastAsia="zh-CN"/>
        </w:rPr>
        <w:t>现场</w:t>
      </w:r>
      <w:r>
        <w:rPr>
          <w:rFonts w:hint="default" w:ascii="Times New Roman" w:hAnsi="Times New Roman" w:eastAsia="仿宋_GB2312" w:cs="Times New Roman"/>
          <w:b w:val="0"/>
          <w:bCs/>
          <w:sz w:val="28"/>
          <w:szCs w:val="28"/>
        </w:rPr>
        <w:t>照片</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_Toc24344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17</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_Toc24809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五、估价机构</w:t>
      </w:r>
      <w:r>
        <w:rPr>
          <w:rFonts w:hint="default" w:ascii="Times New Roman" w:hAnsi="Times New Roman" w:eastAsia="仿宋_GB2312" w:cs="Times New Roman"/>
          <w:b w:val="0"/>
          <w:bCs/>
          <w:sz w:val="28"/>
          <w:szCs w:val="28"/>
          <w:lang w:eastAsia="zh-CN"/>
        </w:rPr>
        <w:t>资质证书</w:t>
      </w:r>
      <w:r>
        <w:rPr>
          <w:rFonts w:hint="default" w:ascii="Times New Roman" w:hAnsi="Times New Roman" w:eastAsia="仿宋_GB2312" w:cs="Times New Roman"/>
          <w:b w:val="0"/>
          <w:bCs/>
          <w:sz w:val="28"/>
          <w:szCs w:val="28"/>
        </w:rPr>
        <w:t>复印件</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_Toc24809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17</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val="0"/>
          <w:bCs/>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_Toc27448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六、估价机构</w:t>
      </w:r>
      <w:r>
        <w:rPr>
          <w:rFonts w:hint="default" w:ascii="Times New Roman" w:hAnsi="Times New Roman" w:eastAsia="仿宋_GB2312" w:cs="Times New Roman"/>
          <w:b w:val="0"/>
          <w:bCs/>
          <w:sz w:val="28"/>
          <w:szCs w:val="28"/>
          <w:lang w:eastAsia="zh-CN"/>
        </w:rPr>
        <w:t>营业执照</w:t>
      </w:r>
      <w:r>
        <w:rPr>
          <w:rFonts w:hint="default" w:ascii="Times New Roman" w:hAnsi="Times New Roman" w:eastAsia="仿宋_GB2312" w:cs="Times New Roman"/>
          <w:b w:val="0"/>
          <w:bCs/>
          <w:sz w:val="28"/>
          <w:szCs w:val="28"/>
        </w:rPr>
        <w:t>复印件</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_Toc27448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17</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0" w:firstLineChars="200"/>
        <w:rPr>
          <w:rFonts w:hint="default" w:ascii="Times New Roman" w:hAnsi="Times New Roman" w:eastAsia="仿宋_GB2312" w:cs="Times New Roman"/>
          <w:b/>
          <w:sz w:val="28"/>
          <w:szCs w:val="28"/>
        </w:rPr>
      </w:pP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HYPERLINK \l _Toc24883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七、注册房地产估价师证书复印件</w:t>
      </w:r>
      <w:r>
        <w:rPr>
          <w:rFonts w:hint="default" w:ascii="Times New Roman" w:hAnsi="Times New Roman" w:eastAsia="仿宋_GB2312" w:cs="Times New Roman"/>
          <w:b w:val="0"/>
          <w:bCs/>
          <w:sz w:val="28"/>
          <w:szCs w:val="28"/>
        </w:rPr>
        <w:tab/>
      </w:r>
      <w:r>
        <w:rPr>
          <w:rFonts w:hint="default" w:ascii="Times New Roman" w:hAnsi="Times New Roman" w:eastAsia="仿宋_GB2312" w:cs="Times New Roman"/>
          <w:b w:val="0"/>
          <w:bCs/>
          <w:sz w:val="28"/>
          <w:szCs w:val="28"/>
        </w:rPr>
        <w:fldChar w:fldCharType="begin"/>
      </w:r>
      <w:r>
        <w:rPr>
          <w:rFonts w:hint="default" w:ascii="Times New Roman" w:hAnsi="Times New Roman" w:eastAsia="仿宋_GB2312" w:cs="Times New Roman"/>
          <w:b w:val="0"/>
          <w:bCs/>
          <w:sz w:val="28"/>
          <w:szCs w:val="28"/>
        </w:rPr>
        <w:instrText xml:space="preserve"> PAGEREF _Toc24883 </w:instrText>
      </w:r>
      <w:r>
        <w:rPr>
          <w:rFonts w:hint="default" w:ascii="Times New Roman" w:hAnsi="Times New Roman" w:eastAsia="仿宋_GB2312" w:cs="Times New Roman"/>
          <w:b w:val="0"/>
          <w:bCs/>
          <w:sz w:val="28"/>
          <w:szCs w:val="28"/>
        </w:rPr>
        <w:fldChar w:fldCharType="separate"/>
      </w:r>
      <w:r>
        <w:rPr>
          <w:rFonts w:hint="default" w:ascii="Times New Roman" w:hAnsi="Times New Roman" w:eastAsia="仿宋_GB2312" w:cs="Times New Roman"/>
          <w:b w:val="0"/>
          <w:bCs/>
          <w:sz w:val="28"/>
          <w:szCs w:val="28"/>
        </w:rPr>
        <w:t>17</w:t>
      </w:r>
      <w:r>
        <w:rPr>
          <w:rFonts w:hint="default" w:ascii="Times New Roman" w:hAnsi="Times New Roman" w:eastAsia="仿宋_GB2312" w:cs="Times New Roman"/>
          <w:b w:val="0"/>
          <w:bCs/>
          <w:sz w:val="28"/>
          <w:szCs w:val="28"/>
        </w:rPr>
        <w:fldChar w:fldCharType="end"/>
      </w:r>
      <w:r>
        <w:rPr>
          <w:rFonts w:hint="default" w:ascii="Times New Roman" w:hAnsi="Times New Roman" w:eastAsia="仿宋_GB2312" w:cs="Times New Roman"/>
          <w:b w:val="0"/>
          <w:bCs/>
          <w:sz w:val="28"/>
          <w:szCs w:val="28"/>
        </w:rPr>
        <w:fldChar w:fldCharType="end"/>
      </w:r>
    </w:p>
    <w:p>
      <w:pPr>
        <w:pStyle w:val="11"/>
        <w:tabs>
          <w:tab w:val="right" w:leader="dot" w:pos="8306"/>
        </w:tabs>
        <w:spacing w:beforeLines="0" w:afterLines="0" w:line="500" w:lineRule="exact"/>
        <w:ind w:firstLine="562" w:firstLineChars="200"/>
        <w:rPr>
          <w:rFonts w:hint="default" w:ascii="Times New Roman" w:hAnsi="Times New Roman" w:eastAsia="仿宋_GB2312" w:cs="Times New Roman"/>
          <w:b/>
          <w:sz w:val="28"/>
          <w:szCs w:val="28"/>
        </w:rPr>
        <w:sectPr>
          <w:headerReference r:id="rId4" w:type="default"/>
          <w:footerReference r:id="rId5" w:type="default"/>
          <w:pgSz w:w="11906" w:h="16838"/>
          <w:pgMar w:top="1440" w:right="1800" w:bottom="1440" w:left="1800" w:header="851" w:footer="992" w:gutter="0"/>
          <w:pgNumType w:fmt="decimal" w:start="1"/>
          <w:cols w:space="720" w:num="1"/>
          <w:docGrid w:type="lines" w:linePitch="312" w:charSpace="0"/>
        </w:sectPr>
      </w:pPr>
    </w:p>
    <w:p>
      <w:pPr>
        <w:pStyle w:val="11"/>
        <w:tabs>
          <w:tab w:val="right" w:leader="dot" w:pos="8306"/>
        </w:tabs>
        <w:spacing w:beforeLines="0" w:afterLines="0" w:line="500" w:lineRule="exact"/>
        <w:ind w:firstLine="0" w:firstLineChars="0"/>
        <w:jc w:val="center"/>
        <w:rPr>
          <w:rFonts w:hint="default" w:ascii="Times New Roman" w:hAnsi="Times New Roman" w:eastAsia="黑体" w:cs="Times New Roman"/>
          <w:b/>
          <w:bCs/>
          <w:sz w:val="44"/>
          <w:szCs w:val="44"/>
        </w:rPr>
      </w:pPr>
      <w:r>
        <w:rPr>
          <w:rFonts w:hint="default" w:ascii="Times New Roman" w:hAnsi="Times New Roman" w:eastAsia="仿宋_GB2312" w:cs="Times New Roman"/>
          <w:b/>
          <w:sz w:val="28"/>
          <w:szCs w:val="28"/>
        </w:rPr>
        <w:fldChar w:fldCharType="end"/>
      </w:r>
      <w:r>
        <w:rPr>
          <w:rFonts w:hint="default" w:ascii="Times New Roman" w:hAnsi="Times New Roman" w:eastAsia="黑体" w:cs="Times New Roman"/>
          <w:b/>
          <w:bCs/>
          <w:sz w:val="44"/>
          <w:szCs w:val="44"/>
        </w:rPr>
        <w:t>致估价委托人函</w:t>
      </w:r>
    </w:p>
    <w:p>
      <w:pPr>
        <w:pStyle w:val="11"/>
        <w:tabs>
          <w:tab w:val="right" w:leader="dot" w:pos="8306"/>
        </w:tabs>
        <w:spacing w:beforeLines="0" w:afterLines="0" w:line="500" w:lineRule="exact"/>
        <w:jc w:val="left"/>
        <w:rPr>
          <w:rFonts w:ascii="Times New Roman" w:hAnsi="Times New Roman" w:eastAsia="仿宋_GB2312" w:cs="Times New Roman"/>
          <w:b/>
          <w:sz w:val="28"/>
          <w:szCs w:val="28"/>
        </w:rPr>
      </w:pPr>
      <w:r>
        <w:rPr>
          <w:rFonts w:hint="default" w:ascii="Times New Roman" w:hAnsi="Times New Roman" w:eastAsia="仿宋_GB2312" w:cs="Times New Roman"/>
          <w:b/>
          <w:sz w:val="28"/>
          <w:szCs w:val="28"/>
          <w:lang w:eastAsia="zh-CN"/>
        </w:rPr>
        <w:t>潍坊市寒亭区人民法院</w:t>
      </w:r>
      <w:r>
        <w:rPr>
          <w:rFonts w:hint="default" w:ascii="Times New Roman" w:hAnsi="Times New Roman" w:eastAsia="仿宋_GB2312" w:cs="Times New Roman"/>
          <w:b/>
          <w:sz w:val="28"/>
          <w:szCs w:val="28"/>
        </w:rPr>
        <w:t>：</w:t>
      </w:r>
    </w:p>
    <w:p>
      <w:pPr>
        <w:spacing w:line="48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受贵院委托，我公司于</w:t>
      </w:r>
      <w:r>
        <w:rPr>
          <w:rFonts w:hint="default" w:ascii="Times New Roman" w:hAnsi="Times New Roman" w:eastAsia="仿宋_GB2312" w:cs="Times New Roman"/>
          <w:sz w:val="28"/>
          <w:szCs w:val="28"/>
          <w:lang w:eastAsia="zh-CN"/>
        </w:rPr>
        <w:t>2019年01月08日</w:t>
      </w:r>
      <w:r>
        <w:rPr>
          <w:rFonts w:hint="default" w:ascii="Times New Roman" w:hAnsi="Times New Roman" w:eastAsia="仿宋_GB2312" w:cs="Times New Roman"/>
          <w:sz w:val="28"/>
          <w:szCs w:val="28"/>
        </w:rPr>
        <w:t>派出注册房地产估价师</w:t>
      </w:r>
      <w:r>
        <w:rPr>
          <w:rFonts w:ascii="Times New Roman" w:hAnsi="Times New Roman" w:eastAsia="仿宋_GB2312" w:cs="Times New Roman"/>
          <w:sz w:val="28"/>
          <w:szCs w:val="28"/>
        </w:rPr>
        <w:t>,</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位于潍坊市寒亭区泰祥东街1709号龙居家园4号楼2-502</w:t>
      </w:r>
      <w:r>
        <w:rPr>
          <w:rFonts w:hint="default" w:ascii="Times New Roman" w:hAnsi="Times New Roman" w:eastAsia="仿宋_GB2312" w:cs="Times New Roman"/>
          <w:sz w:val="28"/>
          <w:szCs w:val="28"/>
          <w:lang w:val="en-US" w:eastAsia="zh-CN"/>
        </w:rPr>
        <w:t>室、潍坊市寒亭区泰祥东街1709号龙居家园5号楼1-201室两处</w:t>
      </w:r>
      <w:r>
        <w:rPr>
          <w:rFonts w:hint="default" w:ascii="Times New Roman" w:hAnsi="Times New Roman" w:eastAsia="仿宋_GB2312" w:cs="Times New Roman"/>
          <w:sz w:val="28"/>
          <w:szCs w:val="28"/>
          <w:lang w:eastAsia="zh-CN"/>
        </w:rPr>
        <w:t>住宅房地产</w:t>
      </w:r>
      <w:r>
        <w:rPr>
          <w:rFonts w:hint="default" w:ascii="Times New Roman" w:hAnsi="Times New Roman" w:eastAsia="仿宋_GB2312" w:cs="Times New Roman"/>
          <w:sz w:val="28"/>
          <w:szCs w:val="28"/>
        </w:rPr>
        <w:t>进行了实地查勘，为贵院</w:t>
      </w:r>
      <w:r>
        <w:rPr>
          <w:rFonts w:hint="default" w:ascii="Times New Roman" w:hAnsi="Times New Roman" w:eastAsia="仿宋_GB2312" w:cs="Times New Roman"/>
          <w:sz w:val="28"/>
          <w:szCs w:val="28"/>
          <w:lang w:eastAsia="zh-CN"/>
        </w:rPr>
        <w:t>执行申请人张秀美</w:t>
      </w:r>
      <w:r>
        <w:rPr>
          <w:rFonts w:hint="default" w:ascii="Times New Roman" w:hAnsi="Times New Roman" w:eastAsia="仿宋_GB2312" w:cs="Times New Roman"/>
          <w:sz w:val="28"/>
          <w:szCs w:val="28"/>
        </w:rPr>
        <w:t>与</w:t>
      </w:r>
      <w:r>
        <w:rPr>
          <w:rFonts w:hint="default" w:ascii="Times New Roman" w:hAnsi="Times New Roman" w:eastAsia="仿宋_GB2312" w:cs="Times New Roman"/>
          <w:sz w:val="28"/>
          <w:szCs w:val="28"/>
          <w:lang w:eastAsia="zh-CN"/>
        </w:rPr>
        <w:t>被申请人潍坊舜邦置业有限公司借款合同纠纷一案</w:t>
      </w:r>
      <w:r>
        <w:rPr>
          <w:rFonts w:hint="default" w:ascii="Times New Roman" w:hAnsi="Times New Roman" w:eastAsia="仿宋_GB2312" w:cs="Times New Roman"/>
          <w:sz w:val="28"/>
          <w:szCs w:val="28"/>
        </w:rPr>
        <w:t>提供价值参考而评估估价对象</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rPr>
        <w:t>市场价值。</w:t>
      </w:r>
    </w:p>
    <w:p>
      <w:pPr>
        <w:tabs>
          <w:tab w:val="left" w:pos="7114"/>
        </w:tabs>
        <w:spacing w:line="480" w:lineRule="exact"/>
        <w:ind w:left="57" w:firstLine="562" w:firstLineChars="200"/>
        <w:rPr>
          <w:rFonts w:ascii="Times New Roman" w:hAnsi="Times New Roman" w:eastAsia="仿宋_GB2312" w:cs="Times New Roman"/>
          <w:sz w:val="28"/>
          <w:szCs w:val="28"/>
        </w:rPr>
      </w:pPr>
      <w:r>
        <w:rPr>
          <w:rFonts w:hint="default" w:ascii="Times New Roman" w:hAnsi="Times New Roman" w:eastAsia="仿宋_GB2312" w:cs="Times New Roman"/>
          <w:b/>
          <w:bCs/>
          <w:sz w:val="28"/>
          <w:szCs w:val="28"/>
        </w:rPr>
        <w:t>估价目的</w:t>
      </w:r>
      <w:r>
        <w:rPr>
          <w:rFonts w:hint="default" w:ascii="Times New Roman" w:hAnsi="Times New Roman" w:eastAsia="仿宋_GB2312" w:cs="Times New Roman"/>
          <w:bCs/>
          <w:sz w:val="28"/>
          <w:szCs w:val="28"/>
        </w:rPr>
        <w:t>：</w:t>
      </w: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lang w:eastAsia="zh-CN"/>
        </w:rPr>
        <w:t>法院执行案件提供价值参考依据而评估估价对象的市场价值</w:t>
      </w:r>
      <w:r>
        <w:rPr>
          <w:rFonts w:hint="default" w:ascii="Times New Roman" w:hAnsi="Times New Roman" w:eastAsia="仿宋_GB2312" w:cs="Times New Roman"/>
          <w:sz w:val="28"/>
          <w:szCs w:val="28"/>
        </w:rPr>
        <w:t>。</w:t>
      </w:r>
    </w:p>
    <w:p>
      <w:pPr>
        <w:spacing w:line="480" w:lineRule="exact"/>
        <w:ind w:firstLine="57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b/>
          <w:sz w:val="28"/>
          <w:szCs w:val="28"/>
        </w:rPr>
        <w:t>估价对象</w:t>
      </w:r>
      <w:r>
        <w:rPr>
          <w:rFonts w:hint="default" w:ascii="Times New Roman" w:hAnsi="Times New Roman" w:eastAsia="仿宋_GB2312" w:cs="Times New Roman"/>
          <w:sz w:val="28"/>
          <w:szCs w:val="28"/>
        </w:rPr>
        <w:t>：委估对象为</w:t>
      </w:r>
      <w:r>
        <w:rPr>
          <w:rFonts w:hint="default" w:ascii="Times New Roman" w:hAnsi="Times New Roman" w:eastAsia="仿宋_GB2312" w:cs="Times New Roman"/>
          <w:sz w:val="28"/>
          <w:szCs w:val="28"/>
          <w:lang w:eastAsia="zh-CN"/>
        </w:rPr>
        <w:t>潍坊舜邦置业有限公司位于潍坊市寒亭区泰祥东街1709号龙居家园4号楼2-502</w:t>
      </w:r>
      <w:r>
        <w:rPr>
          <w:rFonts w:hint="default" w:ascii="Times New Roman" w:hAnsi="Times New Roman" w:eastAsia="仿宋_GB2312" w:cs="Times New Roman"/>
          <w:sz w:val="28"/>
          <w:szCs w:val="28"/>
          <w:lang w:val="en-US" w:eastAsia="zh-CN"/>
        </w:rPr>
        <w:t>室（面积为132.79㎡）、5号楼1-201室（面积为90.3㎡）两处</w:t>
      </w:r>
      <w:r>
        <w:rPr>
          <w:rFonts w:hint="default" w:ascii="Times New Roman" w:hAnsi="Times New Roman" w:eastAsia="仿宋_GB2312" w:cs="Times New Roman"/>
          <w:sz w:val="28"/>
          <w:szCs w:val="28"/>
          <w:lang w:eastAsia="zh-CN"/>
        </w:rPr>
        <w:t>住宅房地产。</w:t>
      </w:r>
    </w:p>
    <w:p>
      <w:pPr>
        <w:spacing w:line="480" w:lineRule="exact"/>
        <w:ind w:firstLine="570"/>
        <w:rPr>
          <w:rFonts w:ascii="Times New Roman" w:hAnsi="Times New Roman" w:eastAsia="仿宋_GB2312" w:cs="Times New Roman"/>
          <w:sz w:val="28"/>
          <w:szCs w:val="28"/>
        </w:rPr>
      </w:pPr>
      <w:r>
        <w:rPr>
          <w:rFonts w:hint="default" w:ascii="Times New Roman" w:hAnsi="Times New Roman" w:eastAsia="仿宋_GB2312" w:cs="Times New Roman"/>
          <w:b/>
          <w:sz w:val="28"/>
          <w:szCs w:val="28"/>
        </w:rPr>
        <w:t>价值时点</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2019年01月08日</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rPr>
        <w:t>此日期为实地查勘开始日期。</w:t>
      </w:r>
    </w:p>
    <w:p>
      <w:pPr>
        <w:spacing w:line="480" w:lineRule="exact"/>
        <w:ind w:firstLine="570"/>
        <w:rPr>
          <w:rFonts w:ascii="Times New Roman" w:hAnsi="Times New Roman" w:eastAsia="仿宋_GB2312" w:cs="Times New Roman"/>
          <w:sz w:val="28"/>
          <w:szCs w:val="28"/>
        </w:rPr>
      </w:pPr>
      <w:r>
        <w:rPr>
          <w:rFonts w:hint="default" w:ascii="Times New Roman" w:hAnsi="Times New Roman" w:eastAsia="仿宋_GB2312" w:cs="Times New Roman"/>
          <w:b/>
          <w:sz w:val="28"/>
          <w:szCs w:val="28"/>
        </w:rPr>
        <w:t>价值类型</w:t>
      </w:r>
      <w:r>
        <w:rPr>
          <w:rFonts w:hint="default" w:ascii="Times New Roman" w:hAnsi="Times New Roman" w:eastAsia="仿宋_GB2312" w:cs="Times New Roman"/>
          <w:sz w:val="28"/>
          <w:szCs w:val="28"/>
        </w:rPr>
        <w:t>：市场价值，是指估价对象由熟悉情况的交易双方以公平交易方式在价值时点自愿进行交易的金额。</w:t>
      </w:r>
    </w:p>
    <w:p>
      <w:pPr>
        <w:spacing w:line="480" w:lineRule="exact"/>
        <w:ind w:firstLine="570"/>
        <w:rPr>
          <w:rFonts w:ascii="Times New Roman" w:hAnsi="Times New Roman" w:eastAsia="仿宋_GB2312" w:cs="Times New Roman"/>
          <w:sz w:val="28"/>
          <w:szCs w:val="28"/>
        </w:rPr>
      </w:pPr>
      <w:r>
        <w:rPr>
          <w:rFonts w:hint="default" w:ascii="Times New Roman" w:hAnsi="Times New Roman" w:eastAsia="仿宋_GB2312" w:cs="Times New Roman"/>
          <w:b/>
          <w:sz w:val="28"/>
          <w:szCs w:val="28"/>
        </w:rPr>
        <w:t>估价方法</w:t>
      </w:r>
      <w:r>
        <w:rPr>
          <w:rFonts w:hint="default" w:ascii="Times New Roman" w:hAnsi="Times New Roman" w:eastAsia="仿宋_GB2312" w:cs="Times New Roman"/>
          <w:sz w:val="28"/>
          <w:szCs w:val="28"/>
        </w:rPr>
        <w:t>：比较法。</w:t>
      </w:r>
    </w:p>
    <w:p>
      <w:pPr>
        <w:spacing w:line="480" w:lineRule="exact"/>
        <w:ind w:firstLine="562" w:firstLineChars="200"/>
        <w:rPr>
          <w:rFonts w:hint="default" w:ascii="Times New Roman" w:hAnsi="Times New Roman" w:eastAsia="仿宋_GB2312" w:cs="Times New Roman"/>
          <w:kern w:val="2"/>
          <w:sz w:val="28"/>
          <w:szCs w:val="28"/>
          <w:lang w:val="en-US" w:eastAsia="zh-CN"/>
        </w:rPr>
      </w:pPr>
      <w:r>
        <w:rPr>
          <w:rFonts w:hint="default" w:ascii="Times New Roman" w:hAnsi="Times New Roman" w:eastAsia="仿宋_GB2312" w:cs="Times New Roman"/>
          <w:b/>
          <w:sz w:val="28"/>
          <w:szCs w:val="28"/>
        </w:rPr>
        <w:t>估价结果</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委托人委托</w:t>
      </w:r>
      <w:r>
        <w:rPr>
          <w:rFonts w:hint="default" w:ascii="Times New Roman" w:hAnsi="Times New Roman" w:eastAsia="仿宋_GB2312" w:cs="Times New Roman"/>
          <w:sz w:val="28"/>
          <w:szCs w:val="28"/>
        </w:rPr>
        <w:t>评估的</w:t>
      </w:r>
      <w:r>
        <w:rPr>
          <w:rFonts w:hint="default" w:ascii="Times New Roman" w:hAnsi="Times New Roman" w:eastAsia="仿宋_GB2312" w:cs="Times New Roman"/>
          <w:sz w:val="28"/>
          <w:szCs w:val="28"/>
          <w:lang w:eastAsia="zh-CN"/>
        </w:rPr>
        <w:t>潍坊舜邦置业有限公司</w:t>
      </w:r>
      <w:r>
        <w:rPr>
          <w:rFonts w:hint="default" w:ascii="Times New Roman" w:hAnsi="Times New Roman" w:eastAsia="仿宋_GB2312" w:cs="Times New Roman"/>
          <w:sz w:val="28"/>
          <w:szCs w:val="28"/>
        </w:rPr>
        <w:t>所有的</w:t>
      </w:r>
      <w:r>
        <w:rPr>
          <w:rFonts w:hint="default" w:ascii="Times New Roman" w:hAnsi="Times New Roman" w:eastAsia="仿宋_GB2312" w:cs="Times New Roman"/>
          <w:sz w:val="28"/>
          <w:szCs w:val="28"/>
          <w:lang w:eastAsia="zh-CN"/>
        </w:rPr>
        <w:t>两处住宅房地产</w:t>
      </w:r>
      <w:r>
        <w:rPr>
          <w:rFonts w:hint="default" w:ascii="Times New Roman" w:hAnsi="Times New Roman" w:eastAsia="仿宋_GB2312" w:cs="Times New Roman"/>
          <w:sz w:val="28"/>
          <w:szCs w:val="28"/>
        </w:rPr>
        <w:t>在价值时点的</w:t>
      </w:r>
      <w:r>
        <w:rPr>
          <w:rFonts w:hint="default" w:ascii="Times New Roman" w:hAnsi="Times New Roman" w:eastAsia="仿宋_GB2312" w:cs="Times New Roman"/>
          <w:sz w:val="28"/>
          <w:szCs w:val="28"/>
          <w:lang w:eastAsia="zh-CN"/>
        </w:rPr>
        <w:t>评估</w:t>
      </w:r>
      <w:r>
        <w:rPr>
          <w:rFonts w:hint="default" w:ascii="Times New Roman" w:hAnsi="Times New Roman" w:eastAsia="仿宋_GB2312" w:cs="Times New Roman"/>
          <w:sz w:val="28"/>
          <w:szCs w:val="28"/>
        </w:rPr>
        <w:t>价值</w:t>
      </w:r>
      <w:r>
        <w:rPr>
          <w:rFonts w:hint="default" w:ascii="Times New Roman" w:hAnsi="Times New Roman" w:eastAsia="仿宋_GB2312" w:cs="Times New Roman"/>
          <w:sz w:val="28"/>
          <w:szCs w:val="28"/>
          <w:lang w:eastAsia="zh-CN"/>
        </w:rPr>
        <w:t>共计</w:t>
      </w:r>
      <w:r>
        <w:rPr>
          <w:rFonts w:hint="default" w:ascii="Times New Roman" w:hAnsi="Times New Roman" w:eastAsia="仿宋_GB2312" w:cs="Times New Roman"/>
          <w:sz w:val="28"/>
          <w:szCs w:val="28"/>
          <w:lang w:val="en-US" w:eastAsia="zh-CN"/>
        </w:rPr>
        <w:t>918,918.00</w:t>
      </w:r>
      <w:r>
        <w:rPr>
          <w:rFonts w:hint="default" w:ascii="Times New Roman" w:hAnsi="Times New Roman" w:eastAsia="仿宋_GB2312" w:cs="Times New Roman"/>
          <w:sz w:val="28"/>
          <w:szCs w:val="28"/>
        </w:rPr>
        <w:t>元，总价大写：人民币</w:t>
      </w:r>
      <w:r>
        <w:rPr>
          <w:rFonts w:hint="default" w:ascii="Times New Roman" w:hAnsi="Times New Roman" w:eastAsia="仿宋_GB2312" w:cs="Times New Roman"/>
          <w:sz w:val="28"/>
          <w:szCs w:val="28"/>
          <w:lang w:val="en-US" w:eastAsia="zh-CN"/>
        </w:rPr>
        <w:t>玖拾壹万捌仟玖佰壹拾捌元整</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(本价值包含相应土地使用权价值)</w:t>
      </w:r>
    </w:p>
    <w:p>
      <w:pPr>
        <w:spacing w:before="0" w:beforeLines="-2147483648" w:after="0" w:afterLines="-2147483648" w:line="480" w:lineRule="exact"/>
        <w:ind w:firstLine="57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欲了解本次估价项目全面情况，请详见估价结果报告，报告使用时请特别关注估价假设和限制条件等内容。</w:t>
      </w:r>
      <w:r>
        <w:rPr>
          <w:rFonts w:ascii="Times New Roman" w:hAnsi="Times New Roman" w:eastAsia="仿宋_GB2312" w:cs="Times New Roman"/>
          <w:sz w:val="28"/>
          <w:szCs w:val="28"/>
        </w:rPr>
        <w:t xml:space="preserve"> </w:t>
      </w:r>
    </w:p>
    <w:p>
      <w:pPr>
        <w:spacing w:before="157" w:beforeLines="50" w:after="157" w:afterLines="50" w:line="480" w:lineRule="exact"/>
        <w:ind w:firstLine="4810" w:firstLineChars="1718"/>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w:t>
      </w:r>
    </w:p>
    <w:p>
      <w:pPr>
        <w:spacing w:beforeLines="-2147483648" w:line="480" w:lineRule="exact"/>
        <w:ind w:firstLine="3259" w:firstLineChars="1164"/>
        <w:jc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山东富润土地房地产资产评估有限公司</w:t>
      </w:r>
    </w:p>
    <w:p>
      <w:pPr>
        <w:spacing w:beforeLines="-2147483648" w:line="480" w:lineRule="exact"/>
        <w:ind w:firstLine="3259" w:firstLineChars="1164"/>
        <w:jc w:val="center"/>
        <w:outlineLvl w:val="9"/>
        <w:rPr>
          <w:rFonts w:hint="default" w:ascii="Times New Roman" w:hAnsi="Times New Roman" w:eastAsia="黑体" w:cs="Times New Roman"/>
          <w:b/>
          <w:bCs/>
          <w:sz w:val="44"/>
          <w:szCs w:val="44"/>
        </w:rPr>
      </w:pPr>
      <w:r>
        <w:rPr>
          <w:rFonts w:hint="default" w:ascii="Times New Roman" w:hAnsi="Times New Roman" w:eastAsia="仿宋_GB2312" w:cs="Times New Roman"/>
          <w:sz w:val="28"/>
          <w:szCs w:val="28"/>
          <w:highlight w:val="none"/>
          <w:lang w:eastAsia="zh-CN"/>
        </w:rPr>
        <w:t>二〇一九年一月</w:t>
      </w:r>
      <w:r>
        <w:rPr>
          <w:rFonts w:hint="default" w:ascii="Times New Roman" w:hAnsi="Times New Roman" w:eastAsia="仿宋_GB2312" w:cs="Times New Roman"/>
          <w:sz w:val="28"/>
          <w:szCs w:val="28"/>
          <w:highlight w:val="none"/>
          <w:lang w:val="en-US" w:eastAsia="zh-CN"/>
        </w:rPr>
        <w:t>十五</w:t>
      </w:r>
      <w:r>
        <w:rPr>
          <w:rFonts w:hint="default" w:ascii="Times New Roman" w:hAnsi="Times New Roman" w:eastAsia="仿宋_GB2312" w:cs="Times New Roman"/>
          <w:sz w:val="28"/>
          <w:szCs w:val="28"/>
          <w:highlight w:val="none"/>
          <w:lang w:eastAsia="zh-CN"/>
        </w:rPr>
        <w:t>日</w:t>
      </w:r>
      <w:bookmarkStart w:id="0" w:name="_Toc9625"/>
    </w:p>
    <w:p>
      <w:pPr>
        <w:spacing w:beforeLines="50"/>
        <w:jc w:val="both"/>
        <w:outlineLvl w:val="0"/>
        <w:rPr>
          <w:rFonts w:hint="default" w:ascii="Times New Roman" w:hAnsi="Times New Roman" w:eastAsia="黑体" w:cs="Times New Roman"/>
          <w:b/>
          <w:bCs/>
          <w:sz w:val="44"/>
          <w:szCs w:val="44"/>
        </w:rPr>
      </w:pPr>
    </w:p>
    <w:p>
      <w:pPr>
        <w:spacing w:beforeLines="50"/>
        <w:jc w:val="center"/>
        <w:outlineLvl w:val="0"/>
        <w:rPr>
          <w:rFonts w:hint="default" w:ascii="Times New Roman" w:hAnsi="Times New Roman" w:eastAsia="黑体" w:cs="Times New Roman"/>
          <w:b/>
          <w:bCs/>
          <w:sz w:val="44"/>
          <w:szCs w:val="44"/>
        </w:rPr>
      </w:pPr>
      <w:bookmarkStart w:id="1" w:name="_Toc17197"/>
      <w:bookmarkStart w:id="2" w:name="_Toc16881"/>
    </w:p>
    <w:p>
      <w:pPr>
        <w:spacing w:beforeLines="50"/>
        <w:jc w:val="center"/>
        <w:outlineLvl w:val="0"/>
        <w:rPr>
          <w:rFonts w:ascii="Times New Roman" w:hAnsi="Times New Roman" w:eastAsia="黑体" w:cs="Times New Roman"/>
          <w:b/>
          <w:bCs/>
          <w:sz w:val="44"/>
          <w:szCs w:val="44"/>
        </w:rPr>
      </w:pPr>
      <w:r>
        <w:rPr>
          <w:rFonts w:hint="default" w:ascii="Times New Roman" w:hAnsi="Times New Roman" w:eastAsia="黑体" w:cs="Times New Roman"/>
          <w:b/>
          <w:bCs/>
          <w:sz w:val="44"/>
          <w:szCs w:val="44"/>
        </w:rPr>
        <w:t>估价师声明</w:t>
      </w:r>
      <w:bookmarkEnd w:id="0"/>
      <w:bookmarkEnd w:id="1"/>
      <w:bookmarkEnd w:id="2"/>
    </w:p>
    <w:p>
      <w:pPr>
        <w:spacing w:beforeLines="50" w:line="360" w:lineRule="auto"/>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我们郑重声明：</w:t>
      </w:r>
    </w:p>
    <w:p>
      <w:pPr>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default" w:ascii="Times New Roman" w:hAnsi="Times New Roman" w:eastAsia="仿宋_GB2312" w:cs="Times New Roman"/>
          <w:sz w:val="28"/>
          <w:szCs w:val="28"/>
        </w:rPr>
        <w:t>、注册房地产估价师在估价报告中对事实的说明是真实和准确的，没有虚假记载、误导性陈述和重大遗漏。</w:t>
      </w:r>
    </w:p>
    <w:p>
      <w:pPr>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default" w:ascii="Times New Roman" w:hAnsi="Times New Roman" w:eastAsia="仿宋_GB2312" w:cs="Times New Roman"/>
          <w:sz w:val="28"/>
          <w:szCs w:val="28"/>
        </w:rPr>
        <w:t>、估价报告中的分析、意见和结论是注册房地产估价师独立、客观、公正的专业分析、意见和结论，但受到估价报告中已说明的估价假设和限制条件的限制。</w:t>
      </w:r>
    </w:p>
    <w:p>
      <w:pPr>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default" w:ascii="Times New Roman" w:hAnsi="Times New Roman" w:eastAsia="仿宋_GB2312" w:cs="Times New Roman"/>
          <w:sz w:val="28"/>
          <w:szCs w:val="28"/>
        </w:rPr>
        <w:t>、注册房地产估价师与估价报告中的估价对象没有现实或潜在的利益，与估价委托人及估价利害关系人没有利害关系，也对估价对象、估价委托人及估价利害关系人没有偏见。</w:t>
      </w:r>
    </w:p>
    <w:p>
      <w:pPr>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default" w:ascii="Times New Roman" w:hAnsi="Times New Roman" w:eastAsia="仿宋_GB2312" w:cs="Times New Roman"/>
          <w:sz w:val="28"/>
          <w:szCs w:val="28"/>
        </w:rPr>
        <w:t>、注册房地产估价师是按照中华人民共和国国家标准《房地产估价规范》、《房地产估价基本术语标准》以及相关估价专项标准的规定开展估价工作，撰写估价报告。</w:t>
      </w:r>
    </w:p>
    <w:p>
      <w:pPr>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hint="default" w:ascii="Times New Roman" w:hAnsi="Times New Roman" w:eastAsia="仿宋_GB2312" w:cs="Times New Roman"/>
          <w:sz w:val="28"/>
          <w:szCs w:val="28"/>
        </w:rPr>
        <w:t>、我们已</w:t>
      </w:r>
      <w:r>
        <w:rPr>
          <w:rFonts w:hint="default" w:ascii="Times New Roman" w:hAnsi="Times New Roman" w:eastAsia="仿宋_GB2312" w:cs="Times New Roman"/>
          <w:sz w:val="28"/>
          <w:szCs w:val="28"/>
          <w:highlight w:val="none"/>
        </w:rPr>
        <w:t>于</w:t>
      </w:r>
      <w:r>
        <w:rPr>
          <w:rFonts w:hint="default" w:ascii="Times New Roman" w:hAnsi="Times New Roman" w:eastAsia="仿宋_GB2312" w:cs="Times New Roman"/>
          <w:sz w:val="28"/>
          <w:szCs w:val="28"/>
          <w:highlight w:val="none"/>
          <w:lang w:eastAsia="zh-CN"/>
        </w:rPr>
        <w:t>2019年01月08日</w:t>
      </w:r>
      <w:r>
        <w:rPr>
          <w:rFonts w:hint="default" w:ascii="Times New Roman" w:hAnsi="Times New Roman" w:eastAsia="仿宋_GB2312" w:cs="Times New Roman"/>
          <w:sz w:val="28"/>
          <w:szCs w:val="28"/>
        </w:rPr>
        <w:t>对本估价报告中的估价对象进行了实地查勘，查勘人员为注册房地产估价</w:t>
      </w:r>
      <w:r>
        <w:rPr>
          <w:rFonts w:hint="default" w:ascii="Times New Roman" w:hAnsi="Times New Roman" w:eastAsia="仿宋_GB2312" w:cs="Times New Roman"/>
          <w:sz w:val="28"/>
          <w:szCs w:val="28"/>
          <w:highlight w:val="none"/>
        </w:rPr>
        <w:t>师</w:t>
      </w:r>
      <w:r>
        <w:rPr>
          <w:rFonts w:hint="default" w:ascii="Times New Roman" w:hAnsi="Times New Roman" w:eastAsia="仿宋_GB2312" w:cs="Times New Roman"/>
          <w:sz w:val="28"/>
          <w:szCs w:val="28"/>
          <w:highlight w:val="none"/>
          <w:lang w:eastAsia="zh-CN"/>
        </w:rPr>
        <w:t>高守良</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eastAsia="zh-CN"/>
        </w:rPr>
        <w:t>李  丽</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rPr>
        <w:t>估价人员对估价对象的查勘仅限于估价对象外观和使用情况。估价人员不承担对估价对象建筑结构质量进行调查确认的责任和其他被遮盖、未暴露及难以接触到的部分进行检视的责任，当其作为估价对象价值组成部分时均按通常状况设定处理。</w:t>
      </w:r>
    </w:p>
    <w:p>
      <w:pPr>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w:t>
      </w:r>
      <w:r>
        <w:rPr>
          <w:rFonts w:hint="default" w:ascii="Times New Roman" w:hAnsi="Times New Roman" w:eastAsia="仿宋_GB2312" w:cs="Times New Roman"/>
          <w:sz w:val="28"/>
          <w:szCs w:val="28"/>
        </w:rPr>
        <w:t>、没有人对本估价报告提供重要专业帮助。</w:t>
      </w:r>
    </w:p>
    <w:p>
      <w:pPr>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w:t>
      </w:r>
      <w:r>
        <w:rPr>
          <w:rFonts w:hint="default" w:ascii="Times New Roman" w:hAnsi="Times New Roman" w:eastAsia="仿宋_GB2312" w:cs="Times New Roman"/>
          <w:sz w:val="28"/>
          <w:szCs w:val="28"/>
        </w:rPr>
        <w:t>、其他需要声明的事项</w:t>
      </w:r>
    </w:p>
    <w:p>
      <w:pPr>
        <w:snapToGrid w:val="0"/>
        <w:spacing w:line="360" w:lineRule="auto"/>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1</w:t>
      </w: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000000"/>
          <w:sz w:val="28"/>
          <w:szCs w:val="28"/>
        </w:rPr>
        <w:t>本估价报告依据了估价委托人提供的相关资料，估价委托人对资料的真实性负责。因资料失实造成估价结果有误的，估价机构和估价人员不承担相应的责任</w:t>
      </w:r>
      <w:r>
        <w:rPr>
          <w:rFonts w:hint="default" w:ascii="Times New Roman" w:hAnsi="Times New Roman" w:eastAsia="仿宋_GB2312" w:cs="Times New Roman"/>
          <w:sz w:val="28"/>
          <w:szCs w:val="28"/>
        </w:rPr>
        <w:t>。</w:t>
      </w:r>
    </w:p>
    <w:p>
      <w:pPr>
        <w:snapToGrid w:val="0"/>
        <w:spacing w:line="360" w:lineRule="auto"/>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2</w:t>
      </w:r>
      <w:r>
        <w:rPr>
          <w:rFonts w:hint="default" w:ascii="Times New Roman" w:hAnsi="Times New Roman" w:eastAsia="仿宋_GB2312" w:cs="Times New Roman"/>
          <w:sz w:val="28"/>
          <w:szCs w:val="28"/>
        </w:rPr>
        <w:t>）本报告确定的房地产价格仅是在报告中说明的假设条件下的对估价对象正常价格进行合理推算，不能替代市场定价，本报告所提供的分析和数据仅作为价格意见而不能视作任何价格保证。</w:t>
      </w:r>
    </w:p>
    <w:p>
      <w:pPr>
        <w:snapToGrid w:val="0"/>
        <w:spacing w:line="360" w:lineRule="auto"/>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3</w:t>
      </w:r>
      <w:r>
        <w:rPr>
          <w:rFonts w:hint="default" w:ascii="Times New Roman" w:hAnsi="Times New Roman" w:eastAsia="仿宋_GB2312" w:cs="Times New Roman"/>
          <w:sz w:val="28"/>
          <w:szCs w:val="28"/>
        </w:rPr>
        <w:t>）报告中对估价对象权属情况的披露不能作为对其权属确认的依据，估价对象权属界定以有权管理部门认定为准。</w:t>
      </w:r>
    </w:p>
    <w:p>
      <w:pPr>
        <w:snapToGrid w:val="0"/>
        <w:spacing w:line="360" w:lineRule="auto"/>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4</w:t>
      </w:r>
      <w:r>
        <w:rPr>
          <w:rFonts w:hint="default" w:ascii="Times New Roman" w:hAnsi="Times New Roman" w:eastAsia="仿宋_GB2312" w:cs="Times New Roman"/>
          <w:sz w:val="28"/>
          <w:szCs w:val="28"/>
        </w:rPr>
        <w:t>）本报告估价结果仅作为</w:t>
      </w:r>
      <w:r>
        <w:rPr>
          <w:rFonts w:hint="default" w:ascii="Times New Roman" w:hAnsi="Times New Roman" w:eastAsia="仿宋_GB2312" w:cs="Times New Roman"/>
          <w:sz w:val="28"/>
          <w:szCs w:val="28"/>
          <w:lang w:eastAsia="zh-CN"/>
        </w:rPr>
        <w:t>委托人</w:t>
      </w:r>
      <w:r>
        <w:rPr>
          <w:rFonts w:hint="default" w:ascii="Times New Roman" w:hAnsi="Times New Roman" w:eastAsia="仿宋_GB2312" w:cs="Times New Roman"/>
          <w:sz w:val="28"/>
          <w:szCs w:val="28"/>
        </w:rPr>
        <w:t>在本次估价目的下使用，不得用于其他用途。未经我公司授权或许可，估价报告的全部或部分内容不得发表于任何公开媒体上，估价报告的相关资料亦不得在任何公开发表的文件、通告或声明中引用。本报告的最终解释权归本公司所有。</w:t>
      </w:r>
    </w:p>
    <w:p>
      <w:pPr>
        <w:spacing w:line="360" w:lineRule="auto"/>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参与本次估价的注册房地产估价师签名：</w:t>
      </w:r>
    </w:p>
    <w:tbl>
      <w:tblPr>
        <w:tblStyle w:val="18"/>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935"/>
        <w:gridCol w:w="3039"/>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6" w:hRule="atLeast"/>
        </w:trPr>
        <w:tc>
          <w:tcPr>
            <w:tcW w:w="1073" w:type="dxa"/>
            <w:vAlign w:val="center"/>
          </w:tcPr>
          <w:p>
            <w:pPr>
              <w:spacing w:line="500" w:lineRule="exact"/>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姓名</w:t>
            </w:r>
          </w:p>
        </w:tc>
        <w:tc>
          <w:tcPr>
            <w:tcW w:w="1935" w:type="dxa"/>
            <w:vAlign w:val="center"/>
          </w:tcPr>
          <w:p>
            <w:pPr>
              <w:spacing w:line="500" w:lineRule="exact"/>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注册号</w:t>
            </w:r>
          </w:p>
        </w:tc>
        <w:tc>
          <w:tcPr>
            <w:tcW w:w="3039" w:type="dxa"/>
            <w:vAlign w:val="center"/>
          </w:tcPr>
          <w:p>
            <w:pPr>
              <w:spacing w:line="500" w:lineRule="exact"/>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签名</w:t>
            </w:r>
          </w:p>
        </w:tc>
        <w:tc>
          <w:tcPr>
            <w:tcW w:w="2493" w:type="dxa"/>
            <w:vAlign w:val="center"/>
          </w:tcPr>
          <w:p>
            <w:pPr>
              <w:spacing w:line="500" w:lineRule="exact"/>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签名日期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trPr>
        <w:tc>
          <w:tcPr>
            <w:tcW w:w="1073" w:type="dxa"/>
            <w:vAlign w:val="center"/>
          </w:tcPr>
          <w:p>
            <w:pPr>
              <w:spacing w:line="500" w:lineRule="exact"/>
              <w:jc w:val="center"/>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eastAsia="zh-CN"/>
              </w:rPr>
              <w:t>高守良</w:t>
            </w:r>
          </w:p>
        </w:tc>
        <w:tc>
          <w:tcPr>
            <w:tcW w:w="1935" w:type="dxa"/>
            <w:vAlign w:val="center"/>
          </w:tcPr>
          <w:p>
            <w:pPr>
              <w:spacing w:line="500" w:lineRule="exact"/>
              <w:jc w:val="center"/>
              <w:rPr>
                <w:rFonts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lang w:eastAsia="zh-CN"/>
              </w:rPr>
              <w:t>2</w:t>
            </w:r>
            <w:r>
              <w:rPr>
                <w:rFonts w:hint="default" w:ascii="Times New Roman" w:hAnsi="Times New Roman" w:eastAsia="仿宋_GB2312" w:cs="Times New Roman"/>
                <w:color w:val="000000"/>
                <w:sz w:val="28"/>
                <w:szCs w:val="28"/>
                <w:highlight w:val="none"/>
                <w:lang w:val="en-US" w:eastAsia="zh-CN"/>
              </w:rPr>
              <w:t>320160055</w:t>
            </w:r>
          </w:p>
        </w:tc>
        <w:tc>
          <w:tcPr>
            <w:tcW w:w="3039" w:type="dxa"/>
            <w:vAlign w:val="center"/>
          </w:tcPr>
          <w:p>
            <w:pPr>
              <w:spacing w:line="500" w:lineRule="exact"/>
              <w:jc w:val="center"/>
              <w:rPr>
                <w:rFonts w:ascii="Times New Roman" w:hAnsi="Times New Roman" w:eastAsia="仿宋_GB2312" w:cs="Times New Roman"/>
                <w:color w:val="000000"/>
                <w:sz w:val="28"/>
                <w:szCs w:val="28"/>
              </w:rPr>
            </w:pPr>
          </w:p>
        </w:tc>
        <w:tc>
          <w:tcPr>
            <w:tcW w:w="2493" w:type="dxa"/>
            <w:vAlign w:val="center"/>
          </w:tcPr>
          <w:p>
            <w:pPr>
              <w:spacing w:line="500" w:lineRule="exact"/>
              <w:jc w:val="left"/>
              <w:rPr>
                <w:rFonts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eastAsia="zh-CN"/>
              </w:rPr>
              <w:t>201</w:t>
            </w:r>
            <w:r>
              <w:rPr>
                <w:rFonts w:hint="default" w:ascii="Times New Roman" w:hAnsi="Times New Roman" w:eastAsia="仿宋_GB2312" w:cs="Times New Roman"/>
                <w:spacing w:val="-6"/>
                <w:sz w:val="28"/>
                <w:szCs w:val="28"/>
                <w:lang w:val="en-US" w:eastAsia="zh-CN"/>
              </w:rPr>
              <w:t>9</w:t>
            </w:r>
            <w:r>
              <w:rPr>
                <w:rFonts w:hint="default" w:ascii="Times New Roman" w:hAnsi="Times New Roman" w:eastAsia="仿宋_GB2312" w:cs="Times New Roman"/>
                <w:spacing w:val="-6"/>
                <w:sz w:val="28"/>
                <w:szCs w:val="28"/>
                <w:lang w:eastAsia="zh-CN"/>
              </w:rPr>
              <w:t>年</w:t>
            </w:r>
            <w:r>
              <w:rPr>
                <w:rFonts w:hint="default" w:ascii="Times New Roman" w:hAnsi="Times New Roman" w:eastAsia="仿宋_GB2312" w:cs="Times New Roman"/>
                <w:spacing w:val="-6"/>
                <w:sz w:val="28"/>
                <w:szCs w:val="28"/>
                <w:lang w:val="en-US" w:eastAsia="zh-CN"/>
              </w:rPr>
              <w:t>01</w:t>
            </w:r>
            <w:r>
              <w:rPr>
                <w:rFonts w:hint="default" w:ascii="Times New Roman" w:hAnsi="Times New Roman" w:eastAsia="仿宋_GB2312" w:cs="Times New Roman"/>
                <w:spacing w:val="-6"/>
                <w:sz w:val="28"/>
                <w:szCs w:val="28"/>
                <w:lang w:eastAsia="zh-CN"/>
              </w:rPr>
              <w:t>月</w:t>
            </w:r>
            <w:r>
              <w:rPr>
                <w:rFonts w:hint="default" w:ascii="Times New Roman" w:hAnsi="Times New Roman" w:eastAsia="仿宋_GB2312" w:cs="Times New Roman"/>
                <w:spacing w:val="-6"/>
                <w:sz w:val="28"/>
                <w:szCs w:val="28"/>
                <w:lang w:val="en-US" w:eastAsia="zh-CN"/>
              </w:rPr>
              <w:t>15</w:t>
            </w:r>
            <w:r>
              <w:rPr>
                <w:rFonts w:hint="default" w:ascii="Times New Roman" w:hAnsi="Times New Roman" w:eastAsia="仿宋_GB2312" w:cs="Times New Roman"/>
                <w:spacing w:val="-6"/>
                <w:sz w:val="28"/>
                <w:szCs w:val="28"/>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0" w:hRule="atLeast"/>
        </w:trPr>
        <w:tc>
          <w:tcPr>
            <w:tcW w:w="1073" w:type="dxa"/>
            <w:vAlign w:val="center"/>
          </w:tcPr>
          <w:p>
            <w:pPr>
              <w:spacing w:line="5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李  丽</w:t>
            </w:r>
          </w:p>
        </w:tc>
        <w:tc>
          <w:tcPr>
            <w:tcW w:w="1935" w:type="dxa"/>
            <w:vAlign w:val="center"/>
          </w:tcPr>
          <w:p>
            <w:pPr>
              <w:spacing w:line="5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3720110150</w:t>
            </w:r>
          </w:p>
        </w:tc>
        <w:tc>
          <w:tcPr>
            <w:tcW w:w="3039" w:type="dxa"/>
            <w:vAlign w:val="center"/>
          </w:tcPr>
          <w:p>
            <w:pPr>
              <w:spacing w:line="500" w:lineRule="exact"/>
              <w:jc w:val="center"/>
              <w:rPr>
                <w:rFonts w:ascii="Times New Roman" w:hAnsi="Times New Roman" w:eastAsia="仿宋_GB2312" w:cs="Times New Roman"/>
                <w:color w:val="000000"/>
                <w:sz w:val="28"/>
                <w:szCs w:val="28"/>
              </w:rPr>
            </w:pPr>
          </w:p>
        </w:tc>
        <w:tc>
          <w:tcPr>
            <w:tcW w:w="2493" w:type="dxa"/>
            <w:vAlign w:val="center"/>
          </w:tcPr>
          <w:p>
            <w:pPr>
              <w:spacing w:line="500" w:lineRule="exact"/>
              <w:jc w:val="left"/>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201</w:t>
            </w:r>
            <w:r>
              <w:rPr>
                <w:rFonts w:hint="default" w:ascii="Times New Roman" w:hAnsi="Times New Roman" w:eastAsia="仿宋_GB2312" w:cs="Times New Roman"/>
                <w:color w:val="000000"/>
                <w:sz w:val="28"/>
                <w:szCs w:val="28"/>
                <w:lang w:val="en-US" w:eastAsia="zh-CN"/>
              </w:rPr>
              <w:t>9</w:t>
            </w:r>
            <w:r>
              <w:rPr>
                <w:rFonts w:hint="default" w:ascii="Times New Roman" w:hAnsi="Times New Roman" w:eastAsia="仿宋_GB2312" w:cs="Times New Roman"/>
                <w:color w:val="000000"/>
                <w:sz w:val="28"/>
                <w:szCs w:val="28"/>
                <w:lang w:eastAsia="zh-CN"/>
              </w:rPr>
              <w:t>年</w:t>
            </w:r>
            <w:r>
              <w:rPr>
                <w:rFonts w:hint="default" w:ascii="Times New Roman" w:hAnsi="Times New Roman" w:eastAsia="仿宋_GB2312" w:cs="Times New Roman"/>
                <w:color w:val="000000"/>
                <w:sz w:val="28"/>
                <w:szCs w:val="28"/>
                <w:lang w:val="en-US" w:eastAsia="zh-CN"/>
              </w:rPr>
              <w:t>01</w:t>
            </w:r>
            <w:r>
              <w:rPr>
                <w:rFonts w:hint="default" w:ascii="Times New Roman" w:hAnsi="Times New Roman" w:eastAsia="仿宋_GB2312" w:cs="Times New Roman"/>
                <w:color w:val="000000"/>
                <w:sz w:val="28"/>
                <w:szCs w:val="28"/>
                <w:lang w:eastAsia="zh-CN"/>
              </w:rPr>
              <w:t>月</w:t>
            </w:r>
            <w:r>
              <w:rPr>
                <w:rFonts w:hint="default" w:ascii="Times New Roman" w:hAnsi="Times New Roman" w:eastAsia="仿宋_GB2312" w:cs="Times New Roman"/>
                <w:color w:val="000000"/>
                <w:sz w:val="28"/>
                <w:szCs w:val="28"/>
                <w:lang w:val="en-US" w:eastAsia="zh-CN"/>
              </w:rPr>
              <w:t>15</w:t>
            </w:r>
            <w:r>
              <w:rPr>
                <w:rFonts w:hint="default" w:ascii="Times New Roman" w:hAnsi="Times New Roman" w:eastAsia="仿宋_GB2312" w:cs="Times New Roman"/>
                <w:color w:val="000000"/>
                <w:sz w:val="28"/>
                <w:szCs w:val="28"/>
                <w:lang w:eastAsia="zh-CN"/>
              </w:rPr>
              <w:t>日</w:t>
            </w:r>
          </w:p>
        </w:tc>
      </w:tr>
    </w:tbl>
    <w:p>
      <w:pPr>
        <w:pStyle w:val="2"/>
        <w:jc w:val="center"/>
        <w:rPr>
          <w:rFonts w:ascii="Times New Roman" w:hAnsi="Times New Roman" w:eastAsia="黑体" w:cs="Times New Roman"/>
        </w:rPr>
      </w:pPr>
      <w:r>
        <w:rPr>
          <w:rFonts w:ascii="Times New Roman" w:hAnsi="Times New Roman" w:eastAsia="仿宋_GB2312" w:cs="Times New Roman"/>
          <w:sz w:val="28"/>
          <w:szCs w:val="28"/>
        </w:rPr>
        <w:br w:type="page"/>
      </w:r>
      <w:bookmarkStart w:id="3" w:name="_Toc23425"/>
      <w:bookmarkStart w:id="4" w:name="_Toc10756"/>
      <w:bookmarkStart w:id="5" w:name="_Toc6640"/>
      <w:bookmarkStart w:id="6" w:name="_Toc278611916"/>
      <w:bookmarkStart w:id="7" w:name="_Toc278702603"/>
      <w:r>
        <w:rPr>
          <w:rFonts w:hint="default" w:ascii="Times New Roman" w:hAnsi="Times New Roman" w:eastAsia="黑体" w:cs="Times New Roman"/>
        </w:rPr>
        <w:t>估价假设和限制条件</w:t>
      </w:r>
      <w:bookmarkEnd w:id="3"/>
      <w:bookmarkEnd w:id="4"/>
      <w:bookmarkEnd w:id="5"/>
    </w:p>
    <w:bookmarkEnd w:id="6"/>
    <w:bookmarkEnd w:id="7"/>
    <w:p>
      <w:pPr>
        <w:spacing w:line="360" w:lineRule="auto"/>
        <w:ind w:firstLine="562" w:firstLineChars="200"/>
        <w:rPr>
          <w:rFonts w:ascii="Times New Roman" w:hAnsi="Times New Roman" w:eastAsia="仿宋_GB2312" w:cs="Times New Roman"/>
          <w:b/>
          <w:bCs/>
          <w:sz w:val="28"/>
          <w:szCs w:val="28"/>
        </w:rPr>
      </w:pPr>
      <w:bookmarkStart w:id="8" w:name="_Toc389114768"/>
      <w:bookmarkStart w:id="9" w:name="_Toc278702604"/>
      <w:r>
        <w:rPr>
          <w:rFonts w:hint="default" w:ascii="Times New Roman" w:hAnsi="Times New Roman" w:eastAsia="仿宋_GB2312" w:cs="Times New Roman"/>
          <w:b/>
          <w:bCs/>
          <w:sz w:val="28"/>
          <w:szCs w:val="28"/>
        </w:rPr>
        <w:t>一、估价假设</w:t>
      </w:r>
      <w:bookmarkEnd w:id="8"/>
      <w:bookmarkEnd w:id="9"/>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default" w:ascii="Times New Roman" w:hAnsi="Times New Roman" w:eastAsia="仿宋_GB2312" w:cs="Times New Roman"/>
          <w:sz w:val="28"/>
          <w:szCs w:val="28"/>
        </w:rPr>
        <w:t>、一般假设</w:t>
      </w:r>
    </w:p>
    <w:p>
      <w:pPr>
        <w:spacing w:line="360" w:lineRule="auto"/>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1</w:t>
      </w:r>
      <w:r>
        <w:rPr>
          <w:rFonts w:hint="default" w:ascii="Times New Roman" w:hAnsi="Times New Roman" w:eastAsia="仿宋_GB2312" w:cs="Times New Roman"/>
          <w:sz w:val="28"/>
          <w:szCs w:val="28"/>
        </w:rPr>
        <w:t>）估价人员对估价所依据的估价委托人提供的估价对象权属、面积、用途等资料进行了审慎检查，无理由怀疑其合法性、真实性、准确性和完整性且未予核实情况下，假设估价委托人提供的估价对象有关证件资料是合法、真实、准确和完整有效的，估价对象应缴纳的各种税费，已按国家、省、市法律、法规、规章缴纳完毕，并取得相应的产权依据和法律保护。</w:t>
      </w:r>
    </w:p>
    <w:p>
      <w:pPr>
        <w:spacing w:line="360" w:lineRule="auto"/>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2</w:t>
      </w:r>
      <w:r>
        <w:rPr>
          <w:rFonts w:hint="default" w:ascii="Times New Roman" w:hAnsi="Times New Roman" w:eastAsia="仿宋_GB2312" w:cs="Times New Roman"/>
          <w:sz w:val="28"/>
          <w:szCs w:val="28"/>
        </w:rPr>
        <w:t>）估价人员对估价对象安全、环境污染等影响估价对象价值的重大因素给予了关注，无理由怀疑估价对象存在安全隐患且无相应的专业机构进行鉴定检测的情况下，假设估价对象不存在基础、结构等难以直观体现的内在安全质量问题和环境污染情况。</w:t>
      </w:r>
    </w:p>
    <w:p>
      <w:pPr>
        <w:spacing w:line="360" w:lineRule="auto"/>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3</w:t>
      </w:r>
      <w:r>
        <w:rPr>
          <w:rFonts w:hint="default" w:ascii="Times New Roman" w:hAnsi="Times New Roman" w:eastAsia="仿宋_GB2312" w:cs="Times New Roman"/>
          <w:sz w:val="28"/>
          <w:szCs w:val="28"/>
        </w:rPr>
        <w:t>）假设估价对象权益构成清晰，不存在除产权证件已标明和报告未明示的产权纠纷与权利限制。至价值时点，估价对象不存在已明示之外相关的债权债务情况，可在公开市场上自由转让。</w:t>
      </w:r>
    </w:p>
    <w:p>
      <w:pPr>
        <w:spacing w:line="360" w:lineRule="auto"/>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4</w:t>
      </w:r>
      <w:r>
        <w:rPr>
          <w:rFonts w:hint="default" w:ascii="Times New Roman" w:hAnsi="Times New Roman" w:eastAsia="仿宋_GB2312" w:cs="Times New Roman"/>
          <w:sz w:val="28"/>
          <w:szCs w:val="28"/>
        </w:rPr>
        <w:t>）除非报告进行了特别说明，不考虑非正常等特殊因素对房地产价值形成的影响。</w:t>
      </w:r>
    </w:p>
    <w:p>
      <w:pPr>
        <w:spacing w:line="360" w:lineRule="auto"/>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5</w:t>
      </w:r>
      <w:r>
        <w:rPr>
          <w:rFonts w:hint="default" w:ascii="Times New Roman" w:hAnsi="Times New Roman" w:eastAsia="仿宋_GB2312" w:cs="Times New Roman"/>
          <w:sz w:val="28"/>
          <w:szCs w:val="28"/>
        </w:rPr>
        <w:t>）假设估价对象按照目前用途持续使用。</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default" w:ascii="Times New Roman" w:hAnsi="Times New Roman" w:eastAsia="仿宋_GB2312" w:cs="Times New Roman"/>
          <w:sz w:val="28"/>
          <w:szCs w:val="28"/>
        </w:rPr>
        <w:t>、未定事项假设</w:t>
      </w:r>
    </w:p>
    <w:p>
      <w:pPr>
        <w:spacing w:line="360" w:lineRule="auto"/>
        <w:ind w:firstLine="560" w:firstLineChars="200"/>
        <w:jc w:val="lef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假设估价对象在法定存续期内不改变用途且能持续正常使用。</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default" w:ascii="Times New Roman" w:hAnsi="Times New Roman" w:eastAsia="仿宋_GB2312" w:cs="Times New Roman"/>
          <w:sz w:val="28"/>
          <w:szCs w:val="28"/>
        </w:rPr>
        <w:t>、背离事实假设</w:t>
      </w:r>
      <w:r>
        <w:rPr>
          <w:rFonts w:ascii="Times New Roman" w:hAnsi="Times New Roman" w:eastAsia="仿宋_GB2312" w:cs="Times New Roman"/>
          <w:sz w:val="28"/>
          <w:szCs w:val="28"/>
        </w:rPr>
        <w:t xml:space="preserve"> </w:t>
      </w:r>
    </w:p>
    <w:p>
      <w:pPr>
        <w:spacing w:line="360" w:lineRule="auto"/>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估价设定的估价对象状况与估价对象实际状况一致，无背离事实假设。</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default" w:ascii="Times New Roman" w:hAnsi="Times New Roman" w:eastAsia="仿宋_GB2312" w:cs="Times New Roman"/>
          <w:sz w:val="28"/>
          <w:szCs w:val="28"/>
        </w:rPr>
        <w:t>、不相一致假设</w:t>
      </w:r>
      <w:r>
        <w:rPr>
          <w:rFonts w:ascii="Times New Roman" w:hAnsi="Times New Roman" w:eastAsia="仿宋_GB2312" w:cs="Times New Roman"/>
          <w:sz w:val="28"/>
          <w:szCs w:val="28"/>
        </w:rPr>
        <w:t xml:space="preserve"> </w:t>
      </w:r>
    </w:p>
    <w:p>
      <w:pPr>
        <w:spacing w:line="360" w:lineRule="auto"/>
        <w:ind w:firstLine="560" w:firstLineChars="200"/>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估价对象用途、名称、权利人状况等均与权属证明一致，无不相一致假设</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hint="default" w:ascii="Times New Roman" w:hAnsi="Times New Roman" w:eastAsia="仿宋_GB2312" w:cs="Times New Roman"/>
          <w:sz w:val="28"/>
          <w:szCs w:val="28"/>
        </w:rPr>
        <w:t>、依据不足假设</w:t>
      </w:r>
    </w:p>
    <w:p>
      <w:pPr>
        <w:spacing w:line="360" w:lineRule="auto"/>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估价委托人提供了相应的估价资料，估价人员进行了尽职调查，估价对象状况的相关依据充分，无依据不足假设。</w:t>
      </w:r>
    </w:p>
    <w:p>
      <w:pPr>
        <w:spacing w:line="360" w:lineRule="auto"/>
        <w:ind w:firstLine="562" w:firstLineChars="200"/>
        <w:rPr>
          <w:rFonts w:ascii="Times New Roman" w:hAnsi="Times New Roman" w:eastAsia="仿宋_GB2312" w:cs="Times New Roman"/>
          <w:b/>
          <w:bCs/>
          <w:sz w:val="28"/>
          <w:szCs w:val="28"/>
        </w:rPr>
      </w:pPr>
      <w:bookmarkStart w:id="10" w:name="_Toc389114769"/>
      <w:r>
        <w:rPr>
          <w:rFonts w:hint="default" w:ascii="Times New Roman" w:hAnsi="Times New Roman" w:eastAsia="仿宋_GB2312" w:cs="Times New Roman"/>
          <w:b/>
          <w:bCs/>
          <w:sz w:val="28"/>
          <w:szCs w:val="28"/>
        </w:rPr>
        <w:t>二、限制条件</w:t>
      </w:r>
      <w:bookmarkEnd w:id="10"/>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default" w:ascii="Times New Roman" w:hAnsi="Times New Roman" w:eastAsia="仿宋_GB2312" w:cs="Times New Roman"/>
          <w:sz w:val="28"/>
          <w:szCs w:val="28"/>
        </w:rPr>
        <w:t>、本估价报告的使用必须以估价对象的合法使用、合法处分为前提，任何有关估价对象的运作方式、程序符合国家、地方的相关法律法规。</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default" w:ascii="Times New Roman" w:hAnsi="Times New Roman" w:eastAsia="仿宋_GB2312" w:cs="Times New Roman"/>
          <w:sz w:val="28"/>
          <w:szCs w:val="28"/>
        </w:rPr>
        <w:t>、本次估价目的是为</w:t>
      </w:r>
      <w:r>
        <w:rPr>
          <w:rFonts w:hint="default" w:ascii="Times New Roman" w:hAnsi="Times New Roman" w:eastAsia="仿宋_GB2312" w:cs="Times New Roman"/>
          <w:sz w:val="28"/>
          <w:szCs w:val="28"/>
          <w:lang w:eastAsia="zh-CN"/>
        </w:rPr>
        <w:t>法院执行案件提供价值参考依据而评估估价对象的市场价值，</w:t>
      </w:r>
      <w:r>
        <w:rPr>
          <w:rFonts w:hint="default" w:ascii="Times New Roman" w:hAnsi="Times New Roman" w:eastAsia="仿宋_GB2312" w:cs="Times New Roman"/>
          <w:sz w:val="28"/>
          <w:szCs w:val="28"/>
        </w:rPr>
        <w:t>本报告估价结果是根据本次估价目的于价值时点对估价对象在保持现有状态下做出的，如改变估价目的或用于其他用途，须向本公司咨询后作必要调整甚至重新评估。</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default" w:ascii="Times New Roman" w:hAnsi="Times New Roman" w:eastAsia="仿宋_GB2312" w:cs="Times New Roman"/>
          <w:sz w:val="28"/>
          <w:szCs w:val="28"/>
        </w:rPr>
        <w:t>、本估价报告有效期为自报告出具之日起一年内有效。</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default" w:ascii="Times New Roman" w:hAnsi="Times New Roman" w:eastAsia="仿宋_GB2312" w:cs="Times New Roman"/>
          <w:sz w:val="28"/>
          <w:szCs w:val="28"/>
        </w:rPr>
        <w:t>、根据《房地产估价规范》的要求，在报告有效期内，如国家经济形势、城市规划、房地产税费政策、金融政策等发生重大变化，导致房地产市场严重波动，或估价对象本身发生重大变化，对估价结果产生明显影响时，估价委托人应及时聘请房地产评估机构对估价结果做出相应调整直至重新评估。</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hint="default" w:ascii="Times New Roman" w:hAnsi="Times New Roman" w:eastAsia="仿宋_GB2312" w:cs="Times New Roman"/>
          <w:sz w:val="28"/>
          <w:szCs w:val="28"/>
        </w:rPr>
        <w:t>、估价报告须经估价机构加盖公章并由估价师签字盖章后方为有效，提供给估价委托人的估价结果报告为一整体，不可分割使用，因使用不当造成的损失，估价方不承担责任。</w:t>
      </w:r>
    </w:p>
    <w:p>
      <w:pPr>
        <w:spacing w:line="360" w:lineRule="auto"/>
        <w:ind w:firstLine="562" w:firstLineChars="200"/>
        <w:rPr>
          <w:rFonts w:ascii="Times New Roman" w:hAnsi="Times New Roman" w:eastAsia="仿宋_GB2312" w:cs="Times New Roman"/>
          <w:b/>
          <w:bCs/>
          <w:sz w:val="28"/>
          <w:szCs w:val="28"/>
        </w:rPr>
      </w:pPr>
      <w:bookmarkStart w:id="11" w:name="_Toc389114770"/>
      <w:r>
        <w:rPr>
          <w:rFonts w:hint="default" w:ascii="Times New Roman" w:hAnsi="Times New Roman" w:eastAsia="仿宋_GB2312" w:cs="Times New Roman"/>
          <w:b/>
          <w:bCs/>
          <w:sz w:val="28"/>
          <w:szCs w:val="28"/>
        </w:rPr>
        <w:t>三、其他需要说明的事项</w:t>
      </w:r>
      <w:bookmarkEnd w:id="11"/>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default" w:ascii="Times New Roman" w:hAnsi="Times New Roman" w:eastAsia="仿宋_GB2312" w:cs="Times New Roman"/>
          <w:sz w:val="28"/>
          <w:szCs w:val="28"/>
        </w:rPr>
        <w:t>、本估价结论为满足全部假设与限制条件下的价值。</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default" w:ascii="Times New Roman" w:hAnsi="Times New Roman" w:eastAsia="仿宋_GB2312" w:cs="Times New Roman"/>
          <w:sz w:val="28"/>
          <w:szCs w:val="28"/>
        </w:rPr>
        <w:t>、本估价报告分为估价结果报告和估价技术报告两种形式，估价结果报告供估价委托人使用，估价技术报告只供评估报告审核单位使用及估价机构存档备案。</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default" w:ascii="Times New Roman" w:hAnsi="Times New Roman" w:eastAsia="仿宋_GB2312" w:cs="Times New Roman"/>
          <w:sz w:val="28"/>
          <w:szCs w:val="28"/>
        </w:rPr>
        <w:t>、鉴定活动遵循独立、客观、公正的原则，因此，鉴定意见可能对当事人有利，也可能不利。估价结果属于专家专业性意见，其是否被采信取决于办案机关的审查和判断，鉴定人和鉴定机构无权干涉。</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default" w:ascii="Times New Roman" w:hAnsi="Times New Roman" w:eastAsia="仿宋_GB2312" w:cs="Times New Roman"/>
          <w:sz w:val="28"/>
          <w:szCs w:val="28"/>
        </w:rPr>
        <w:t>、本估价报告估价结果是公开市场前提下求取的房地产市场价值，没有考虑价值时点之后国家宏观政策、经济形势发生变化，以及遇有自然力和其它不可抗力对房地产价值的影响。</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hint="default" w:ascii="Times New Roman" w:hAnsi="Times New Roman" w:eastAsia="仿宋_GB2312" w:cs="Times New Roman"/>
          <w:sz w:val="28"/>
          <w:szCs w:val="28"/>
        </w:rPr>
        <w:t>、本</w:t>
      </w:r>
      <w:r>
        <w:rPr>
          <w:rFonts w:hint="default" w:ascii="Times New Roman" w:hAnsi="Times New Roman" w:eastAsia="仿宋_GB2312" w:cs="Times New Roman"/>
          <w:sz w:val="28"/>
          <w:szCs w:val="28"/>
          <w:shd w:val="clear"/>
        </w:rPr>
        <w:t>次评估为</w:t>
      </w:r>
      <w:r>
        <w:rPr>
          <w:rFonts w:hint="default" w:ascii="Times New Roman" w:hAnsi="Times New Roman" w:eastAsia="仿宋_GB2312" w:cs="Times New Roman"/>
          <w:sz w:val="28"/>
          <w:szCs w:val="28"/>
        </w:rPr>
        <w:t>房地产</w:t>
      </w:r>
      <w:r>
        <w:rPr>
          <w:rFonts w:hint="default" w:ascii="Times New Roman" w:hAnsi="Times New Roman" w:eastAsia="仿宋_GB2312" w:cs="Times New Roman"/>
          <w:sz w:val="28"/>
          <w:szCs w:val="28"/>
          <w:lang w:eastAsia="zh-CN"/>
        </w:rPr>
        <w:t>司法鉴定</w:t>
      </w:r>
      <w:r>
        <w:rPr>
          <w:rFonts w:hint="default" w:ascii="Times New Roman" w:hAnsi="Times New Roman" w:eastAsia="仿宋_GB2312" w:cs="Times New Roman"/>
          <w:sz w:val="28"/>
          <w:szCs w:val="28"/>
        </w:rPr>
        <w:t>评估，价值定义为房地产市场价值，不考虑房地产成交后交易的税费以及税费的转移分担</w:t>
      </w:r>
      <w:r>
        <w:rPr>
          <w:rFonts w:hint="default" w:ascii="Times New Roman" w:hAnsi="Times New Roman" w:eastAsia="仿宋_GB2312" w:cs="Times New Roman"/>
          <w:sz w:val="28"/>
          <w:szCs w:val="28"/>
          <w:shd w:val="clear"/>
        </w:rPr>
        <w:t>。</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w:t>
      </w:r>
      <w:r>
        <w:rPr>
          <w:rFonts w:hint="default" w:ascii="Times New Roman" w:hAnsi="Times New Roman" w:eastAsia="仿宋_GB2312" w:cs="Times New Roman"/>
          <w:sz w:val="28"/>
          <w:szCs w:val="28"/>
        </w:rPr>
        <w:t>、成交价格受处置方式、宣传推广力度和买受人对估价对象的了解及对房地产市场的判断等因素影响，现实房地产交易中，一般难以达到理想的公开市场条件，致使实际交易价格往往与估价结果不够一致。</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7</w:t>
      </w:r>
      <w:r>
        <w:rPr>
          <w:rFonts w:hint="default" w:ascii="Times New Roman" w:hAnsi="Times New Roman" w:eastAsia="仿宋_GB2312" w:cs="Times New Roman"/>
          <w:sz w:val="28"/>
          <w:szCs w:val="28"/>
        </w:rPr>
        <w:t>、由于</w:t>
      </w:r>
      <w:r>
        <w:rPr>
          <w:rFonts w:hint="default" w:ascii="Times New Roman" w:hAnsi="Times New Roman" w:eastAsia="仿宋_GB2312" w:cs="Times New Roman"/>
          <w:sz w:val="28"/>
          <w:szCs w:val="28"/>
          <w:lang w:eastAsia="zh-CN"/>
        </w:rPr>
        <w:t>委托人</w:t>
      </w:r>
      <w:r>
        <w:rPr>
          <w:rFonts w:hint="default" w:ascii="Times New Roman" w:hAnsi="Times New Roman" w:eastAsia="仿宋_GB2312" w:cs="Times New Roman"/>
          <w:sz w:val="28"/>
          <w:szCs w:val="28"/>
        </w:rPr>
        <w:t>未出具书面的关于估价对象租赁权的处理意见，本次评估未考虑估价对象可能存在的租赁权对估价结果的影响。</w:t>
      </w:r>
    </w:p>
    <w:p>
      <w:pPr>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8</w:t>
      </w:r>
      <w:r>
        <w:rPr>
          <w:rFonts w:hint="default" w:ascii="Times New Roman" w:hAnsi="Times New Roman" w:eastAsia="仿宋_GB2312" w:cs="Times New Roman"/>
          <w:sz w:val="28"/>
          <w:szCs w:val="28"/>
        </w:rPr>
        <w:t>、本次评估涉及房屋的坐落、用途、建筑面积、所有权人等以</w:t>
      </w:r>
      <w:r>
        <w:rPr>
          <w:rFonts w:hint="default" w:ascii="Times New Roman" w:hAnsi="Times New Roman" w:eastAsia="仿宋_GB2312" w:cs="Times New Roman"/>
          <w:sz w:val="28"/>
          <w:szCs w:val="28"/>
          <w:lang w:eastAsia="zh-CN"/>
        </w:rPr>
        <w:t>委托人</w:t>
      </w:r>
      <w:r>
        <w:rPr>
          <w:rFonts w:hint="default" w:ascii="Times New Roman" w:hAnsi="Times New Roman" w:eastAsia="仿宋_GB2312" w:cs="Times New Roman"/>
          <w:sz w:val="28"/>
          <w:szCs w:val="28"/>
        </w:rPr>
        <w:t>提供的</w:t>
      </w:r>
      <w:r>
        <w:rPr>
          <w:rFonts w:hint="default" w:ascii="Times New Roman" w:hAnsi="Times New Roman" w:eastAsia="仿宋_GB2312" w:cs="Times New Roman"/>
          <w:sz w:val="28"/>
          <w:szCs w:val="28"/>
          <w:lang w:eastAsia="zh-CN"/>
        </w:rPr>
        <w:t>查档证明</w:t>
      </w:r>
      <w:r>
        <w:rPr>
          <w:rFonts w:hint="default" w:ascii="Times New Roman" w:hAnsi="Times New Roman" w:eastAsia="仿宋_GB2312" w:cs="Times New Roman"/>
          <w:sz w:val="28"/>
          <w:szCs w:val="28"/>
        </w:rPr>
        <w:t>等相关资料为依据并结合现场勘查情况确定。</w:t>
      </w:r>
    </w:p>
    <w:p>
      <w:pPr>
        <w:spacing w:line="360" w:lineRule="auto"/>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9</w:t>
      </w:r>
      <w:r>
        <w:rPr>
          <w:rFonts w:hint="default" w:ascii="Times New Roman" w:hAnsi="Times New Roman" w:eastAsia="仿宋_GB2312" w:cs="Times New Roman"/>
          <w:sz w:val="28"/>
          <w:szCs w:val="28"/>
          <w:highlight w:val="none"/>
        </w:rPr>
        <w:t>、山东富润土地房地产资产评估有限公司接到</w:t>
      </w:r>
      <w:r>
        <w:rPr>
          <w:rFonts w:hint="default" w:ascii="Times New Roman" w:hAnsi="Times New Roman" w:eastAsia="仿宋_GB2312" w:cs="Times New Roman"/>
          <w:sz w:val="28"/>
          <w:szCs w:val="28"/>
          <w:highlight w:val="none"/>
          <w:lang w:eastAsia="zh-CN"/>
        </w:rPr>
        <w:t>潍坊市寒亭区人民法院</w:t>
      </w:r>
      <w:r>
        <w:rPr>
          <w:rFonts w:hint="default" w:ascii="Times New Roman" w:hAnsi="Times New Roman" w:eastAsia="仿宋_GB2312" w:cs="Times New Roman"/>
          <w:sz w:val="28"/>
          <w:szCs w:val="28"/>
          <w:highlight w:val="none"/>
        </w:rPr>
        <w:t>委托后，于</w:t>
      </w:r>
      <w:r>
        <w:rPr>
          <w:rFonts w:hint="default" w:ascii="Times New Roman" w:hAnsi="Times New Roman" w:eastAsia="仿宋_GB2312" w:cs="Times New Roman"/>
          <w:sz w:val="28"/>
          <w:szCs w:val="28"/>
          <w:highlight w:val="none"/>
          <w:lang w:eastAsia="zh-CN"/>
        </w:rPr>
        <w:t>2019年01月08日</w:t>
      </w:r>
      <w:r>
        <w:rPr>
          <w:rFonts w:hint="default" w:ascii="Times New Roman" w:hAnsi="Times New Roman" w:eastAsia="仿宋_GB2312" w:cs="Times New Roman"/>
          <w:sz w:val="28"/>
          <w:szCs w:val="28"/>
          <w:highlight w:val="none"/>
        </w:rPr>
        <w:t>派出</w:t>
      </w:r>
      <w:r>
        <w:rPr>
          <w:rFonts w:hint="default" w:ascii="Times New Roman" w:hAnsi="Times New Roman" w:eastAsia="仿宋_GB2312" w:cs="Times New Roman"/>
          <w:sz w:val="28"/>
          <w:szCs w:val="28"/>
          <w:highlight w:val="none"/>
          <w:lang w:eastAsia="zh-CN"/>
        </w:rPr>
        <w:t>高守良</w:t>
      </w: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eastAsia="zh-CN"/>
        </w:rPr>
        <w:t>李  丽</w:t>
      </w:r>
      <w:r>
        <w:rPr>
          <w:rFonts w:hint="default" w:ascii="Times New Roman" w:hAnsi="Times New Roman" w:eastAsia="仿宋_GB2312" w:cs="Times New Roman"/>
          <w:sz w:val="28"/>
          <w:szCs w:val="28"/>
          <w:highlight w:val="none"/>
        </w:rPr>
        <w:t>等工作人员，与</w:t>
      </w:r>
      <w:r>
        <w:rPr>
          <w:rFonts w:hint="default" w:ascii="Times New Roman" w:hAnsi="Times New Roman" w:eastAsia="仿宋_GB2312" w:cs="Times New Roman"/>
          <w:sz w:val="28"/>
          <w:szCs w:val="28"/>
          <w:highlight w:val="none"/>
          <w:lang w:eastAsia="zh-CN"/>
        </w:rPr>
        <w:t>申请人及被申请人代表</w:t>
      </w:r>
      <w:r>
        <w:rPr>
          <w:rFonts w:hint="default" w:ascii="Times New Roman" w:hAnsi="Times New Roman" w:eastAsia="仿宋_GB2312" w:cs="Times New Roman"/>
          <w:sz w:val="28"/>
          <w:szCs w:val="28"/>
          <w:highlight w:val="none"/>
        </w:rPr>
        <w:t>共同对估价对象进行了现场勘查，并核实了有关文件资料，形成现场勘查记录，并经相关人员签字确认，完成了当时条件下必要的评估程序。</w:t>
      </w:r>
    </w:p>
    <w:p>
      <w:pPr>
        <w:spacing w:line="360" w:lineRule="auto"/>
        <w:ind w:firstLine="560" w:firstLineChars="200"/>
        <w:rPr>
          <w:rFonts w:ascii="Times New Roman" w:hAnsi="Times New Roman" w:eastAsia="仿宋_GB2312" w:cs="Times New Roman"/>
          <w:sz w:val="28"/>
          <w:szCs w:val="28"/>
        </w:rPr>
      </w:pPr>
    </w:p>
    <w:p>
      <w:pPr>
        <w:spacing w:line="360" w:lineRule="auto"/>
        <w:ind w:firstLine="560" w:firstLineChars="200"/>
        <w:rPr>
          <w:rFonts w:ascii="Times New Roman" w:hAnsi="Times New Roman" w:eastAsia="仿宋_GB2312" w:cs="Times New Roman"/>
          <w:sz w:val="28"/>
          <w:szCs w:val="28"/>
        </w:rPr>
      </w:pPr>
    </w:p>
    <w:p>
      <w:pPr>
        <w:pStyle w:val="2"/>
        <w:spacing w:line="360" w:lineRule="auto"/>
        <w:jc w:val="center"/>
        <w:rPr>
          <w:rFonts w:ascii="Times New Roman" w:hAnsi="Times New Roman" w:eastAsia="黑体" w:cs="Times New Roman"/>
        </w:rPr>
      </w:pPr>
      <w:bookmarkStart w:id="12" w:name="_Toc278702608"/>
      <w:r>
        <w:rPr>
          <w:rStyle w:val="20"/>
          <w:rFonts w:ascii="Times New Roman" w:hAnsi="Times New Roman" w:eastAsia="仿宋_GB2312" w:cs="Times New Roman"/>
          <w:b w:val="0"/>
          <w:bCs w:val="0"/>
          <w:sz w:val="28"/>
          <w:szCs w:val="28"/>
        </w:rPr>
        <w:br w:type="page"/>
      </w:r>
      <w:bookmarkStart w:id="13" w:name="_Toc13002"/>
      <w:bookmarkStart w:id="14" w:name="_Toc31956"/>
      <w:bookmarkStart w:id="15" w:name="_Toc23647"/>
      <w:r>
        <w:rPr>
          <w:rFonts w:hint="default" w:ascii="Times New Roman" w:hAnsi="Times New Roman" w:eastAsia="黑体" w:cs="Times New Roman"/>
        </w:rPr>
        <w:t>估价结果报告</w:t>
      </w:r>
      <w:bookmarkEnd w:id="13"/>
      <w:bookmarkEnd w:id="14"/>
      <w:bookmarkEnd w:id="15"/>
    </w:p>
    <w:p>
      <w:pPr>
        <w:spacing w:beforeLines="0" w:afterLines="0" w:line="360" w:lineRule="auto"/>
        <w:ind w:firstLine="562" w:firstLineChars="200"/>
        <w:contextualSpacing/>
        <w:outlineLvl w:val="1"/>
        <w:rPr>
          <w:rFonts w:ascii="Times New Roman" w:hAnsi="Times New Roman" w:eastAsia="仿宋_GB2312" w:cs="Times New Roman"/>
          <w:sz w:val="28"/>
          <w:szCs w:val="28"/>
        </w:rPr>
      </w:pPr>
      <w:bookmarkStart w:id="16" w:name="_Toc27086"/>
      <w:bookmarkStart w:id="17" w:name="_Toc10921"/>
      <w:bookmarkStart w:id="18" w:name="_Toc8189"/>
      <w:r>
        <w:rPr>
          <w:rStyle w:val="20"/>
          <w:rFonts w:hint="default" w:ascii="Times New Roman" w:hAnsi="Times New Roman" w:eastAsia="仿宋_GB2312" w:cs="Times New Roman"/>
          <w:bCs/>
          <w:sz w:val="28"/>
          <w:szCs w:val="28"/>
        </w:rPr>
        <w:t>一、估价委托人</w:t>
      </w:r>
      <w:bookmarkEnd w:id="12"/>
      <w:bookmarkEnd w:id="16"/>
      <w:bookmarkEnd w:id="17"/>
      <w:bookmarkEnd w:id="18"/>
    </w:p>
    <w:p>
      <w:pPr>
        <w:spacing w:beforeLines="0" w:afterLines="0" w:line="360" w:lineRule="auto"/>
        <w:ind w:firstLine="560" w:firstLineChars="200"/>
        <w:contextualSpacing/>
        <w:outlineLvl w:val="1"/>
        <w:rPr>
          <w:rFonts w:ascii="Times New Roman" w:hAnsi="Times New Roman" w:eastAsia="仿宋_GB2312" w:cs="Times New Roman"/>
          <w:sz w:val="28"/>
          <w:szCs w:val="28"/>
        </w:rPr>
      </w:pPr>
      <w:bookmarkStart w:id="19" w:name="_Toc22137"/>
      <w:bookmarkStart w:id="20" w:name="_Toc28069"/>
      <w:bookmarkStart w:id="21" w:name="_Toc457"/>
      <w:bookmarkStart w:id="22" w:name="_Toc278702609"/>
      <w:r>
        <w:rPr>
          <w:rFonts w:hint="default" w:ascii="Times New Roman" w:hAnsi="Times New Roman" w:eastAsia="仿宋_GB2312" w:cs="Times New Roman"/>
          <w:sz w:val="28"/>
          <w:szCs w:val="28"/>
        </w:rPr>
        <w:t>估价委托人：</w:t>
      </w:r>
      <w:bookmarkEnd w:id="19"/>
      <w:r>
        <w:rPr>
          <w:rFonts w:hint="default" w:ascii="Times New Roman" w:hAnsi="Times New Roman" w:eastAsia="仿宋_GB2312" w:cs="Times New Roman"/>
          <w:sz w:val="28"/>
          <w:szCs w:val="28"/>
          <w:lang w:eastAsia="zh-CN"/>
        </w:rPr>
        <w:t>潍坊市寒亭区人民法院</w:t>
      </w:r>
      <w:bookmarkEnd w:id="20"/>
      <w:bookmarkEnd w:id="21"/>
    </w:p>
    <w:p>
      <w:pPr>
        <w:spacing w:beforeLines="0" w:afterLines="0" w:line="360" w:lineRule="auto"/>
        <w:ind w:firstLine="562" w:firstLineChars="200"/>
        <w:contextualSpacing/>
        <w:outlineLvl w:val="1"/>
        <w:rPr>
          <w:rFonts w:ascii="Times New Roman" w:hAnsi="Times New Roman" w:eastAsia="仿宋_GB2312" w:cs="Times New Roman"/>
          <w:b/>
          <w:sz w:val="28"/>
          <w:szCs w:val="28"/>
        </w:rPr>
      </w:pPr>
      <w:bookmarkStart w:id="23" w:name="_Toc22619"/>
      <w:bookmarkStart w:id="24" w:name="_Toc19592"/>
      <w:bookmarkStart w:id="25" w:name="_Toc373"/>
      <w:r>
        <w:rPr>
          <w:rStyle w:val="20"/>
          <w:rFonts w:hint="default" w:ascii="Times New Roman" w:hAnsi="Times New Roman" w:eastAsia="仿宋_GB2312" w:cs="Times New Roman"/>
          <w:bCs/>
          <w:sz w:val="28"/>
          <w:szCs w:val="28"/>
        </w:rPr>
        <w:t>二、房地产估价机构</w:t>
      </w:r>
      <w:bookmarkEnd w:id="22"/>
      <w:bookmarkEnd w:id="23"/>
      <w:bookmarkEnd w:id="24"/>
      <w:bookmarkEnd w:id="25"/>
    </w:p>
    <w:p>
      <w:pPr>
        <w:spacing w:beforeLines="0" w:afterLines="0" w:line="360" w:lineRule="auto"/>
        <w:ind w:firstLine="560" w:firstLineChars="200"/>
        <w:contextualSpacing/>
        <w:rPr>
          <w:rFonts w:ascii="Times New Roman" w:hAnsi="Times New Roman" w:eastAsia="仿宋_GB2312" w:cs="Times New Roman"/>
          <w:bCs/>
          <w:sz w:val="28"/>
          <w:szCs w:val="28"/>
        </w:rPr>
      </w:pPr>
      <w:r>
        <w:rPr>
          <w:rFonts w:hint="default" w:ascii="Times New Roman" w:hAnsi="Times New Roman" w:eastAsia="仿宋_GB2312" w:cs="Times New Roman"/>
          <w:bCs/>
          <w:sz w:val="28"/>
          <w:szCs w:val="28"/>
        </w:rPr>
        <w:t>机构全称：山东富润土地房地产资产评估有限公司</w:t>
      </w:r>
    </w:p>
    <w:p>
      <w:pPr>
        <w:spacing w:beforeLines="0" w:afterLines="0" w:line="360" w:lineRule="auto"/>
        <w:ind w:firstLine="560" w:firstLineChars="200"/>
        <w:contextualSpacing/>
        <w:rPr>
          <w:rFonts w:ascii="Times New Roman" w:hAnsi="Times New Roman" w:eastAsia="仿宋_GB2312" w:cs="Times New Roman"/>
          <w:bCs/>
          <w:sz w:val="28"/>
          <w:szCs w:val="28"/>
        </w:rPr>
      </w:pPr>
      <w:r>
        <w:rPr>
          <w:rFonts w:hint="default" w:ascii="Times New Roman" w:hAnsi="Times New Roman" w:eastAsia="仿宋_GB2312" w:cs="Times New Roman"/>
          <w:bCs/>
          <w:sz w:val="28"/>
          <w:szCs w:val="28"/>
        </w:rPr>
        <w:t>法定代表人姓名：</w:t>
      </w:r>
      <w:r>
        <w:rPr>
          <w:rFonts w:hint="default" w:ascii="Times New Roman" w:hAnsi="Times New Roman" w:eastAsia="仿宋_GB2312" w:cs="Times New Roman"/>
          <w:bCs/>
          <w:sz w:val="28"/>
          <w:szCs w:val="28"/>
          <w:lang w:eastAsia="zh-CN"/>
        </w:rPr>
        <w:t>马建</w:t>
      </w:r>
    </w:p>
    <w:p>
      <w:pPr>
        <w:spacing w:beforeLines="0" w:afterLines="0" w:line="360" w:lineRule="auto"/>
        <w:ind w:firstLine="560" w:firstLineChars="200"/>
        <w:contextualSpacing/>
        <w:rPr>
          <w:rFonts w:ascii="Times New Roman" w:hAnsi="Times New Roman" w:eastAsia="仿宋_GB2312" w:cs="Times New Roman"/>
          <w:bCs/>
          <w:sz w:val="28"/>
          <w:szCs w:val="28"/>
        </w:rPr>
      </w:pPr>
      <w:r>
        <w:rPr>
          <w:rFonts w:hint="default" w:ascii="Times New Roman" w:hAnsi="Times New Roman" w:eastAsia="仿宋_GB2312" w:cs="Times New Roman"/>
          <w:bCs/>
          <w:sz w:val="28"/>
          <w:szCs w:val="28"/>
        </w:rPr>
        <w:t>机构住所：潍坊高新区玉泉路</w:t>
      </w:r>
      <w:r>
        <w:rPr>
          <w:rFonts w:ascii="Times New Roman" w:hAnsi="Times New Roman" w:eastAsia="仿宋_GB2312" w:cs="Times New Roman"/>
          <w:bCs/>
          <w:sz w:val="28"/>
          <w:szCs w:val="28"/>
        </w:rPr>
        <w:t>518</w:t>
      </w:r>
      <w:r>
        <w:rPr>
          <w:rFonts w:hint="default" w:ascii="Times New Roman" w:hAnsi="Times New Roman" w:eastAsia="仿宋_GB2312" w:cs="Times New Roman"/>
          <w:bCs/>
          <w:sz w:val="28"/>
          <w:szCs w:val="28"/>
        </w:rPr>
        <w:t>号清馨园第三孵化器玉清大厦</w:t>
      </w:r>
      <w:r>
        <w:rPr>
          <w:rFonts w:ascii="Times New Roman" w:hAnsi="Times New Roman" w:eastAsia="仿宋_GB2312" w:cs="Times New Roman"/>
          <w:bCs/>
          <w:sz w:val="28"/>
          <w:szCs w:val="28"/>
        </w:rPr>
        <w:t>1504</w:t>
      </w:r>
    </w:p>
    <w:p>
      <w:pPr>
        <w:spacing w:beforeLines="0" w:afterLines="0" w:line="360" w:lineRule="auto"/>
        <w:ind w:firstLine="560" w:firstLineChars="200"/>
        <w:contextualSpacing/>
        <w:rPr>
          <w:rFonts w:ascii="Times New Roman" w:hAnsi="Times New Roman" w:eastAsia="仿宋_GB2312" w:cs="Times New Roman"/>
          <w:bCs/>
          <w:sz w:val="28"/>
          <w:szCs w:val="28"/>
        </w:rPr>
      </w:pPr>
      <w:r>
        <w:rPr>
          <w:rFonts w:hint="default" w:ascii="Times New Roman" w:hAnsi="Times New Roman" w:eastAsia="仿宋_GB2312" w:cs="Times New Roman"/>
          <w:bCs/>
          <w:sz w:val="28"/>
          <w:szCs w:val="28"/>
        </w:rPr>
        <w:t>估价资质等级：二级</w:t>
      </w:r>
    </w:p>
    <w:p>
      <w:pPr>
        <w:spacing w:beforeLines="0" w:afterLines="0" w:line="360" w:lineRule="auto"/>
        <w:ind w:firstLine="560" w:firstLineChars="200"/>
        <w:contextualSpacing/>
        <w:rPr>
          <w:rFonts w:ascii="Times New Roman" w:hAnsi="Times New Roman" w:eastAsia="仿宋_GB2312" w:cs="Times New Roman"/>
          <w:bCs/>
          <w:sz w:val="28"/>
          <w:szCs w:val="28"/>
        </w:rPr>
      </w:pPr>
      <w:r>
        <w:rPr>
          <w:rFonts w:hint="default" w:ascii="Times New Roman" w:hAnsi="Times New Roman" w:eastAsia="仿宋_GB2312" w:cs="Times New Roman"/>
          <w:bCs/>
          <w:sz w:val="28"/>
          <w:szCs w:val="28"/>
        </w:rPr>
        <w:t>估价资质证书编号：鲁评</w:t>
      </w:r>
      <w:r>
        <w:rPr>
          <w:rFonts w:ascii="Times New Roman" w:hAnsi="Times New Roman" w:eastAsia="仿宋_GB2312" w:cs="Times New Roman"/>
          <w:bCs/>
          <w:sz w:val="28"/>
          <w:szCs w:val="28"/>
        </w:rPr>
        <w:t>072027</w:t>
      </w:r>
    </w:p>
    <w:p>
      <w:pPr>
        <w:spacing w:beforeLines="0" w:afterLines="0" w:line="360" w:lineRule="auto"/>
        <w:ind w:firstLine="562" w:firstLineChars="200"/>
        <w:contextualSpacing/>
        <w:outlineLvl w:val="1"/>
        <w:rPr>
          <w:rFonts w:ascii="Times New Roman" w:hAnsi="Times New Roman" w:eastAsia="仿宋_GB2312" w:cs="Times New Roman"/>
          <w:b/>
          <w:sz w:val="28"/>
          <w:szCs w:val="28"/>
        </w:rPr>
      </w:pPr>
      <w:bookmarkStart w:id="26" w:name="_Toc6916"/>
      <w:bookmarkStart w:id="27" w:name="_Toc10024"/>
      <w:bookmarkStart w:id="28" w:name="_Toc10527"/>
      <w:bookmarkStart w:id="29" w:name="_Toc278702610"/>
      <w:r>
        <w:rPr>
          <w:rStyle w:val="20"/>
          <w:rFonts w:hint="default" w:ascii="Times New Roman" w:hAnsi="Times New Roman" w:eastAsia="仿宋_GB2312" w:cs="Times New Roman"/>
          <w:bCs/>
          <w:sz w:val="28"/>
          <w:szCs w:val="28"/>
        </w:rPr>
        <w:t>三、估价目的</w:t>
      </w:r>
      <w:bookmarkEnd w:id="26"/>
      <w:bookmarkEnd w:id="27"/>
      <w:bookmarkEnd w:id="28"/>
    </w:p>
    <w:p>
      <w:pPr>
        <w:spacing w:beforeLines="0" w:afterLines="0" w:line="360" w:lineRule="auto"/>
        <w:ind w:left="559" w:leftChars="266" w:firstLine="0" w:firstLineChars="0"/>
        <w:contextualSpacing/>
        <w:outlineLvl w:val="1"/>
        <w:rPr>
          <w:rFonts w:ascii="Times New Roman" w:hAnsi="Times New Roman" w:eastAsia="仿宋_GB2312" w:cs="Times New Roman"/>
          <w:b/>
          <w:sz w:val="28"/>
          <w:szCs w:val="28"/>
        </w:rPr>
      </w:pP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lang w:eastAsia="zh-CN"/>
        </w:rPr>
        <w:t>法院执行案件提供价值参考依据而评估估价对象的市场价值</w:t>
      </w:r>
      <w:r>
        <w:rPr>
          <w:rFonts w:hint="default" w:ascii="Times New Roman" w:hAnsi="Times New Roman" w:eastAsia="仿宋_GB2312" w:cs="Times New Roman"/>
          <w:sz w:val="28"/>
          <w:szCs w:val="28"/>
        </w:rPr>
        <w:t>。</w:t>
      </w:r>
      <w:bookmarkStart w:id="30" w:name="_Toc15493"/>
      <w:bookmarkStart w:id="31" w:name="_Toc12639"/>
      <w:bookmarkStart w:id="32" w:name="_Toc12798"/>
      <w:r>
        <w:rPr>
          <w:rStyle w:val="20"/>
          <w:rFonts w:hint="default" w:ascii="Times New Roman" w:hAnsi="Times New Roman" w:eastAsia="仿宋_GB2312" w:cs="Times New Roman"/>
          <w:bCs/>
          <w:sz w:val="28"/>
          <w:szCs w:val="28"/>
        </w:rPr>
        <w:t>四、估价对象</w:t>
      </w:r>
      <w:bookmarkEnd w:id="29"/>
      <w:bookmarkEnd w:id="30"/>
      <w:bookmarkEnd w:id="31"/>
      <w:bookmarkEnd w:id="32"/>
    </w:p>
    <w:p>
      <w:pPr>
        <w:spacing w:beforeLines="0" w:afterLines="0" w:line="360" w:lineRule="auto"/>
        <w:ind w:firstLine="562" w:firstLineChars="200"/>
        <w:contextualSpacing/>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default" w:ascii="Times New Roman" w:hAnsi="Times New Roman" w:eastAsia="仿宋_GB2312" w:cs="Times New Roman"/>
          <w:b/>
          <w:sz w:val="28"/>
          <w:szCs w:val="28"/>
        </w:rPr>
        <w:t>、估价对象范围</w:t>
      </w:r>
    </w:p>
    <w:p>
      <w:pPr>
        <w:spacing w:beforeLines="0" w:afterLines="0" w:line="360" w:lineRule="auto"/>
        <w:ind w:firstLine="560" w:firstLineChars="200"/>
        <w:contextualSpacing/>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根据</w:t>
      </w:r>
      <w:r>
        <w:rPr>
          <w:rFonts w:hint="default" w:ascii="Times New Roman" w:hAnsi="Times New Roman" w:eastAsia="仿宋_GB2312" w:cs="Times New Roman"/>
          <w:sz w:val="28"/>
          <w:szCs w:val="28"/>
          <w:lang w:eastAsia="zh-CN"/>
        </w:rPr>
        <w:t>委托人</w:t>
      </w:r>
      <w:r>
        <w:rPr>
          <w:rFonts w:hint="default" w:ascii="Times New Roman" w:hAnsi="Times New Roman" w:eastAsia="仿宋_GB2312" w:cs="Times New Roman"/>
          <w:sz w:val="28"/>
          <w:szCs w:val="28"/>
        </w:rPr>
        <w:t>提供的</w:t>
      </w:r>
      <w:r>
        <w:rPr>
          <w:rFonts w:hint="default" w:ascii="Times New Roman" w:hAnsi="Times New Roman" w:eastAsia="仿宋_GB2312" w:cs="Times New Roman"/>
          <w:sz w:val="28"/>
          <w:szCs w:val="28"/>
          <w:lang w:eastAsia="zh-CN"/>
        </w:rPr>
        <w:t>潍坊市寒亭区人民法院（</w:t>
      </w:r>
      <w:r>
        <w:rPr>
          <w:rFonts w:hint="default" w:ascii="Times New Roman" w:hAnsi="Times New Roman" w:eastAsia="仿宋_GB2312" w:cs="Times New Roman"/>
          <w:sz w:val="28"/>
          <w:szCs w:val="28"/>
          <w:lang w:val="en-US" w:eastAsia="zh-CN"/>
        </w:rPr>
        <w:t>2018</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highlight w:val="none"/>
          <w:lang w:eastAsia="zh-CN"/>
        </w:rPr>
        <w:t>寒</w:t>
      </w:r>
      <w:r>
        <w:rPr>
          <w:rFonts w:hint="default" w:ascii="Times New Roman" w:hAnsi="Times New Roman" w:eastAsia="仿宋_GB2312" w:cs="Times New Roman"/>
          <w:sz w:val="28"/>
          <w:szCs w:val="28"/>
          <w:highlight w:val="none"/>
          <w:lang w:val="en-US" w:eastAsia="zh-CN"/>
        </w:rPr>
        <w:t>法技评字第0186</w:t>
      </w:r>
      <w:r>
        <w:rPr>
          <w:rFonts w:hint="default" w:ascii="Times New Roman" w:hAnsi="Times New Roman" w:eastAsia="仿宋_GB2312" w:cs="Times New Roman"/>
          <w:sz w:val="28"/>
          <w:szCs w:val="28"/>
          <w:lang w:val="en-US" w:eastAsia="zh-CN"/>
        </w:rPr>
        <w:t>号</w:t>
      </w:r>
      <w:r>
        <w:rPr>
          <w:rFonts w:hint="default" w:ascii="Times New Roman" w:hAnsi="Times New Roman" w:eastAsia="仿宋_GB2312" w:cs="Times New Roman"/>
          <w:sz w:val="28"/>
          <w:szCs w:val="28"/>
        </w:rPr>
        <w:t>《鉴定委托函》</w:t>
      </w:r>
      <w:r>
        <w:rPr>
          <w:rFonts w:hint="default" w:ascii="Times New Roman" w:hAnsi="Times New Roman" w:eastAsia="仿宋_GB2312" w:cs="Times New Roman"/>
          <w:sz w:val="28"/>
          <w:szCs w:val="28"/>
          <w:lang w:eastAsia="zh-CN"/>
        </w:rPr>
        <w:t>及《司法鉴定委托书》</w:t>
      </w:r>
      <w:r>
        <w:rPr>
          <w:rFonts w:hint="default" w:ascii="Times New Roman" w:hAnsi="Times New Roman" w:eastAsia="仿宋_GB2312" w:cs="Times New Roman"/>
          <w:sz w:val="28"/>
          <w:szCs w:val="28"/>
        </w:rPr>
        <w:t>等有关资料，本次估价对象为</w:t>
      </w:r>
      <w:r>
        <w:rPr>
          <w:rFonts w:hint="default" w:ascii="Times New Roman" w:hAnsi="Times New Roman" w:eastAsia="仿宋_GB2312" w:cs="Times New Roman"/>
          <w:sz w:val="28"/>
          <w:szCs w:val="28"/>
          <w:lang w:eastAsia="zh-CN"/>
        </w:rPr>
        <w:t>被申请人潍坊舜邦置业有限公司名下的位于潍坊市寒亭区泰祥东街1709号龙居家园4号楼2-502</w:t>
      </w:r>
      <w:r>
        <w:rPr>
          <w:rFonts w:hint="default" w:ascii="Times New Roman" w:hAnsi="Times New Roman" w:eastAsia="仿宋_GB2312" w:cs="Times New Roman"/>
          <w:sz w:val="28"/>
          <w:szCs w:val="28"/>
          <w:lang w:val="en-US" w:eastAsia="zh-CN"/>
        </w:rPr>
        <w:t>室、5号楼1-201室两处</w:t>
      </w:r>
      <w:r>
        <w:rPr>
          <w:rFonts w:hint="default" w:ascii="Times New Roman" w:hAnsi="Times New Roman" w:eastAsia="仿宋_GB2312" w:cs="Times New Roman"/>
          <w:sz w:val="28"/>
          <w:szCs w:val="28"/>
          <w:lang w:eastAsia="zh-CN"/>
        </w:rPr>
        <w:t>住宅房地产。</w:t>
      </w:r>
    </w:p>
    <w:p>
      <w:pPr>
        <w:spacing w:beforeLines="0" w:afterLines="0" w:line="360" w:lineRule="auto"/>
        <w:ind w:firstLine="562" w:firstLineChars="200"/>
        <w:contextualSpacing/>
        <w:rPr>
          <w:rFonts w:ascii="Times New Roman" w:hAnsi="Times New Roman" w:eastAsia="仿宋_GB2312" w:cs="Times New Roman"/>
          <w:sz w:val="28"/>
          <w:szCs w:val="28"/>
        </w:rPr>
      </w:pPr>
      <w:r>
        <w:rPr>
          <w:rFonts w:ascii="Times New Roman" w:hAnsi="Times New Roman" w:eastAsia="仿宋_GB2312" w:cs="Times New Roman"/>
          <w:b/>
          <w:sz w:val="28"/>
          <w:szCs w:val="28"/>
        </w:rPr>
        <w:t>2</w:t>
      </w:r>
      <w:r>
        <w:rPr>
          <w:rFonts w:hint="default" w:ascii="Times New Roman" w:hAnsi="Times New Roman" w:eastAsia="仿宋_GB2312" w:cs="Times New Roman"/>
          <w:b/>
          <w:sz w:val="28"/>
          <w:szCs w:val="28"/>
        </w:rPr>
        <w:t>、估价对象基本状况</w:t>
      </w:r>
      <w:r>
        <w:rPr>
          <w:rFonts w:ascii="Times New Roman" w:hAnsi="Times New Roman" w:eastAsia="仿宋_GB2312" w:cs="Times New Roman"/>
          <w:sz w:val="28"/>
          <w:szCs w:val="28"/>
        </w:rPr>
        <w:t xml:space="preserve"> </w:t>
      </w:r>
    </w:p>
    <w:p>
      <w:pPr>
        <w:spacing w:line="360" w:lineRule="auto"/>
        <w:ind w:firstLine="57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估价对象</w:t>
      </w:r>
      <w:r>
        <w:rPr>
          <w:rFonts w:hint="default" w:ascii="Times New Roman" w:hAnsi="Times New Roman" w:eastAsia="仿宋_GB2312" w:cs="Times New Roman"/>
          <w:sz w:val="28"/>
          <w:szCs w:val="28"/>
          <w:lang w:eastAsia="zh-CN"/>
        </w:rPr>
        <w:t>为潍坊舜邦置业有限公司所有的</w:t>
      </w:r>
      <w:r>
        <w:rPr>
          <w:rFonts w:hint="default" w:ascii="Times New Roman" w:hAnsi="Times New Roman" w:eastAsia="仿宋_GB2312" w:cs="Times New Roman"/>
          <w:sz w:val="28"/>
          <w:szCs w:val="28"/>
        </w:rPr>
        <w:t>住宅房地产</w:t>
      </w:r>
      <w:r>
        <w:rPr>
          <w:rFonts w:hint="default" w:ascii="Times New Roman" w:hAnsi="Times New Roman" w:eastAsia="仿宋_GB2312" w:cs="Times New Roman"/>
          <w:sz w:val="28"/>
          <w:szCs w:val="28"/>
          <w:lang w:eastAsia="zh-CN"/>
        </w:rPr>
        <w:t>两处，基本状况为：</w:t>
      </w:r>
    </w:p>
    <w:p>
      <w:pPr>
        <w:spacing w:line="360" w:lineRule="auto"/>
        <w:ind w:firstLine="57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）潍坊市寒亭区龙居家园4号楼2-502住宅房地产</w:t>
      </w:r>
    </w:p>
    <w:p>
      <w:pPr>
        <w:spacing w:line="360" w:lineRule="auto"/>
        <w:ind w:firstLine="57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潍坊市寒亭区泰祥东街1709号龙居家园4号楼2单元西502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幢号为</w:t>
      </w:r>
      <w:r>
        <w:rPr>
          <w:rFonts w:hint="default" w:ascii="Times New Roman" w:hAnsi="Times New Roman" w:eastAsia="仿宋_GB2312" w:cs="Times New Roman"/>
          <w:sz w:val="28"/>
          <w:szCs w:val="28"/>
          <w:lang w:val="en-US" w:eastAsia="zh-CN"/>
        </w:rPr>
        <w:t>4号楼，规划用途为住宅，证载</w:t>
      </w:r>
      <w:r>
        <w:rPr>
          <w:rFonts w:hint="default" w:ascii="Times New Roman" w:hAnsi="Times New Roman" w:eastAsia="仿宋_GB2312" w:cs="Times New Roman"/>
          <w:sz w:val="28"/>
          <w:szCs w:val="28"/>
        </w:rPr>
        <w:t>建筑面积</w:t>
      </w:r>
      <w:r>
        <w:rPr>
          <w:rFonts w:hint="default" w:ascii="Times New Roman" w:hAnsi="Times New Roman" w:eastAsia="仿宋_GB2312" w:cs="Times New Roman"/>
          <w:sz w:val="28"/>
          <w:szCs w:val="28"/>
          <w:lang w:val="en-US" w:eastAsia="zh-CN"/>
        </w:rPr>
        <w:t>132.79</w:t>
      </w:r>
      <w:r>
        <w:rPr>
          <w:rFonts w:hint="default" w:ascii="Times New Roman" w:hAnsi="Times New Roman" w:eastAsia="仿宋_GB2312" w:cs="Times New Roman"/>
          <w:sz w:val="28"/>
          <w:szCs w:val="28"/>
        </w:rPr>
        <w:t>平方米</w:t>
      </w:r>
      <w:r>
        <w:rPr>
          <w:rFonts w:hint="default" w:ascii="Times New Roman" w:hAnsi="Times New Roman" w:eastAsia="仿宋_GB2312" w:cs="Times New Roman"/>
          <w:sz w:val="28"/>
          <w:szCs w:val="28"/>
          <w:lang w:eastAsia="zh-CN"/>
        </w:rPr>
        <w:t>（未包含阁楼部分面积）</w:t>
      </w:r>
      <w:r>
        <w:rPr>
          <w:rFonts w:hint="default" w:ascii="Times New Roman" w:hAnsi="Times New Roman" w:eastAsia="仿宋_GB2312" w:cs="Times New Roman"/>
          <w:sz w:val="28"/>
          <w:szCs w:val="28"/>
          <w:lang w:val="en-US" w:eastAsia="zh-CN"/>
        </w:rPr>
        <w:t>。</w:t>
      </w:r>
    </w:p>
    <w:p>
      <w:pPr>
        <w:spacing w:line="360" w:lineRule="auto"/>
        <w:ind w:firstLine="57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（2）潍坊市寒亭区龙居家园5号楼1-201住宅</w:t>
      </w:r>
      <w:r>
        <w:rPr>
          <w:rFonts w:hint="default" w:ascii="Times New Roman" w:hAnsi="Times New Roman" w:eastAsia="仿宋_GB2312" w:cs="Times New Roman"/>
          <w:sz w:val="28"/>
          <w:szCs w:val="28"/>
          <w:lang w:eastAsia="zh-CN"/>
        </w:rPr>
        <w:t>房地产</w:t>
      </w:r>
    </w:p>
    <w:p>
      <w:pPr>
        <w:spacing w:line="360" w:lineRule="auto"/>
        <w:ind w:firstLine="57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潍坊市寒亭区泰祥东街1709号龙居家园5号楼1单元东201，</w:t>
      </w:r>
      <w:r>
        <w:rPr>
          <w:rFonts w:hint="default" w:ascii="Times New Roman" w:hAnsi="Times New Roman" w:eastAsia="仿宋_GB2312" w:cs="Times New Roman"/>
          <w:sz w:val="28"/>
          <w:szCs w:val="28"/>
          <w:lang w:eastAsia="zh-CN"/>
        </w:rPr>
        <w:t>幢号为</w:t>
      </w:r>
      <w:r>
        <w:rPr>
          <w:rFonts w:hint="default" w:ascii="Times New Roman" w:hAnsi="Times New Roman" w:eastAsia="仿宋_GB2312" w:cs="Times New Roman"/>
          <w:sz w:val="28"/>
          <w:szCs w:val="28"/>
          <w:lang w:val="en-US" w:eastAsia="zh-CN"/>
        </w:rPr>
        <w:t>5号楼，规划用途为</w:t>
      </w:r>
      <w:r>
        <w:rPr>
          <w:rFonts w:hint="default" w:ascii="Times New Roman" w:hAnsi="Times New Roman" w:eastAsia="仿宋_GB2312" w:cs="Times New Roman"/>
          <w:sz w:val="28"/>
          <w:szCs w:val="28"/>
          <w:lang w:eastAsia="zh-CN"/>
        </w:rPr>
        <w:t>住宅</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建筑面积</w:t>
      </w:r>
      <w:r>
        <w:rPr>
          <w:rFonts w:hint="default" w:ascii="Times New Roman" w:hAnsi="Times New Roman" w:eastAsia="仿宋_GB2312" w:cs="Times New Roman"/>
          <w:sz w:val="28"/>
          <w:szCs w:val="28"/>
          <w:lang w:val="en-US" w:eastAsia="zh-CN"/>
        </w:rPr>
        <w:t>90.30平方米。</w:t>
      </w:r>
    </w:p>
    <w:p>
      <w:pPr>
        <w:spacing w:beforeLines="0" w:afterLines="0" w:line="360" w:lineRule="auto"/>
        <w:ind w:firstLine="562" w:firstLineChars="200"/>
        <w:contextualSpacing/>
        <w:rPr>
          <w:rFonts w:ascii="Times New Roman" w:hAnsi="Times New Roman" w:eastAsia="仿宋_GB2312" w:cs="Times New Roman"/>
          <w:b/>
          <w:sz w:val="28"/>
          <w:szCs w:val="28"/>
        </w:rPr>
      </w:pPr>
      <w:r>
        <w:rPr>
          <w:rFonts w:ascii="Times New Roman" w:hAnsi="Times New Roman" w:eastAsia="仿宋_GB2312" w:cs="Times New Roman"/>
          <w:b/>
          <w:sz w:val="28"/>
          <w:szCs w:val="28"/>
        </w:rPr>
        <w:t>3</w:t>
      </w:r>
      <w:r>
        <w:rPr>
          <w:rFonts w:hint="default" w:ascii="Times New Roman" w:hAnsi="Times New Roman" w:eastAsia="仿宋_GB2312" w:cs="Times New Roman"/>
          <w:b/>
          <w:sz w:val="28"/>
          <w:szCs w:val="28"/>
        </w:rPr>
        <w:t>、估价对象权属状况</w:t>
      </w:r>
    </w:p>
    <w:p>
      <w:pPr>
        <w:spacing w:beforeLines="0" w:afterLines="0" w:line="360" w:lineRule="auto"/>
        <w:ind w:firstLine="560" w:firstLineChars="200"/>
        <w:contextualSpacing/>
        <w:rPr>
          <w:rFonts w:hint="default" w:ascii="Times New Roman" w:hAnsi="Times New Roman" w:eastAsia="仿宋_GB2312" w:cs="Times New Roman"/>
          <w:sz w:val="28"/>
          <w:szCs w:val="28"/>
          <w:highlight w:val="none"/>
          <w:lang w:eastAsia="zh-CN"/>
        </w:rPr>
      </w:pPr>
      <w:bookmarkStart w:id="33" w:name="_Toc20655"/>
      <w:r>
        <w:rPr>
          <w:rFonts w:hint="default" w:ascii="Times New Roman" w:hAnsi="Times New Roman" w:eastAsia="仿宋_GB2312" w:cs="Times New Roman"/>
          <w:sz w:val="28"/>
          <w:szCs w:val="28"/>
          <w:highlight w:val="none"/>
          <w:lang w:eastAsia="zh-CN"/>
        </w:rPr>
        <w:t>根据委托人提供的《查档证明》以及被申请人提供的国有土地使用权证，土地使用权证号为潍国用（</w:t>
      </w:r>
      <w:r>
        <w:rPr>
          <w:rFonts w:hint="default" w:ascii="Times New Roman" w:hAnsi="Times New Roman" w:eastAsia="仿宋_GB2312" w:cs="Times New Roman"/>
          <w:sz w:val="28"/>
          <w:szCs w:val="28"/>
          <w:highlight w:val="none"/>
          <w:lang w:val="en-US" w:eastAsia="zh-CN"/>
        </w:rPr>
        <w:t>2010</w:t>
      </w:r>
      <w:r>
        <w:rPr>
          <w:rFonts w:hint="default" w:ascii="Times New Roman" w:hAnsi="Times New Roman" w:eastAsia="仿宋_GB2312" w:cs="Times New Roman"/>
          <w:sz w:val="28"/>
          <w:szCs w:val="28"/>
          <w:highlight w:val="none"/>
          <w:lang w:eastAsia="zh-CN"/>
        </w:rPr>
        <w:t>）第</w:t>
      </w:r>
      <w:r>
        <w:rPr>
          <w:rFonts w:hint="default" w:ascii="Times New Roman" w:hAnsi="Times New Roman" w:eastAsia="仿宋_GB2312" w:cs="Times New Roman"/>
          <w:sz w:val="28"/>
          <w:szCs w:val="28"/>
          <w:highlight w:val="none"/>
          <w:lang w:val="en-US" w:eastAsia="zh-CN"/>
        </w:rPr>
        <w:t>C124号，</w:t>
      </w:r>
      <w:r>
        <w:rPr>
          <w:rFonts w:hint="default" w:ascii="Times New Roman" w:hAnsi="Times New Roman" w:eastAsia="仿宋_GB2312" w:cs="Times New Roman"/>
          <w:sz w:val="28"/>
          <w:szCs w:val="28"/>
          <w:highlight w:val="none"/>
          <w:lang w:eastAsia="zh-CN"/>
        </w:rPr>
        <w:t>土地使用权人为</w:t>
      </w:r>
      <w:r>
        <w:rPr>
          <w:rFonts w:hint="default" w:ascii="Times New Roman" w:hAnsi="Times New Roman" w:eastAsia="仿宋_GB2312" w:cs="Times New Roman"/>
          <w:sz w:val="28"/>
          <w:szCs w:val="28"/>
          <w:lang w:eastAsia="zh-CN"/>
        </w:rPr>
        <w:t>潍坊舜邦置业有限公司，</w:t>
      </w:r>
      <w:r>
        <w:rPr>
          <w:rFonts w:hint="default" w:ascii="Times New Roman" w:hAnsi="Times New Roman" w:eastAsia="仿宋_GB2312" w:cs="Times New Roman"/>
          <w:sz w:val="28"/>
          <w:szCs w:val="28"/>
          <w:highlight w:val="none"/>
          <w:lang w:eastAsia="zh-CN"/>
        </w:rPr>
        <w:t>该宗地位于东杨家埠村西、国有土地北，</w:t>
      </w:r>
      <w:r>
        <w:rPr>
          <w:rFonts w:hint="default" w:ascii="Times New Roman" w:hAnsi="Times New Roman" w:eastAsia="仿宋_GB2312" w:cs="Times New Roman"/>
          <w:sz w:val="28"/>
          <w:szCs w:val="28"/>
          <w:lang w:eastAsia="zh-CN"/>
        </w:rPr>
        <w:t>土地用途</w:t>
      </w:r>
      <w:r>
        <w:rPr>
          <w:rFonts w:hint="default" w:ascii="Times New Roman" w:hAnsi="Times New Roman" w:eastAsia="仿宋_GB2312" w:cs="Times New Roman"/>
          <w:sz w:val="28"/>
          <w:szCs w:val="28"/>
          <w:highlight w:val="none"/>
          <w:lang w:eastAsia="zh-CN"/>
        </w:rPr>
        <w:t>为城镇住宅用地，使用权类型为出让，使用权面积为</w:t>
      </w:r>
      <w:r>
        <w:rPr>
          <w:rFonts w:hint="default" w:ascii="Times New Roman" w:hAnsi="Times New Roman" w:eastAsia="仿宋_GB2312" w:cs="Times New Roman"/>
          <w:sz w:val="28"/>
          <w:szCs w:val="28"/>
          <w:highlight w:val="none"/>
          <w:lang w:val="en-US" w:eastAsia="zh-CN"/>
        </w:rPr>
        <w:t>10040㎡，终止日期为2080年2月2日</w:t>
      </w:r>
      <w:r>
        <w:rPr>
          <w:rFonts w:hint="default" w:ascii="Times New Roman" w:hAnsi="Times New Roman" w:eastAsia="仿宋_GB2312" w:cs="Times New Roman"/>
          <w:sz w:val="28"/>
          <w:szCs w:val="28"/>
          <w:highlight w:val="none"/>
          <w:lang w:eastAsia="zh-CN"/>
        </w:rPr>
        <w:t>。</w:t>
      </w:r>
    </w:p>
    <w:p>
      <w:pPr>
        <w:spacing w:beforeLines="0" w:afterLines="0" w:line="360" w:lineRule="auto"/>
        <w:ind w:firstLine="560" w:firstLineChars="200"/>
        <w:contextualSpacing/>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）潍坊市寒亭区泰祥东街1709号龙居家园4号楼2-502住宅</w:t>
      </w:r>
    </w:p>
    <w:p>
      <w:pPr>
        <w:spacing w:beforeLines="0" w:afterLines="0" w:line="360" w:lineRule="auto"/>
        <w:ind w:firstLine="560" w:firstLineChars="200"/>
        <w:contextualSpacing/>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szCs w:val="28"/>
          <w:lang w:eastAsia="zh-CN"/>
        </w:rPr>
        <w:t>估价对象①为</w:t>
      </w:r>
      <w:r>
        <w:rPr>
          <w:rFonts w:hint="default" w:ascii="Times New Roman" w:hAnsi="Times New Roman" w:eastAsia="仿宋_GB2312" w:cs="Times New Roman"/>
          <w:sz w:val="28"/>
          <w:szCs w:val="28"/>
        </w:rPr>
        <w:t>位于</w:t>
      </w:r>
      <w:r>
        <w:rPr>
          <w:rFonts w:hint="default" w:ascii="Times New Roman" w:hAnsi="Times New Roman" w:eastAsia="仿宋_GB2312" w:cs="Times New Roman"/>
          <w:sz w:val="28"/>
          <w:szCs w:val="28"/>
          <w:lang w:eastAsia="zh-CN"/>
        </w:rPr>
        <w:t>潍坊市寒亭区泰祥东街1709号龙居家园4号楼2单元西502室，幢号为</w:t>
      </w:r>
      <w:r>
        <w:rPr>
          <w:rFonts w:hint="default" w:ascii="Times New Roman" w:hAnsi="Times New Roman" w:eastAsia="仿宋_GB2312" w:cs="Times New Roman"/>
          <w:sz w:val="28"/>
          <w:szCs w:val="28"/>
          <w:lang w:val="en-US" w:eastAsia="zh-CN"/>
        </w:rPr>
        <w:t>4号楼，</w:t>
      </w:r>
      <w:r>
        <w:rPr>
          <w:rFonts w:hint="default" w:ascii="Times New Roman" w:hAnsi="Times New Roman" w:eastAsia="仿宋_GB2312" w:cs="Times New Roman"/>
          <w:sz w:val="28"/>
          <w:szCs w:val="28"/>
          <w:lang w:eastAsia="zh-CN"/>
        </w:rPr>
        <w:t>房屋所有权人为潍坊舜邦置业有限公司，规划用途为住宅，证载</w:t>
      </w:r>
      <w:r>
        <w:rPr>
          <w:rFonts w:hint="default" w:ascii="Times New Roman" w:hAnsi="Times New Roman" w:eastAsia="仿宋_GB2312" w:cs="Times New Roman"/>
          <w:sz w:val="28"/>
          <w:szCs w:val="28"/>
          <w:lang w:val="en-US" w:eastAsia="zh-CN"/>
        </w:rPr>
        <w:t>建筑面积132.79平方米，未抵押，已查封</w:t>
      </w:r>
      <w:r>
        <w:rPr>
          <w:rFonts w:hint="default" w:ascii="Times New Roman" w:hAnsi="Times New Roman" w:eastAsia="仿宋_GB2312" w:cs="Times New Roman"/>
          <w:sz w:val="28"/>
          <w:lang w:val="en-US" w:eastAsia="zh-CN"/>
        </w:rPr>
        <w:t>。</w:t>
      </w:r>
    </w:p>
    <w:p>
      <w:pPr>
        <w:spacing w:beforeLines="0" w:afterLines="0" w:line="360" w:lineRule="auto"/>
        <w:ind w:firstLine="560" w:firstLineChars="200"/>
        <w:contextualSpacing/>
        <w:rPr>
          <w:rFonts w:hint="default" w:ascii="Times New Roman" w:hAnsi="Times New Roman" w:eastAsia="仿宋_GB2312" w:cs="Times New Roman"/>
          <w:sz w:val="28"/>
        </w:rPr>
      </w:pPr>
      <w:r>
        <w:rPr>
          <w:rFonts w:hint="default" w:ascii="Times New Roman" w:hAnsi="Times New Roman" w:eastAsia="仿宋_GB2312" w:cs="Times New Roman"/>
          <w:sz w:val="28"/>
          <w:lang w:val="en-US" w:eastAsia="zh-CN"/>
        </w:rPr>
        <w:t>查封情况：</w:t>
      </w:r>
      <w:r>
        <w:rPr>
          <w:rFonts w:hint="default" w:ascii="Times New Roman" w:hAnsi="Times New Roman" w:eastAsia="仿宋_GB2312" w:cs="Times New Roman"/>
          <w:sz w:val="28"/>
          <w:lang w:eastAsia="zh-CN"/>
        </w:rPr>
        <w:t>申请执行人山东省潍坊市寒亭区人民法院，被查封人潍坊舜邦置业有限公司。查封来文字号为</w:t>
      </w:r>
      <w:r>
        <w:rPr>
          <w:rFonts w:hint="default" w:ascii="Times New Roman" w:hAnsi="Times New Roman" w:eastAsia="仿宋_GB2312" w:cs="Times New Roman"/>
          <w:sz w:val="28"/>
          <w:lang w:val="en-US" w:eastAsia="zh-CN"/>
        </w:rPr>
        <w:t>2013寒民三初</w:t>
      </w:r>
      <w:r>
        <w:rPr>
          <w:rFonts w:hint="default" w:ascii="Times New Roman" w:hAnsi="Times New Roman" w:eastAsia="仿宋_GB2312" w:cs="Times New Roman"/>
          <w:sz w:val="28"/>
          <w:lang w:eastAsia="zh-CN"/>
        </w:rPr>
        <w:t>字第</w:t>
      </w:r>
      <w:r>
        <w:rPr>
          <w:rFonts w:hint="default" w:ascii="Times New Roman" w:hAnsi="Times New Roman" w:eastAsia="仿宋_GB2312" w:cs="Times New Roman"/>
          <w:sz w:val="28"/>
          <w:lang w:val="en-US" w:eastAsia="zh-CN"/>
        </w:rPr>
        <w:t>421号</w:t>
      </w:r>
      <w:r>
        <w:rPr>
          <w:rFonts w:hint="default" w:ascii="Times New Roman" w:hAnsi="Times New Roman" w:eastAsia="仿宋_GB2312" w:cs="Times New Roman"/>
          <w:sz w:val="28"/>
        </w:rPr>
        <w:t>，起始日期</w:t>
      </w:r>
      <w:r>
        <w:rPr>
          <w:rFonts w:hint="default" w:ascii="Times New Roman" w:hAnsi="Times New Roman" w:eastAsia="仿宋_GB2312" w:cs="Times New Roman"/>
          <w:sz w:val="28"/>
          <w:lang w:val="en-US" w:eastAsia="zh-CN"/>
        </w:rPr>
        <w:t>2016年07月15日</w:t>
      </w:r>
      <w:r>
        <w:rPr>
          <w:rFonts w:hint="default" w:ascii="Times New Roman" w:hAnsi="Times New Roman" w:eastAsia="仿宋_GB2312" w:cs="Times New Roman"/>
          <w:sz w:val="28"/>
        </w:rPr>
        <w:t>，</w:t>
      </w:r>
      <w:r>
        <w:rPr>
          <w:rFonts w:hint="default" w:ascii="Times New Roman" w:hAnsi="Times New Roman" w:eastAsia="仿宋_GB2312" w:cs="Times New Roman"/>
          <w:sz w:val="28"/>
          <w:lang w:eastAsia="zh-CN"/>
        </w:rPr>
        <w:t>终止日期</w:t>
      </w:r>
      <w:r>
        <w:rPr>
          <w:rFonts w:hint="default" w:ascii="Times New Roman" w:hAnsi="Times New Roman" w:eastAsia="仿宋_GB2312" w:cs="Times New Roman"/>
          <w:sz w:val="28"/>
          <w:lang w:val="en-US" w:eastAsia="zh-CN"/>
        </w:rPr>
        <w:t>2019年07月14日；</w:t>
      </w:r>
      <w:r>
        <w:rPr>
          <w:rFonts w:hint="default" w:ascii="Times New Roman" w:hAnsi="Times New Roman" w:eastAsia="仿宋_GB2312" w:cs="Times New Roman"/>
          <w:sz w:val="28"/>
          <w:lang w:eastAsia="zh-CN"/>
        </w:rPr>
        <w:t>申请执行人山东省潍坊市寒亭区人民法院，被查封人潍坊舜邦置业有限公司。查封来文字号为</w:t>
      </w:r>
      <w:r>
        <w:rPr>
          <w:rFonts w:hint="default" w:ascii="Times New Roman" w:hAnsi="Times New Roman" w:eastAsia="仿宋_GB2312" w:cs="Times New Roman"/>
          <w:sz w:val="28"/>
          <w:lang w:val="en-US" w:eastAsia="zh-CN"/>
        </w:rPr>
        <w:t>（2013）寒民初</w:t>
      </w:r>
      <w:r>
        <w:rPr>
          <w:rFonts w:hint="default" w:ascii="Times New Roman" w:hAnsi="Times New Roman" w:eastAsia="仿宋_GB2312" w:cs="Times New Roman"/>
          <w:sz w:val="28"/>
          <w:lang w:eastAsia="zh-CN"/>
        </w:rPr>
        <w:t>字第</w:t>
      </w:r>
      <w:r>
        <w:rPr>
          <w:rFonts w:hint="default" w:ascii="Times New Roman" w:hAnsi="Times New Roman" w:eastAsia="仿宋_GB2312" w:cs="Times New Roman"/>
          <w:sz w:val="28"/>
          <w:lang w:val="en-US" w:eastAsia="zh-CN"/>
        </w:rPr>
        <w:t>421号</w:t>
      </w:r>
      <w:r>
        <w:rPr>
          <w:rFonts w:hint="default" w:ascii="Times New Roman" w:hAnsi="Times New Roman" w:eastAsia="仿宋_GB2312" w:cs="Times New Roman"/>
          <w:sz w:val="28"/>
        </w:rPr>
        <w:t>，起始日期</w:t>
      </w:r>
      <w:r>
        <w:rPr>
          <w:rFonts w:hint="default" w:ascii="Times New Roman" w:hAnsi="Times New Roman" w:eastAsia="仿宋_GB2312" w:cs="Times New Roman"/>
          <w:sz w:val="28"/>
          <w:lang w:val="en-US" w:eastAsia="zh-CN"/>
        </w:rPr>
        <w:t>2014年09月05日，终止日期2016年09月04日</w:t>
      </w:r>
      <w:r>
        <w:rPr>
          <w:rFonts w:hint="default" w:ascii="Times New Roman" w:hAnsi="Times New Roman" w:eastAsia="仿宋_GB2312" w:cs="Times New Roman"/>
          <w:sz w:val="28"/>
        </w:rPr>
        <w:t>。</w:t>
      </w:r>
    </w:p>
    <w:p>
      <w:pPr>
        <w:spacing w:beforeLines="0" w:afterLines="0" w:line="360" w:lineRule="auto"/>
        <w:ind w:firstLine="560" w:firstLineChars="200"/>
        <w:contextualSpacing/>
        <w:rPr>
          <w:rFonts w:hint="default" w:ascii="Times New Roman" w:hAnsi="Times New Roman" w:eastAsia="仿宋_GB2312" w:cs="Times New Roman"/>
          <w:sz w:val="28"/>
          <w:lang w:eastAsia="zh-CN"/>
        </w:rPr>
      </w:pP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潍坊市寒亭区泰祥东街1709号龙居家园</w:t>
      </w:r>
      <w:r>
        <w:rPr>
          <w:rFonts w:hint="default" w:ascii="Times New Roman" w:hAnsi="Times New Roman" w:eastAsia="仿宋_GB2312" w:cs="Times New Roman"/>
          <w:sz w:val="28"/>
          <w:szCs w:val="28"/>
          <w:lang w:val="en-US" w:eastAsia="zh-CN"/>
        </w:rPr>
        <w:t>5号楼1-201</w:t>
      </w:r>
      <w:r>
        <w:rPr>
          <w:rFonts w:hint="default" w:ascii="Times New Roman" w:hAnsi="Times New Roman" w:eastAsia="仿宋_GB2312" w:cs="Times New Roman"/>
          <w:sz w:val="28"/>
          <w:lang w:eastAsia="zh-CN"/>
        </w:rPr>
        <w:t>住宅</w:t>
      </w:r>
    </w:p>
    <w:p>
      <w:pPr>
        <w:spacing w:beforeLines="0" w:afterLines="0" w:line="360" w:lineRule="auto"/>
        <w:ind w:firstLine="560" w:firstLineChars="200"/>
        <w:contextualSpacing/>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eastAsia="zh-CN"/>
        </w:rPr>
        <w:t>估价对</w:t>
      </w:r>
      <w:r>
        <w:rPr>
          <w:rFonts w:hint="default" w:ascii="Times New Roman" w:hAnsi="Times New Roman" w:eastAsia="仿宋_GB2312" w:cs="Times New Roman"/>
          <w:sz w:val="28"/>
          <w:szCs w:val="28"/>
          <w:lang w:eastAsia="zh-CN"/>
        </w:rPr>
        <w:t>象②为位</w:t>
      </w:r>
      <w:r>
        <w:rPr>
          <w:rFonts w:hint="default" w:ascii="Times New Roman" w:hAnsi="Times New Roman" w:eastAsia="仿宋_GB2312" w:cs="Times New Roman"/>
          <w:sz w:val="28"/>
          <w:lang w:eastAsia="zh-CN"/>
        </w:rPr>
        <w:t>于</w:t>
      </w:r>
      <w:r>
        <w:rPr>
          <w:rFonts w:hint="default" w:ascii="Times New Roman" w:hAnsi="Times New Roman" w:eastAsia="仿宋_GB2312" w:cs="Times New Roman"/>
          <w:sz w:val="28"/>
          <w:szCs w:val="28"/>
          <w:lang w:eastAsia="zh-CN"/>
        </w:rPr>
        <w:t>潍坊市寒亭区泰祥东街1709号龙居家园</w:t>
      </w:r>
      <w:r>
        <w:rPr>
          <w:rFonts w:hint="default" w:ascii="Times New Roman" w:hAnsi="Times New Roman" w:eastAsia="仿宋_GB2312" w:cs="Times New Roman"/>
          <w:sz w:val="28"/>
          <w:lang w:val="en-US" w:eastAsia="zh-CN"/>
        </w:rPr>
        <w:t>5号楼1单元东201室，</w:t>
      </w:r>
      <w:r>
        <w:rPr>
          <w:rFonts w:hint="default" w:ascii="Times New Roman" w:hAnsi="Times New Roman" w:eastAsia="仿宋_GB2312" w:cs="Times New Roman"/>
          <w:sz w:val="28"/>
          <w:szCs w:val="28"/>
          <w:lang w:eastAsia="zh-CN"/>
        </w:rPr>
        <w:t>幢号为</w:t>
      </w:r>
      <w:r>
        <w:rPr>
          <w:rFonts w:hint="default" w:ascii="Times New Roman" w:hAnsi="Times New Roman" w:eastAsia="仿宋_GB2312" w:cs="Times New Roman"/>
          <w:sz w:val="28"/>
          <w:szCs w:val="28"/>
          <w:lang w:val="en-US" w:eastAsia="zh-CN"/>
        </w:rPr>
        <w:t>5号楼，</w:t>
      </w:r>
      <w:r>
        <w:rPr>
          <w:rFonts w:hint="default" w:ascii="Times New Roman" w:hAnsi="Times New Roman" w:eastAsia="仿宋_GB2312" w:cs="Times New Roman"/>
          <w:sz w:val="28"/>
          <w:lang w:val="en-US" w:eastAsia="zh-CN"/>
        </w:rPr>
        <w:t>房屋所有权人为潍坊舜邦置业有限公司，规划用途为住宅，证载建筑面积为90.30平方米，</w:t>
      </w:r>
      <w:r>
        <w:rPr>
          <w:rFonts w:hint="default" w:ascii="Times New Roman" w:hAnsi="Times New Roman" w:eastAsia="仿宋_GB2312" w:cs="Times New Roman"/>
          <w:sz w:val="28"/>
          <w:szCs w:val="28"/>
          <w:lang w:val="en-US" w:eastAsia="zh-CN"/>
        </w:rPr>
        <w:t>未抵押，已查封，</w:t>
      </w:r>
      <w:r>
        <w:rPr>
          <w:rFonts w:hint="default" w:ascii="Times New Roman" w:hAnsi="Times New Roman" w:eastAsia="仿宋_GB2312" w:cs="Times New Roman"/>
          <w:sz w:val="28"/>
          <w:szCs w:val="28"/>
          <w:lang w:eastAsia="zh-CN"/>
        </w:rPr>
        <w:t>经潍坊舜邦置业有限公司相关负责人陈述，该住宅已在</w:t>
      </w:r>
      <w:r>
        <w:rPr>
          <w:rFonts w:hint="default" w:ascii="Times New Roman" w:hAnsi="Times New Roman" w:eastAsia="仿宋_GB2312" w:cs="Times New Roman"/>
          <w:sz w:val="28"/>
          <w:szCs w:val="28"/>
          <w:lang w:val="en-US" w:eastAsia="zh-CN"/>
        </w:rPr>
        <w:t>2015年以政府名义团购价卖给杨家埠管委会东杨家埠村</w:t>
      </w:r>
      <w:r>
        <w:rPr>
          <w:rFonts w:hint="default" w:ascii="Times New Roman" w:hAnsi="Times New Roman" w:eastAsia="仿宋_GB2312" w:cs="Times New Roman"/>
          <w:sz w:val="28"/>
          <w:szCs w:val="28"/>
          <w:lang w:eastAsia="zh-CN"/>
        </w:rPr>
        <w:t>，并签署合同</w:t>
      </w:r>
      <w:r>
        <w:rPr>
          <w:rFonts w:hint="default" w:ascii="Times New Roman" w:hAnsi="Times New Roman" w:eastAsia="仿宋_GB2312" w:cs="Times New Roman"/>
          <w:sz w:val="28"/>
          <w:lang w:val="en-US" w:eastAsia="zh-CN"/>
        </w:rPr>
        <w:t>。</w:t>
      </w:r>
    </w:p>
    <w:p>
      <w:pPr>
        <w:spacing w:beforeLines="0" w:afterLines="0" w:line="360" w:lineRule="auto"/>
        <w:ind w:firstLine="560" w:firstLineChars="200"/>
        <w:contextualSpacing/>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t>查封情况：</w:t>
      </w:r>
      <w:r>
        <w:rPr>
          <w:rFonts w:hint="default" w:ascii="Times New Roman" w:hAnsi="Times New Roman" w:eastAsia="仿宋_GB2312" w:cs="Times New Roman"/>
          <w:sz w:val="28"/>
          <w:lang w:eastAsia="zh-CN"/>
        </w:rPr>
        <w:t>申请执行人山东省潍坊市寒亭区人民法院，被查封人潍坊舜邦置业有限公司。查封来文字号为</w:t>
      </w:r>
      <w:r>
        <w:rPr>
          <w:rFonts w:hint="default" w:ascii="Times New Roman" w:hAnsi="Times New Roman" w:eastAsia="仿宋_GB2312" w:cs="Times New Roman"/>
          <w:sz w:val="28"/>
          <w:lang w:val="en-US" w:eastAsia="zh-CN"/>
        </w:rPr>
        <w:t>2013寒民三初</w:t>
      </w:r>
      <w:r>
        <w:rPr>
          <w:rFonts w:hint="default" w:ascii="Times New Roman" w:hAnsi="Times New Roman" w:eastAsia="仿宋_GB2312" w:cs="Times New Roman"/>
          <w:sz w:val="28"/>
          <w:lang w:eastAsia="zh-CN"/>
        </w:rPr>
        <w:t>字第</w:t>
      </w:r>
      <w:r>
        <w:rPr>
          <w:rFonts w:hint="default" w:ascii="Times New Roman" w:hAnsi="Times New Roman" w:eastAsia="仿宋_GB2312" w:cs="Times New Roman"/>
          <w:sz w:val="28"/>
          <w:lang w:val="en-US" w:eastAsia="zh-CN"/>
        </w:rPr>
        <w:t>421号</w:t>
      </w:r>
      <w:r>
        <w:rPr>
          <w:rFonts w:hint="default" w:ascii="Times New Roman" w:hAnsi="Times New Roman" w:eastAsia="仿宋_GB2312" w:cs="Times New Roman"/>
          <w:sz w:val="28"/>
        </w:rPr>
        <w:t>，查封起始日期</w:t>
      </w:r>
      <w:r>
        <w:rPr>
          <w:rFonts w:hint="default" w:ascii="Times New Roman" w:hAnsi="Times New Roman" w:eastAsia="仿宋_GB2312" w:cs="Times New Roman"/>
          <w:sz w:val="28"/>
          <w:lang w:val="en-US" w:eastAsia="zh-CN"/>
        </w:rPr>
        <w:t>2016年07月19日</w:t>
      </w:r>
      <w:r>
        <w:rPr>
          <w:rFonts w:hint="default" w:ascii="Times New Roman" w:hAnsi="Times New Roman" w:eastAsia="仿宋_GB2312" w:cs="Times New Roman"/>
          <w:sz w:val="28"/>
        </w:rPr>
        <w:t>，终止日期</w:t>
      </w:r>
      <w:r>
        <w:rPr>
          <w:rFonts w:hint="default" w:ascii="Times New Roman" w:hAnsi="Times New Roman" w:eastAsia="仿宋_GB2312" w:cs="Times New Roman"/>
          <w:sz w:val="28"/>
          <w:lang w:val="en-US" w:eastAsia="zh-CN"/>
        </w:rPr>
        <w:t>2019年07月18日</w:t>
      </w:r>
      <w:r>
        <w:rPr>
          <w:rFonts w:hint="default" w:ascii="Times New Roman" w:hAnsi="Times New Roman" w:eastAsia="仿宋_GB2312" w:cs="Times New Roman"/>
          <w:sz w:val="28"/>
        </w:rPr>
        <w:t>。</w:t>
      </w:r>
    </w:p>
    <w:p>
      <w:pPr>
        <w:spacing w:beforeLines="0" w:afterLines="0" w:line="360" w:lineRule="auto"/>
        <w:ind w:firstLine="560" w:firstLineChars="200"/>
        <w:contextualSpacing/>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根据本次估价目的和委托要求，本次评估的估价对象价值为完整市场价值，未考虑权利限制或纠纷对价值的影响。</w:t>
      </w:r>
    </w:p>
    <w:bookmarkEnd w:id="33"/>
    <w:p>
      <w:pPr>
        <w:spacing w:beforeLines="0" w:afterLines="0" w:line="360" w:lineRule="auto"/>
        <w:ind w:firstLine="562" w:firstLineChars="200"/>
        <w:contextualSpacing/>
        <w:rPr>
          <w:rFonts w:ascii="Times New Roman" w:hAnsi="Times New Roman" w:eastAsia="仿宋_GB2312" w:cs="Times New Roman"/>
          <w:b/>
          <w:sz w:val="28"/>
          <w:szCs w:val="28"/>
          <w:highlight w:val="none"/>
        </w:rPr>
      </w:pPr>
      <w:r>
        <w:rPr>
          <w:rFonts w:ascii="Times New Roman" w:hAnsi="Times New Roman" w:eastAsia="仿宋_GB2312" w:cs="Times New Roman"/>
          <w:b/>
          <w:sz w:val="28"/>
          <w:szCs w:val="28"/>
          <w:highlight w:val="none"/>
        </w:rPr>
        <w:t>4</w:t>
      </w:r>
      <w:r>
        <w:rPr>
          <w:rFonts w:hint="default" w:ascii="Times New Roman" w:hAnsi="Times New Roman" w:eastAsia="仿宋_GB2312" w:cs="Times New Roman"/>
          <w:b/>
          <w:sz w:val="28"/>
          <w:szCs w:val="28"/>
          <w:highlight w:val="none"/>
        </w:rPr>
        <w:t>、估价对象实体状况</w:t>
      </w:r>
      <w:r>
        <w:rPr>
          <w:rFonts w:ascii="Times New Roman" w:hAnsi="Times New Roman" w:eastAsia="仿宋_GB2312" w:cs="Times New Roman"/>
          <w:b/>
          <w:sz w:val="28"/>
          <w:szCs w:val="28"/>
          <w:highlight w:val="none"/>
        </w:rPr>
        <w:t xml:space="preserve"> </w:t>
      </w:r>
    </w:p>
    <w:p>
      <w:pPr>
        <w:spacing w:beforeLines="0" w:afterLines="0" w:line="360" w:lineRule="auto"/>
        <w:ind w:firstLine="560" w:firstLineChars="200"/>
        <w:contextualSpacing/>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经评估人员现场勘查，评估对象位于泰祥东街</w:t>
      </w:r>
      <w:r>
        <w:rPr>
          <w:rFonts w:hint="default" w:ascii="Times New Roman" w:hAnsi="Times New Roman" w:eastAsia="仿宋_GB2312" w:cs="Times New Roman"/>
          <w:sz w:val="28"/>
          <w:szCs w:val="28"/>
          <w:lang w:val="en-US" w:eastAsia="zh-CN"/>
        </w:rPr>
        <w:t>1709号龙居家园小区，该小区由</w:t>
      </w:r>
      <w:r>
        <w:rPr>
          <w:rFonts w:hint="default" w:ascii="Times New Roman" w:hAnsi="Times New Roman" w:eastAsia="仿宋_GB2312" w:cs="Times New Roman"/>
          <w:sz w:val="28"/>
          <w:szCs w:val="28"/>
          <w:lang w:eastAsia="zh-CN"/>
        </w:rPr>
        <w:t>潍坊舜邦置业有限公司开发建设，</w:t>
      </w:r>
      <w:r>
        <w:rPr>
          <w:rFonts w:hint="default" w:ascii="Times New Roman" w:hAnsi="Times New Roman" w:eastAsia="仿宋_GB2312" w:cs="Times New Roman"/>
          <w:sz w:val="28"/>
          <w:szCs w:val="28"/>
          <w:lang w:val="en-US" w:eastAsia="zh-CN"/>
        </w:rPr>
        <w:t>于2015年8月建成3幢住宅楼（分别为4号楼、5号楼、6号楼），小区西侧有一处在建工程，已经停工，无其他住宅楼。</w:t>
      </w:r>
    </w:p>
    <w:p>
      <w:pPr>
        <w:spacing w:beforeLines="-2147483648" w:afterLines="-2147483648" w:line="360" w:lineRule="auto"/>
        <w:ind w:firstLine="570" w:firstLineChars="0"/>
        <w:contextualSpacing w:val="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估价对象①住宅位</w:t>
      </w:r>
      <w:r>
        <w:rPr>
          <w:rFonts w:hint="default" w:ascii="Times New Roman" w:hAnsi="Times New Roman" w:eastAsia="仿宋_GB2312" w:cs="Times New Roman"/>
          <w:sz w:val="28"/>
          <w:szCs w:val="28"/>
          <w:lang w:eastAsia="zh-CN"/>
        </w:rPr>
        <w:t>于潍坊市寒亭区泰祥东街1709号龙居家园4号楼2-502</w:t>
      </w:r>
      <w:r>
        <w:rPr>
          <w:rFonts w:hint="default" w:ascii="Times New Roman" w:hAnsi="Times New Roman" w:eastAsia="仿宋_GB2312" w:cs="Times New Roman"/>
          <w:sz w:val="28"/>
          <w:szCs w:val="28"/>
        </w:rPr>
        <w:t>，该楼房建成于</w:t>
      </w:r>
      <w:r>
        <w:rPr>
          <w:rFonts w:hint="default" w:ascii="Times New Roman" w:hAnsi="Times New Roman" w:eastAsia="仿宋_GB2312" w:cs="Times New Roman"/>
          <w:sz w:val="28"/>
          <w:szCs w:val="28"/>
          <w:lang w:val="en-US" w:eastAsia="zh-CN"/>
        </w:rPr>
        <w:t>2015年</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幢号为</w:t>
      </w:r>
      <w:r>
        <w:rPr>
          <w:rFonts w:hint="default" w:ascii="Times New Roman" w:hAnsi="Times New Roman" w:eastAsia="仿宋_GB2312" w:cs="Times New Roman"/>
          <w:sz w:val="28"/>
          <w:szCs w:val="28"/>
          <w:lang w:val="en-US" w:eastAsia="zh-CN"/>
        </w:rPr>
        <w:t>4号楼，证载</w:t>
      </w:r>
      <w:r>
        <w:rPr>
          <w:rFonts w:hint="default" w:ascii="Times New Roman" w:hAnsi="Times New Roman" w:eastAsia="仿宋_GB2312" w:cs="Times New Roman"/>
          <w:sz w:val="28"/>
          <w:szCs w:val="28"/>
        </w:rPr>
        <w:t>建筑面积</w:t>
      </w:r>
      <w:r>
        <w:rPr>
          <w:rFonts w:hint="default" w:ascii="Times New Roman" w:hAnsi="Times New Roman" w:eastAsia="仿宋_GB2312" w:cs="Times New Roman"/>
          <w:sz w:val="28"/>
          <w:szCs w:val="28"/>
          <w:lang w:eastAsia="zh-CN"/>
        </w:rPr>
        <w:t>为</w:t>
      </w:r>
      <w:r>
        <w:rPr>
          <w:rFonts w:hint="default" w:ascii="Times New Roman" w:hAnsi="Times New Roman" w:eastAsia="仿宋_GB2312" w:cs="Times New Roman"/>
          <w:sz w:val="28"/>
          <w:szCs w:val="28"/>
          <w:lang w:val="en-US" w:eastAsia="zh-CN"/>
        </w:rPr>
        <w:t>132.79</w:t>
      </w:r>
      <w:r>
        <w:rPr>
          <w:rFonts w:hint="default" w:ascii="Times New Roman" w:hAnsi="Times New Roman" w:eastAsia="仿宋_GB2312" w:cs="Times New Roman"/>
          <w:sz w:val="28"/>
          <w:szCs w:val="28"/>
        </w:rPr>
        <w:t>平方米</w:t>
      </w:r>
      <w:r>
        <w:rPr>
          <w:rFonts w:hint="default" w:ascii="Times New Roman" w:hAnsi="Times New Roman" w:eastAsia="仿宋_GB2312" w:cs="Times New Roman"/>
          <w:sz w:val="28"/>
          <w:szCs w:val="28"/>
          <w:lang w:eastAsia="zh-CN"/>
        </w:rPr>
        <w:t>（未包含阁楼部分面积），混合结构，</w:t>
      </w:r>
      <w:r>
        <w:rPr>
          <w:rFonts w:hint="default" w:ascii="Times New Roman" w:hAnsi="Times New Roman" w:eastAsia="仿宋_GB2312" w:cs="Times New Roman"/>
          <w:sz w:val="28"/>
          <w:szCs w:val="28"/>
        </w:rPr>
        <w:t>楼房总层数为</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层，</w:t>
      </w:r>
      <w:r>
        <w:rPr>
          <w:rFonts w:hint="default" w:ascii="Times New Roman" w:hAnsi="Times New Roman" w:eastAsia="仿宋_GB2312" w:cs="Times New Roman"/>
          <w:sz w:val="28"/>
          <w:szCs w:val="28"/>
          <w:lang w:eastAsia="zh-CN"/>
        </w:rPr>
        <w:t>经现场勘查，</w:t>
      </w:r>
      <w:r>
        <w:rPr>
          <w:rFonts w:hint="default" w:ascii="Times New Roman" w:hAnsi="Times New Roman" w:eastAsia="仿宋_GB2312" w:cs="Times New Roman"/>
          <w:sz w:val="28"/>
          <w:szCs w:val="28"/>
        </w:rPr>
        <w:t>估价对象位于第</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层</w:t>
      </w:r>
      <w:r>
        <w:rPr>
          <w:rFonts w:hint="default" w:ascii="Times New Roman" w:hAnsi="Times New Roman" w:eastAsia="仿宋_GB2312" w:cs="Times New Roman"/>
          <w:sz w:val="28"/>
          <w:szCs w:val="28"/>
          <w:lang w:val="en-US" w:eastAsia="zh-CN"/>
        </w:rPr>
        <w:t>，一梯两户，毛坯房带阁楼，</w:t>
      </w:r>
      <w:r>
        <w:rPr>
          <w:rFonts w:hint="default" w:ascii="Times New Roman" w:hAnsi="Times New Roman" w:eastAsia="仿宋_GB2312" w:cs="Times New Roman"/>
          <w:sz w:val="28"/>
          <w:szCs w:val="28"/>
          <w:highlight w:val="none"/>
          <w:lang w:val="en-US" w:eastAsia="zh-CN"/>
        </w:rPr>
        <w:t>三室一厅一卫（阁楼户型相同）</w:t>
      </w:r>
      <w:r>
        <w:rPr>
          <w:rFonts w:hint="default" w:ascii="Times New Roman" w:hAnsi="Times New Roman" w:eastAsia="仿宋_GB2312" w:cs="Times New Roman"/>
          <w:sz w:val="28"/>
          <w:szCs w:val="28"/>
          <w:lang w:val="en-US" w:eastAsia="zh-CN"/>
        </w:rPr>
        <w:t>，二卧室南向，一卧室北向，带一储藏室（北向），阳台部分贴瓷，塑钢窗，</w:t>
      </w:r>
      <w:r>
        <w:rPr>
          <w:rFonts w:hint="default" w:ascii="Times New Roman" w:hAnsi="Times New Roman" w:eastAsia="仿宋_GB2312" w:cs="Times New Roman"/>
          <w:sz w:val="28"/>
          <w:szCs w:val="28"/>
          <w:lang w:eastAsia="zh-CN"/>
        </w:rPr>
        <w:t>室内水泥地面，</w:t>
      </w:r>
      <w:r>
        <w:rPr>
          <w:rFonts w:hint="default" w:ascii="Times New Roman" w:hAnsi="Times New Roman" w:eastAsia="仿宋_GB2312" w:cs="Times New Roman"/>
          <w:sz w:val="28"/>
          <w:szCs w:val="28"/>
        </w:rPr>
        <w:t>水、电齐全</w:t>
      </w:r>
      <w:r>
        <w:rPr>
          <w:rFonts w:hint="default" w:ascii="Times New Roman" w:hAnsi="Times New Roman" w:eastAsia="仿宋_GB2312" w:cs="Times New Roman"/>
          <w:sz w:val="28"/>
          <w:szCs w:val="28"/>
          <w:lang w:eastAsia="zh-CN"/>
        </w:rPr>
        <w:t>，有地暖</w:t>
      </w:r>
      <w:r>
        <w:rPr>
          <w:rFonts w:hint="default" w:ascii="Times New Roman" w:hAnsi="Times New Roman" w:eastAsia="仿宋_GB2312" w:cs="Times New Roman"/>
          <w:sz w:val="28"/>
          <w:szCs w:val="28"/>
          <w:lang w:val="en-US" w:eastAsia="zh-CN"/>
        </w:rPr>
        <w:t>。该房屋目前闲置。</w:t>
      </w:r>
    </w:p>
    <w:p>
      <w:pPr>
        <w:spacing w:beforeLines="0" w:afterLines="0" w:line="360" w:lineRule="auto"/>
        <w:ind w:firstLine="560" w:firstLineChars="200"/>
        <w:contextualSpacing/>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rPr>
        <w:t>估价对象</w:t>
      </w:r>
      <w:r>
        <w:rPr>
          <w:rFonts w:hint="default" w:ascii="Times New Roman" w:hAnsi="Times New Roman" w:eastAsia="仿宋_GB2312" w:cs="Times New Roman"/>
          <w:sz w:val="28"/>
          <w:szCs w:val="28"/>
          <w:lang w:val="en-US" w:eastAsia="zh-CN"/>
        </w:rPr>
        <w:t>②</w:t>
      </w:r>
      <w:r>
        <w:rPr>
          <w:rFonts w:hint="default" w:ascii="Times New Roman" w:hAnsi="Times New Roman" w:eastAsia="仿宋_GB2312" w:cs="Times New Roman"/>
          <w:sz w:val="28"/>
          <w:szCs w:val="28"/>
        </w:rPr>
        <w:t>住宅房地产</w:t>
      </w:r>
      <w:r>
        <w:rPr>
          <w:rFonts w:hint="default" w:ascii="Times New Roman" w:hAnsi="Times New Roman" w:eastAsia="仿宋_GB2312" w:cs="Times New Roman"/>
          <w:sz w:val="28"/>
          <w:szCs w:val="28"/>
          <w:lang w:eastAsia="zh-CN"/>
        </w:rPr>
        <w:t>位于潍坊市寒亭区泰祥东街1709号龙居家园</w:t>
      </w:r>
      <w:r>
        <w:rPr>
          <w:rFonts w:hint="default" w:ascii="Times New Roman" w:hAnsi="Times New Roman" w:eastAsia="仿宋_GB2312" w:cs="Times New Roman"/>
          <w:sz w:val="28"/>
          <w:szCs w:val="28"/>
          <w:lang w:val="en-US" w:eastAsia="zh-CN"/>
        </w:rPr>
        <w:t>5号楼1-201</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该</w:t>
      </w:r>
      <w:r>
        <w:rPr>
          <w:rFonts w:hint="default" w:ascii="Times New Roman" w:hAnsi="Times New Roman" w:eastAsia="仿宋_GB2312" w:cs="Times New Roman"/>
          <w:sz w:val="28"/>
          <w:szCs w:val="28"/>
        </w:rPr>
        <w:t>楼房建成于</w:t>
      </w:r>
      <w:r>
        <w:rPr>
          <w:rFonts w:hint="default" w:ascii="Times New Roman" w:hAnsi="Times New Roman" w:eastAsia="仿宋_GB2312" w:cs="Times New Roman"/>
          <w:sz w:val="28"/>
          <w:szCs w:val="28"/>
          <w:lang w:val="en-US" w:eastAsia="zh-CN"/>
        </w:rPr>
        <w:t>2015年</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幢号为</w:t>
      </w:r>
      <w:r>
        <w:rPr>
          <w:rFonts w:hint="default" w:ascii="Times New Roman" w:hAnsi="Times New Roman" w:eastAsia="仿宋_GB2312" w:cs="Times New Roman"/>
          <w:sz w:val="28"/>
          <w:szCs w:val="28"/>
          <w:lang w:val="en-US" w:eastAsia="zh-CN"/>
        </w:rPr>
        <w:t>5号楼，一梯两户，</w:t>
      </w:r>
      <w:r>
        <w:rPr>
          <w:rFonts w:hint="default" w:ascii="Times New Roman" w:hAnsi="Times New Roman" w:eastAsia="仿宋_GB2312" w:cs="Times New Roman"/>
          <w:sz w:val="28"/>
          <w:szCs w:val="28"/>
          <w:lang w:eastAsia="zh-CN"/>
        </w:rPr>
        <w:t>混合结构，评估人员未能进入室内，但从外部查勘，该房产为毛坯房，经评估人员调查了解，估价对象户型为二室一厅一厨一卫，二卧室南向</w:t>
      </w:r>
      <w:r>
        <w:rPr>
          <w:rFonts w:hint="default" w:ascii="Times New Roman" w:hAnsi="Times New Roman" w:eastAsia="仿宋_GB2312" w:cs="Times New Roman"/>
          <w:sz w:val="28"/>
          <w:szCs w:val="28"/>
          <w:lang w:val="en-US" w:eastAsia="zh-CN"/>
        </w:rPr>
        <w:t>。</w:t>
      </w:r>
    </w:p>
    <w:p>
      <w:pPr>
        <w:spacing w:beforeLines="0" w:afterLines="0" w:line="360" w:lineRule="auto"/>
        <w:ind w:firstLine="560" w:firstLineChars="200"/>
        <w:contextualSpacing/>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lang w:eastAsia="zh-CN"/>
        </w:rPr>
        <w:t>经现场勘查，估价对象所在土地</w:t>
      </w:r>
      <w:r>
        <w:rPr>
          <w:rFonts w:hint="default" w:ascii="Times New Roman" w:hAnsi="Times New Roman" w:eastAsia="仿宋_GB2312" w:cs="Times New Roman"/>
          <w:sz w:val="28"/>
          <w:szCs w:val="28"/>
          <w:lang w:eastAsia="zh-CN"/>
        </w:rPr>
        <w:t>均为</w:t>
      </w:r>
      <w:r>
        <w:rPr>
          <w:rFonts w:hint="default" w:ascii="Times New Roman" w:hAnsi="Times New Roman" w:eastAsia="仿宋_GB2312" w:cs="Times New Roman"/>
          <w:sz w:val="28"/>
          <w:szCs w:val="28"/>
        </w:rPr>
        <w:t>形状较规则，地势</w:t>
      </w:r>
      <w:r>
        <w:rPr>
          <w:rFonts w:hint="default" w:ascii="Times New Roman" w:hAnsi="Times New Roman" w:eastAsia="仿宋_GB2312" w:cs="Times New Roman"/>
          <w:sz w:val="28"/>
          <w:szCs w:val="28"/>
          <w:lang w:eastAsia="zh-CN"/>
        </w:rPr>
        <w:t>较</w:t>
      </w:r>
      <w:r>
        <w:rPr>
          <w:rFonts w:hint="default" w:ascii="Times New Roman" w:hAnsi="Times New Roman" w:eastAsia="仿宋_GB2312" w:cs="Times New Roman"/>
          <w:sz w:val="28"/>
          <w:szCs w:val="28"/>
        </w:rPr>
        <w:t>平坦，地基承载能力较强，基础设施已达到宗地红线外“</w:t>
      </w:r>
      <w:r>
        <w:rPr>
          <w:rFonts w:hint="default" w:ascii="Times New Roman" w:hAnsi="Times New Roman" w:eastAsia="仿宋_GB2312" w:cs="Times New Roman"/>
          <w:sz w:val="28"/>
          <w:szCs w:val="28"/>
          <w:lang w:eastAsia="zh-CN"/>
        </w:rPr>
        <w:t>六</w:t>
      </w:r>
      <w:r>
        <w:rPr>
          <w:rFonts w:hint="default" w:ascii="Times New Roman" w:hAnsi="Times New Roman" w:eastAsia="仿宋_GB2312" w:cs="Times New Roman"/>
          <w:sz w:val="28"/>
          <w:szCs w:val="28"/>
        </w:rPr>
        <w:t>通”（通路、通电、通讯、通上水、通下水、通暖）</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宗地周围环境较好，无污染。</w:t>
      </w:r>
    </w:p>
    <w:p>
      <w:pPr>
        <w:spacing w:beforeLines="0" w:afterLines="0" w:line="360" w:lineRule="auto"/>
        <w:ind w:firstLine="562" w:firstLineChars="200"/>
        <w:contextualSpacing/>
        <w:rPr>
          <w:rFonts w:ascii="Times New Roman" w:hAnsi="Times New Roman" w:eastAsia="仿宋_GB2312" w:cs="Times New Roman"/>
          <w:b/>
          <w:color w:val="FF0000"/>
          <w:sz w:val="28"/>
          <w:szCs w:val="28"/>
        </w:rPr>
      </w:pPr>
      <w:r>
        <w:rPr>
          <w:rFonts w:ascii="Times New Roman" w:hAnsi="Times New Roman" w:eastAsia="仿宋_GB2312" w:cs="Times New Roman"/>
          <w:b/>
          <w:sz w:val="28"/>
          <w:szCs w:val="28"/>
        </w:rPr>
        <w:t>5</w:t>
      </w:r>
      <w:r>
        <w:rPr>
          <w:rFonts w:hint="default" w:ascii="Times New Roman" w:hAnsi="Times New Roman" w:eastAsia="仿宋_GB2312" w:cs="Times New Roman"/>
          <w:b/>
          <w:sz w:val="28"/>
          <w:szCs w:val="28"/>
        </w:rPr>
        <w:t>、区位状况</w:t>
      </w:r>
    </w:p>
    <w:p>
      <w:pPr>
        <w:spacing w:beforeLines="0" w:afterLines="0" w:line="360" w:lineRule="auto"/>
        <w:ind w:firstLine="560" w:firstLineChars="200"/>
        <w:outlineLvl w:val="1"/>
        <w:rPr>
          <w:rFonts w:hint="default" w:ascii="Times New Roman" w:hAnsi="Times New Roman" w:eastAsia="仿宋_GB2312" w:cs="Times New Roman"/>
          <w:sz w:val="28"/>
          <w:szCs w:val="28"/>
        </w:rPr>
      </w:pPr>
      <w:bookmarkStart w:id="34" w:name="_Toc32505"/>
      <w:bookmarkStart w:id="35" w:name="_Toc2068"/>
      <w:r>
        <w:rPr>
          <w:rFonts w:hint="default" w:ascii="Times New Roman" w:hAnsi="Times New Roman" w:eastAsia="仿宋_GB2312" w:cs="Times New Roman"/>
          <w:sz w:val="28"/>
          <w:szCs w:val="28"/>
        </w:rPr>
        <w:t>估价对象①住宅</w:t>
      </w:r>
      <w:r>
        <w:rPr>
          <w:rFonts w:hint="default" w:ascii="Times New Roman" w:hAnsi="Times New Roman" w:eastAsia="仿宋_GB2312" w:cs="Times New Roman"/>
          <w:sz w:val="28"/>
          <w:szCs w:val="28"/>
          <w:lang w:eastAsia="zh-CN"/>
        </w:rPr>
        <w:t>和</w:t>
      </w:r>
      <w:r>
        <w:rPr>
          <w:rFonts w:hint="default" w:ascii="Times New Roman" w:hAnsi="Times New Roman" w:eastAsia="仿宋_GB2312" w:cs="Times New Roman"/>
          <w:sz w:val="28"/>
          <w:szCs w:val="28"/>
        </w:rPr>
        <w:t>②住宅</w:t>
      </w:r>
      <w:r>
        <w:rPr>
          <w:rFonts w:hint="default" w:ascii="Times New Roman" w:hAnsi="Times New Roman" w:eastAsia="仿宋_GB2312" w:cs="Times New Roman"/>
          <w:sz w:val="28"/>
          <w:szCs w:val="28"/>
          <w:lang w:eastAsia="zh-CN"/>
        </w:rPr>
        <w:t>均</w:t>
      </w:r>
      <w:r>
        <w:rPr>
          <w:rFonts w:hint="default" w:ascii="Times New Roman" w:hAnsi="Times New Roman" w:eastAsia="仿宋_GB2312" w:cs="Times New Roman"/>
          <w:sz w:val="28"/>
          <w:szCs w:val="28"/>
        </w:rPr>
        <w:t>位</w:t>
      </w:r>
      <w:r>
        <w:rPr>
          <w:rFonts w:hint="default" w:ascii="Times New Roman" w:hAnsi="Times New Roman" w:eastAsia="仿宋_GB2312" w:cs="Times New Roman"/>
          <w:sz w:val="28"/>
          <w:szCs w:val="28"/>
          <w:lang w:eastAsia="zh-CN"/>
        </w:rPr>
        <w:t>于潍坊市寒亭区泰祥东街1709号龙居家园小区</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该小区西邻</w:t>
      </w:r>
      <w:r>
        <w:rPr>
          <w:rFonts w:hint="default" w:ascii="Times New Roman" w:hAnsi="Times New Roman" w:eastAsia="仿宋_GB2312" w:cs="Times New Roman"/>
          <w:b w:val="0"/>
          <w:i w:val="0"/>
          <w:caps w:val="0"/>
          <w:color w:val="auto"/>
          <w:spacing w:val="0"/>
          <w:sz w:val="28"/>
          <w:szCs w:val="28"/>
          <w:shd w:val="clear" w:fill="auto"/>
        </w:rPr>
        <w:t>浞河</w:t>
      </w:r>
      <w:r>
        <w:rPr>
          <w:rFonts w:hint="default" w:ascii="Times New Roman" w:hAnsi="Times New Roman" w:eastAsia="仿宋_GB2312" w:cs="Times New Roman"/>
          <w:b w:val="0"/>
          <w:i w:val="0"/>
          <w:caps w:val="0"/>
          <w:spacing w:val="0"/>
          <w:sz w:val="28"/>
          <w:szCs w:val="28"/>
          <w:shd w:val="clear"/>
          <w:lang w:eastAsia="zh-CN"/>
        </w:rPr>
        <w:t>，东侧为东杨家埠村用地，南邻东杨家埠村</w:t>
      </w:r>
      <w:r>
        <w:rPr>
          <w:rFonts w:hint="default" w:ascii="Times New Roman" w:hAnsi="Times New Roman" w:eastAsia="仿宋_GB2312" w:cs="Times New Roman"/>
          <w:b w:val="0"/>
          <w:i w:val="0"/>
          <w:caps w:val="0"/>
          <w:color w:val="auto"/>
          <w:spacing w:val="0"/>
          <w:sz w:val="28"/>
          <w:szCs w:val="28"/>
          <w:shd w:val="clear" w:fill="auto"/>
        </w:rPr>
        <w:t>；</w:t>
      </w:r>
      <w:r>
        <w:rPr>
          <w:rFonts w:hint="default" w:ascii="Times New Roman" w:hAnsi="Times New Roman" w:eastAsia="仿宋_GB2312" w:cs="Times New Roman"/>
          <w:b w:val="0"/>
          <w:i w:val="0"/>
          <w:caps w:val="0"/>
          <w:spacing w:val="0"/>
          <w:sz w:val="28"/>
          <w:szCs w:val="28"/>
          <w:shd w:val="clear"/>
          <w:lang w:eastAsia="zh-CN"/>
        </w:rPr>
        <w:t>该小区</w:t>
      </w:r>
      <w:r>
        <w:rPr>
          <w:rFonts w:hint="default" w:ascii="Times New Roman" w:hAnsi="Times New Roman" w:eastAsia="仿宋_GB2312" w:cs="Times New Roman"/>
          <w:b w:val="0"/>
          <w:i w:val="0"/>
          <w:caps w:val="0"/>
          <w:color w:val="auto"/>
          <w:spacing w:val="0"/>
          <w:sz w:val="28"/>
          <w:szCs w:val="28"/>
          <w:shd w:val="clear" w:fill="auto"/>
        </w:rPr>
        <w:t>周边</w:t>
      </w:r>
      <w:r>
        <w:rPr>
          <w:rFonts w:hint="default" w:ascii="Times New Roman" w:hAnsi="Times New Roman" w:eastAsia="仿宋_GB2312" w:cs="Times New Roman"/>
          <w:b w:val="0"/>
          <w:i w:val="0"/>
          <w:caps w:val="0"/>
          <w:color w:val="auto"/>
          <w:spacing w:val="0"/>
          <w:sz w:val="28"/>
          <w:szCs w:val="28"/>
          <w:shd w:val="clear" w:fill="auto"/>
          <w:lang w:eastAsia="zh-CN"/>
        </w:rPr>
        <w:t>多为</w:t>
      </w:r>
      <w:r>
        <w:rPr>
          <w:rFonts w:hint="default" w:ascii="Times New Roman" w:hAnsi="Times New Roman" w:eastAsia="仿宋_GB2312" w:cs="Times New Roman"/>
          <w:b w:val="0"/>
          <w:i w:val="0"/>
          <w:caps w:val="0"/>
          <w:spacing w:val="0"/>
          <w:sz w:val="28"/>
          <w:szCs w:val="28"/>
          <w:shd w:val="clear"/>
          <w:lang w:eastAsia="zh-CN"/>
        </w:rPr>
        <w:t>东杨家埠村平房，配套设施一般，</w:t>
      </w:r>
      <w:r>
        <w:rPr>
          <w:rFonts w:hint="default" w:ascii="Times New Roman" w:hAnsi="Times New Roman" w:eastAsia="仿宋_GB2312" w:cs="Times New Roman"/>
          <w:b w:val="0"/>
          <w:i w:val="0"/>
          <w:caps w:val="0"/>
          <w:color w:val="auto"/>
          <w:spacing w:val="0"/>
          <w:sz w:val="28"/>
          <w:szCs w:val="28"/>
          <w:shd w:val="clear" w:fill="auto"/>
          <w:lang w:eastAsia="zh-CN"/>
        </w:rPr>
        <w:t>居住社区成熟度一般，</w:t>
      </w:r>
      <w:r>
        <w:rPr>
          <w:rFonts w:hint="default" w:ascii="Times New Roman" w:hAnsi="Times New Roman" w:eastAsia="仿宋_GB2312" w:cs="Times New Roman"/>
          <w:color w:val="auto"/>
          <w:sz w:val="28"/>
          <w:szCs w:val="28"/>
          <w:shd w:val="clear" w:fill="auto"/>
        </w:rPr>
        <w:t>公共设施完备程度</w:t>
      </w:r>
      <w:r>
        <w:rPr>
          <w:rFonts w:hint="default" w:ascii="Times New Roman" w:hAnsi="Times New Roman" w:eastAsia="仿宋_GB2312" w:cs="Times New Roman"/>
          <w:color w:val="auto"/>
          <w:sz w:val="28"/>
          <w:szCs w:val="28"/>
          <w:shd w:val="clear" w:fill="auto"/>
          <w:lang w:eastAsia="zh-CN"/>
        </w:rPr>
        <w:t>一般，距离</w:t>
      </w:r>
      <w:r>
        <w:rPr>
          <w:rFonts w:hint="default" w:ascii="Times New Roman" w:hAnsi="Times New Roman" w:eastAsia="仿宋_GB2312" w:cs="Times New Roman"/>
          <w:b w:val="0"/>
          <w:i w:val="0"/>
          <w:caps w:val="0"/>
          <w:color w:val="auto"/>
          <w:spacing w:val="0"/>
          <w:sz w:val="28"/>
          <w:szCs w:val="28"/>
          <w:u w:val="none"/>
          <w:shd w:val="clear" w:fill="auto"/>
        </w:rPr>
        <w:fldChar w:fldCharType="begin"/>
      </w:r>
      <w:r>
        <w:rPr>
          <w:rFonts w:hint="default" w:ascii="Times New Roman" w:hAnsi="Times New Roman" w:eastAsia="仿宋_GB2312" w:cs="Times New Roman"/>
          <w:b w:val="0"/>
          <w:i w:val="0"/>
          <w:caps w:val="0"/>
          <w:color w:val="auto"/>
          <w:spacing w:val="0"/>
          <w:sz w:val="28"/>
          <w:szCs w:val="28"/>
          <w:u w:val="none"/>
          <w:shd w:val="clear" w:fill="auto"/>
        </w:rPr>
        <w:instrText xml:space="preserve"> HYPERLINK "http://you.ctrip.com/sight/weifang226/60787.html" \t "https://ditu.so.com/_blank" </w:instrText>
      </w:r>
      <w:r>
        <w:rPr>
          <w:rFonts w:hint="default" w:ascii="Times New Roman" w:hAnsi="Times New Roman" w:eastAsia="仿宋_GB2312" w:cs="Times New Roman"/>
          <w:b w:val="0"/>
          <w:i w:val="0"/>
          <w:caps w:val="0"/>
          <w:color w:val="auto"/>
          <w:spacing w:val="0"/>
          <w:sz w:val="28"/>
          <w:szCs w:val="28"/>
          <w:u w:val="none"/>
          <w:shd w:val="clear" w:fill="auto"/>
        </w:rPr>
        <w:fldChar w:fldCharType="separate"/>
      </w:r>
      <w:r>
        <w:rPr>
          <w:rFonts w:hint="default" w:ascii="Times New Roman" w:hAnsi="Times New Roman" w:eastAsia="仿宋_GB2312" w:cs="Times New Roman"/>
          <w:b w:val="0"/>
          <w:i w:val="0"/>
          <w:caps w:val="0"/>
          <w:color w:val="auto"/>
          <w:spacing w:val="0"/>
          <w:sz w:val="28"/>
          <w:szCs w:val="28"/>
          <w:u w:val="none"/>
          <w:shd w:val="clear" w:fill="auto"/>
        </w:rPr>
        <w:t>中国杨家埠民间艺术大观园</w:t>
      </w:r>
      <w:r>
        <w:rPr>
          <w:rFonts w:hint="default" w:ascii="Times New Roman" w:hAnsi="Times New Roman" w:eastAsia="仿宋_GB2312" w:cs="Times New Roman"/>
          <w:b w:val="0"/>
          <w:i w:val="0"/>
          <w:caps w:val="0"/>
          <w:color w:val="auto"/>
          <w:spacing w:val="0"/>
          <w:sz w:val="28"/>
          <w:szCs w:val="28"/>
          <w:u w:val="none"/>
          <w:shd w:val="clear" w:fill="auto"/>
        </w:rPr>
        <w:fldChar w:fldCharType="end"/>
      </w:r>
      <w:r>
        <w:rPr>
          <w:rFonts w:hint="default" w:ascii="Times New Roman" w:hAnsi="Times New Roman" w:eastAsia="仿宋_GB2312" w:cs="Times New Roman"/>
          <w:b w:val="0"/>
          <w:i w:val="0"/>
          <w:caps w:val="0"/>
          <w:color w:val="auto"/>
          <w:spacing w:val="0"/>
          <w:sz w:val="28"/>
          <w:szCs w:val="28"/>
          <w:u w:val="none"/>
          <w:shd w:val="clear" w:fill="auto"/>
          <w:lang w:eastAsia="zh-CN"/>
        </w:rPr>
        <w:t>较近，</w:t>
      </w:r>
      <w:r>
        <w:rPr>
          <w:rFonts w:hint="default" w:ascii="Times New Roman" w:hAnsi="Times New Roman" w:eastAsia="仿宋_GB2312" w:cs="Times New Roman"/>
          <w:color w:val="auto"/>
          <w:sz w:val="28"/>
          <w:szCs w:val="28"/>
          <w:shd w:val="clear" w:fill="auto"/>
        </w:rPr>
        <w:t>自然和人文环境状况</w:t>
      </w:r>
      <w:r>
        <w:rPr>
          <w:rFonts w:hint="default" w:ascii="Times New Roman" w:hAnsi="Times New Roman" w:eastAsia="仿宋_GB2312" w:cs="Times New Roman"/>
          <w:color w:val="auto"/>
          <w:sz w:val="28"/>
          <w:szCs w:val="28"/>
          <w:shd w:val="clear" w:fill="auto"/>
          <w:lang w:eastAsia="zh-CN"/>
        </w:rPr>
        <w:t>较好，</w:t>
      </w:r>
      <w:r>
        <w:rPr>
          <w:rFonts w:hint="default" w:ascii="Times New Roman" w:hAnsi="Times New Roman" w:eastAsia="仿宋_GB2312" w:cs="Times New Roman"/>
          <w:color w:val="auto"/>
          <w:sz w:val="28"/>
          <w:szCs w:val="28"/>
          <w:shd w:val="clear" w:fill="auto"/>
        </w:rPr>
        <w:t>基础设施条件</w:t>
      </w:r>
      <w:r>
        <w:rPr>
          <w:rFonts w:hint="default" w:ascii="Times New Roman" w:hAnsi="Times New Roman" w:eastAsia="仿宋_GB2312" w:cs="Times New Roman"/>
          <w:color w:val="auto"/>
          <w:sz w:val="28"/>
          <w:szCs w:val="28"/>
          <w:shd w:val="clear" w:fill="auto"/>
          <w:lang w:eastAsia="zh-CN"/>
        </w:rPr>
        <w:t>达到“六通一平”</w:t>
      </w:r>
      <w:r>
        <w:rPr>
          <w:rFonts w:hint="default" w:ascii="Times New Roman" w:hAnsi="Times New Roman" w:eastAsia="仿宋_GB2312" w:cs="Times New Roman"/>
          <w:sz w:val="28"/>
          <w:szCs w:val="28"/>
        </w:rPr>
        <w:t>。</w:t>
      </w:r>
    </w:p>
    <w:bookmarkEnd w:id="34"/>
    <w:bookmarkEnd w:id="35"/>
    <w:p>
      <w:pPr>
        <w:spacing w:beforeLines="0" w:afterLines="0" w:line="360" w:lineRule="auto"/>
        <w:ind w:firstLine="562" w:firstLineChars="200"/>
        <w:contextualSpacing/>
        <w:outlineLvl w:val="1"/>
        <w:rPr>
          <w:rFonts w:ascii="Times New Roman" w:hAnsi="Times New Roman" w:eastAsia="仿宋_GB2312" w:cs="Times New Roman"/>
          <w:b/>
          <w:sz w:val="28"/>
          <w:szCs w:val="28"/>
        </w:rPr>
      </w:pPr>
      <w:bookmarkStart w:id="36" w:name="_Toc16796"/>
      <w:bookmarkStart w:id="37" w:name="_Toc26852"/>
      <w:bookmarkStart w:id="38" w:name="_Toc12492"/>
      <w:r>
        <w:rPr>
          <w:rStyle w:val="20"/>
          <w:rFonts w:hint="default" w:ascii="Times New Roman" w:hAnsi="Times New Roman" w:eastAsia="仿宋_GB2312" w:cs="Times New Roman"/>
          <w:bCs/>
          <w:sz w:val="28"/>
          <w:szCs w:val="28"/>
        </w:rPr>
        <w:t>五、价值时点</w:t>
      </w:r>
      <w:bookmarkEnd w:id="36"/>
      <w:bookmarkEnd w:id="37"/>
      <w:bookmarkEnd w:id="38"/>
    </w:p>
    <w:p>
      <w:pPr>
        <w:tabs>
          <w:tab w:val="left" w:pos="7114"/>
        </w:tabs>
        <w:spacing w:beforeLines="0" w:afterLines="0" w:line="360" w:lineRule="auto"/>
        <w:ind w:firstLine="560" w:firstLineChars="200"/>
        <w:jc w:val="left"/>
        <w:rPr>
          <w:rFonts w:ascii="Times New Roman" w:hAnsi="Times New Roman" w:eastAsia="仿宋_GB2312" w:cs="Times New Roman"/>
          <w:color w:val="FF0000"/>
          <w:sz w:val="28"/>
        </w:rPr>
      </w:pPr>
      <w:r>
        <w:rPr>
          <w:rFonts w:hint="default" w:ascii="Times New Roman" w:hAnsi="Times New Roman" w:eastAsia="仿宋_GB2312" w:cs="Times New Roman"/>
          <w:sz w:val="28"/>
          <w:szCs w:val="28"/>
          <w:lang w:eastAsia="zh-CN"/>
        </w:rPr>
        <w:t>2019年01月08日</w:t>
      </w:r>
      <w:r>
        <w:rPr>
          <w:rFonts w:hint="default" w:ascii="Times New Roman" w:hAnsi="Times New Roman" w:eastAsia="仿宋_GB2312" w:cs="Times New Roman"/>
          <w:sz w:val="28"/>
          <w:szCs w:val="28"/>
        </w:rPr>
        <w:t>，此日期为现场查勘开始日期。</w:t>
      </w:r>
    </w:p>
    <w:p>
      <w:pPr>
        <w:spacing w:beforeLines="0" w:afterLines="0" w:line="360" w:lineRule="auto"/>
        <w:ind w:firstLine="562" w:firstLineChars="200"/>
        <w:contextualSpacing/>
        <w:outlineLvl w:val="1"/>
        <w:rPr>
          <w:rFonts w:ascii="Times New Roman" w:hAnsi="Times New Roman" w:eastAsia="仿宋_GB2312" w:cs="Times New Roman"/>
          <w:b/>
          <w:sz w:val="28"/>
          <w:szCs w:val="28"/>
        </w:rPr>
      </w:pPr>
      <w:bookmarkStart w:id="39" w:name="_Toc1423"/>
      <w:bookmarkStart w:id="40" w:name="_Toc23962"/>
      <w:bookmarkStart w:id="41" w:name="_Toc18465"/>
      <w:r>
        <w:rPr>
          <w:rStyle w:val="20"/>
          <w:rFonts w:hint="default" w:ascii="Times New Roman" w:hAnsi="Times New Roman" w:eastAsia="仿宋_GB2312" w:cs="Times New Roman"/>
          <w:bCs/>
          <w:sz w:val="28"/>
          <w:szCs w:val="28"/>
        </w:rPr>
        <w:t>六、价值类型</w:t>
      </w:r>
      <w:bookmarkEnd w:id="39"/>
      <w:bookmarkEnd w:id="40"/>
      <w:bookmarkEnd w:id="41"/>
    </w:p>
    <w:p>
      <w:pPr>
        <w:spacing w:beforeLines="0" w:afterLines="0" w:line="360" w:lineRule="auto"/>
        <w:ind w:firstLine="560" w:firstLineChars="200"/>
        <w:contextualSpacing/>
        <w:rPr>
          <w:rFonts w:ascii="Times New Roman" w:hAnsi="Times New Roman" w:eastAsia="仿宋_GB2312" w:cs="Times New Roman"/>
          <w:sz w:val="28"/>
          <w:szCs w:val="28"/>
        </w:rPr>
      </w:pPr>
      <w:bookmarkStart w:id="42" w:name="_Toc389060151"/>
      <w:bookmarkStart w:id="43" w:name="_Toc389060203"/>
      <w:r>
        <w:rPr>
          <w:rFonts w:hint="default" w:ascii="Times New Roman" w:hAnsi="Times New Roman" w:eastAsia="仿宋_GB2312" w:cs="Times New Roman"/>
          <w:sz w:val="28"/>
          <w:szCs w:val="28"/>
        </w:rPr>
        <w:t>市场价值，是指估价对象由熟悉情况的交易双方以公平交易方式在价值时点自愿进行交易的金额。</w:t>
      </w:r>
      <w:bookmarkEnd w:id="42"/>
      <w:bookmarkEnd w:id="43"/>
    </w:p>
    <w:p>
      <w:pPr>
        <w:spacing w:beforeLines="0" w:afterLines="0" w:line="360" w:lineRule="auto"/>
        <w:ind w:firstLine="562" w:firstLineChars="200"/>
        <w:contextualSpacing/>
        <w:jc w:val="left"/>
        <w:outlineLvl w:val="1"/>
        <w:rPr>
          <w:rFonts w:ascii="Times New Roman" w:hAnsi="Times New Roman" w:eastAsia="仿宋_GB2312" w:cs="Times New Roman"/>
          <w:sz w:val="28"/>
          <w:szCs w:val="28"/>
        </w:rPr>
      </w:pPr>
      <w:bookmarkStart w:id="44" w:name="_Toc32086"/>
      <w:bookmarkStart w:id="45" w:name="_Toc12759"/>
      <w:bookmarkStart w:id="46" w:name="_Toc9749"/>
      <w:r>
        <w:rPr>
          <w:rStyle w:val="20"/>
          <w:rFonts w:hint="default" w:ascii="Times New Roman" w:hAnsi="Times New Roman" w:eastAsia="仿宋_GB2312" w:cs="Times New Roman"/>
          <w:bCs/>
          <w:sz w:val="28"/>
          <w:szCs w:val="28"/>
        </w:rPr>
        <w:t>七、估价原则</w:t>
      </w:r>
      <w:bookmarkEnd w:id="44"/>
      <w:bookmarkEnd w:id="45"/>
      <w:bookmarkEnd w:id="46"/>
    </w:p>
    <w:p>
      <w:pPr>
        <w:spacing w:beforeLines="0" w:afterLines="0" w:line="360" w:lineRule="auto"/>
        <w:ind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default" w:ascii="Times New Roman" w:hAnsi="Times New Roman" w:eastAsia="仿宋_GB2312" w:cs="Times New Roman"/>
          <w:sz w:val="28"/>
          <w:szCs w:val="28"/>
        </w:rPr>
        <w:t>、独立、客观、公正原则：</w:t>
      </w:r>
    </w:p>
    <w:p>
      <w:pPr>
        <w:pStyle w:val="12"/>
        <w:spacing w:beforeLines="0" w:after="0" w:afterLines="0" w:line="360" w:lineRule="auto"/>
        <w:ind w:left="0" w:leftChars="0" w:firstLine="560" w:firstLineChars="200"/>
        <w:contextualSpacing/>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要求站在中立的立场上，实事求是、公平正直地评估出对各方估价利害关系人均是公平合理的价值或价格的原则。</w:t>
      </w:r>
    </w:p>
    <w:p>
      <w:pPr>
        <w:pStyle w:val="12"/>
        <w:spacing w:beforeLines="0" w:after="0" w:afterLines="0" w:line="360" w:lineRule="auto"/>
        <w:ind w:left="0" w:leftChars="0"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default" w:ascii="Times New Roman" w:hAnsi="Times New Roman" w:eastAsia="仿宋_GB2312" w:cs="Times New Roman"/>
          <w:sz w:val="28"/>
          <w:szCs w:val="28"/>
        </w:rPr>
        <w:t>、合法原则：</w:t>
      </w:r>
    </w:p>
    <w:p>
      <w:pPr>
        <w:pStyle w:val="12"/>
        <w:spacing w:beforeLines="0" w:after="0" w:afterLines="0" w:line="360" w:lineRule="auto"/>
        <w:ind w:left="0" w:leftChars="0" w:firstLine="560" w:firstLineChars="200"/>
        <w:contextualSpacing/>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要求估价结果是在依法判定的估价对象状况下的价值或价格的原则。房地产估价遵循合法原则，应当以估价对象的合法产权、合法使用、合法交易为前提进行。</w:t>
      </w:r>
    </w:p>
    <w:p>
      <w:pPr>
        <w:pStyle w:val="12"/>
        <w:spacing w:beforeLines="0" w:after="0" w:afterLines="0" w:line="360" w:lineRule="auto"/>
        <w:ind w:left="0" w:leftChars="0"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default" w:ascii="Times New Roman" w:hAnsi="Times New Roman" w:eastAsia="仿宋_GB2312" w:cs="Times New Roman"/>
          <w:sz w:val="28"/>
          <w:szCs w:val="28"/>
        </w:rPr>
        <w:t>、价值时点原则：</w:t>
      </w:r>
    </w:p>
    <w:p>
      <w:pPr>
        <w:spacing w:beforeLines="0" w:afterLines="0" w:line="360" w:lineRule="auto"/>
        <w:ind w:firstLine="560" w:firstLineChars="200"/>
        <w:contextualSpacing/>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要求估价结果是在根据估价目的确定的某一特定时间的价值或价格的原则。房地产估价之所以要遵循价值时点原则，是因为影响房地产价格的因素是不断变化的，房地产市场是不断变化的，从而房地产价格和价值也是不断变化的。</w:t>
      </w:r>
    </w:p>
    <w:p>
      <w:pPr>
        <w:pStyle w:val="12"/>
        <w:spacing w:beforeLines="0" w:after="0" w:afterLines="0" w:line="360" w:lineRule="auto"/>
        <w:ind w:left="0" w:leftChars="0"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default" w:ascii="Times New Roman" w:hAnsi="Times New Roman" w:eastAsia="仿宋_GB2312" w:cs="Times New Roman"/>
          <w:sz w:val="28"/>
          <w:szCs w:val="28"/>
        </w:rPr>
        <w:t>、替代原则：</w:t>
      </w:r>
    </w:p>
    <w:p>
      <w:pPr>
        <w:spacing w:beforeLines="0" w:afterLines="0" w:line="360" w:lineRule="auto"/>
        <w:ind w:firstLine="560" w:firstLineChars="200"/>
        <w:contextualSpacing/>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要求估价结果与估价对象的类似房地产在同等条件下的价值或价格偏差在合理范围内的原则。</w:t>
      </w:r>
    </w:p>
    <w:p>
      <w:pPr>
        <w:pStyle w:val="12"/>
        <w:spacing w:beforeLines="0" w:after="0" w:afterLines="0" w:line="360" w:lineRule="auto"/>
        <w:ind w:left="0" w:leftChars="0" w:firstLine="560" w:firstLineChars="200"/>
        <w:contextualSpacing/>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hint="default" w:ascii="Times New Roman" w:hAnsi="Times New Roman" w:eastAsia="仿宋_GB2312" w:cs="Times New Roman"/>
          <w:sz w:val="28"/>
          <w:szCs w:val="28"/>
        </w:rPr>
        <w:t>、最高最佳利用原则：</w:t>
      </w:r>
    </w:p>
    <w:p>
      <w:pPr>
        <w:spacing w:beforeLines="0" w:afterLines="0" w:line="360" w:lineRule="auto"/>
        <w:ind w:firstLine="560" w:firstLineChars="200"/>
        <w:contextualSpacing/>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要求估价结果是在估价对象最高最佳利用状况下的价值或价格的原则。最高最佳利用是指房地产在法律上允许、技术上可能、财务上可行并使价值最大的合理、可能的利用，包括最佳的用途、规模、档次等。</w:t>
      </w:r>
    </w:p>
    <w:p>
      <w:pPr>
        <w:spacing w:beforeLines="0" w:afterLines="0" w:line="360" w:lineRule="auto"/>
        <w:ind w:firstLine="562" w:firstLineChars="200"/>
        <w:contextualSpacing/>
        <w:outlineLvl w:val="1"/>
        <w:rPr>
          <w:rFonts w:ascii="Times New Roman" w:hAnsi="Times New Roman" w:eastAsia="仿宋_GB2312" w:cs="Times New Roman"/>
          <w:b/>
          <w:sz w:val="28"/>
          <w:szCs w:val="28"/>
        </w:rPr>
      </w:pPr>
      <w:bookmarkStart w:id="47" w:name="_Toc25796"/>
      <w:bookmarkStart w:id="48" w:name="_Toc31951"/>
      <w:bookmarkStart w:id="49" w:name="_Toc24642"/>
      <w:r>
        <w:rPr>
          <w:rStyle w:val="20"/>
          <w:rFonts w:hint="default" w:ascii="Times New Roman" w:hAnsi="Times New Roman" w:eastAsia="仿宋_GB2312" w:cs="Times New Roman"/>
          <w:bCs/>
          <w:sz w:val="28"/>
          <w:szCs w:val="28"/>
        </w:rPr>
        <w:t>八、估价依据</w:t>
      </w:r>
      <w:bookmarkEnd w:id="47"/>
      <w:bookmarkEnd w:id="48"/>
      <w:bookmarkEnd w:id="49"/>
    </w:p>
    <w:p>
      <w:pPr>
        <w:spacing w:beforeLines="0" w:afterLines="0" w:line="360" w:lineRule="auto"/>
        <w:ind w:firstLine="560" w:firstLineChars="200"/>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1</w:t>
      </w:r>
      <w:r>
        <w:rPr>
          <w:rFonts w:hint="default" w:ascii="Times New Roman" w:hAnsi="Times New Roman" w:eastAsia="仿宋_GB2312" w:cs="Times New Roman"/>
          <w:bCs/>
          <w:sz w:val="28"/>
          <w:szCs w:val="28"/>
        </w:rPr>
        <w:t>、相关房地产法律、法规、政府文件、部门规章：</w:t>
      </w:r>
    </w:p>
    <w:p>
      <w:pPr>
        <w:spacing w:beforeLines="0" w:afterLines="0" w:line="360" w:lineRule="auto"/>
        <w:ind w:firstLine="560" w:firstLineChars="200"/>
        <w:jc w:val="left"/>
        <w:rPr>
          <w:rFonts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r>
        <w:rPr>
          <w:rFonts w:ascii="Times New Roman" w:hAnsi="Times New Roman" w:eastAsia="仿宋_GB2312" w:cs="Times New Roman"/>
          <w:bCs/>
          <w:sz w:val="28"/>
          <w:szCs w:val="28"/>
        </w:rPr>
        <w:t>1</w:t>
      </w:r>
      <w:r>
        <w:rPr>
          <w:rFonts w:hint="default" w:ascii="Times New Roman" w:hAnsi="Times New Roman" w:eastAsia="仿宋_GB2312" w:cs="Times New Roman"/>
          <w:bCs/>
          <w:sz w:val="28"/>
          <w:szCs w:val="28"/>
        </w:rPr>
        <w:t>）《中华人民共和国城市房地产管理法》（中华人民共和国主席令第</w:t>
      </w:r>
      <w:r>
        <w:rPr>
          <w:rFonts w:ascii="Times New Roman" w:hAnsi="Times New Roman" w:eastAsia="仿宋_GB2312" w:cs="Times New Roman"/>
          <w:bCs/>
          <w:sz w:val="28"/>
          <w:szCs w:val="28"/>
        </w:rPr>
        <w:t>72</w:t>
      </w:r>
      <w:r>
        <w:rPr>
          <w:rFonts w:hint="default" w:ascii="Times New Roman" w:hAnsi="Times New Roman" w:eastAsia="仿宋_GB2312" w:cs="Times New Roman"/>
          <w:bCs/>
          <w:sz w:val="28"/>
          <w:szCs w:val="28"/>
        </w:rPr>
        <w:t>号）；</w:t>
      </w:r>
    </w:p>
    <w:p>
      <w:pPr>
        <w:spacing w:beforeLines="0" w:afterLines="0" w:line="360" w:lineRule="auto"/>
        <w:ind w:firstLine="560" w:firstLineChars="200"/>
        <w:jc w:val="left"/>
        <w:rPr>
          <w:rFonts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r>
        <w:rPr>
          <w:rFonts w:ascii="Times New Roman" w:hAnsi="Times New Roman" w:eastAsia="仿宋_GB2312" w:cs="Times New Roman"/>
          <w:bCs/>
          <w:sz w:val="28"/>
          <w:szCs w:val="28"/>
        </w:rPr>
        <w:t>2</w:t>
      </w:r>
      <w:r>
        <w:rPr>
          <w:rFonts w:hint="default" w:ascii="Times New Roman" w:hAnsi="Times New Roman" w:eastAsia="仿宋_GB2312" w:cs="Times New Roman"/>
          <w:bCs/>
          <w:sz w:val="28"/>
          <w:szCs w:val="28"/>
        </w:rPr>
        <w:t>）《中华人民共和国土地管理法》（中华人民共和国主席令第</w:t>
      </w:r>
      <w:r>
        <w:rPr>
          <w:rFonts w:ascii="Times New Roman" w:hAnsi="Times New Roman" w:eastAsia="仿宋_GB2312" w:cs="Times New Roman"/>
          <w:bCs/>
          <w:sz w:val="28"/>
          <w:szCs w:val="28"/>
        </w:rPr>
        <w:t>28</w:t>
      </w:r>
      <w:r>
        <w:rPr>
          <w:rFonts w:hint="default" w:ascii="Times New Roman" w:hAnsi="Times New Roman" w:eastAsia="仿宋_GB2312" w:cs="Times New Roman"/>
          <w:bCs/>
          <w:sz w:val="28"/>
          <w:szCs w:val="28"/>
        </w:rPr>
        <w:t>号）；</w:t>
      </w:r>
    </w:p>
    <w:p>
      <w:pPr>
        <w:spacing w:beforeLines="0" w:afterLines="0" w:line="360" w:lineRule="auto"/>
        <w:ind w:firstLine="560" w:firstLineChars="200"/>
        <w:jc w:val="left"/>
        <w:rPr>
          <w:rFonts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r>
        <w:rPr>
          <w:rFonts w:ascii="Times New Roman" w:hAnsi="Times New Roman" w:eastAsia="仿宋_GB2312" w:cs="Times New Roman"/>
          <w:bCs/>
          <w:sz w:val="28"/>
          <w:szCs w:val="28"/>
        </w:rPr>
        <w:t>3</w:t>
      </w:r>
      <w:r>
        <w:rPr>
          <w:rFonts w:hint="default" w:ascii="Times New Roman" w:hAnsi="Times New Roman" w:eastAsia="仿宋_GB2312" w:cs="Times New Roman"/>
          <w:bCs/>
          <w:sz w:val="28"/>
          <w:szCs w:val="28"/>
        </w:rPr>
        <w:t>）《中华人民共和国民事诉讼法》（主席令</w:t>
      </w:r>
      <w:r>
        <w:rPr>
          <w:rFonts w:ascii="Times New Roman" w:hAnsi="Times New Roman" w:eastAsia="仿宋_GB2312" w:cs="Times New Roman"/>
          <w:bCs/>
          <w:sz w:val="28"/>
          <w:szCs w:val="28"/>
        </w:rPr>
        <w:t>75</w:t>
      </w:r>
      <w:r>
        <w:rPr>
          <w:rFonts w:hint="default" w:ascii="Times New Roman" w:hAnsi="Times New Roman" w:eastAsia="仿宋_GB2312" w:cs="Times New Roman"/>
          <w:bCs/>
          <w:sz w:val="28"/>
          <w:szCs w:val="28"/>
        </w:rPr>
        <w:t>号，</w:t>
      </w:r>
      <w:r>
        <w:rPr>
          <w:rFonts w:ascii="Times New Roman" w:hAnsi="Times New Roman" w:eastAsia="仿宋_GB2312" w:cs="Times New Roman"/>
          <w:bCs/>
          <w:sz w:val="28"/>
          <w:szCs w:val="28"/>
        </w:rPr>
        <w:t>2008</w:t>
      </w:r>
      <w:r>
        <w:rPr>
          <w:rFonts w:hint="default" w:ascii="Times New Roman" w:hAnsi="Times New Roman" w:eastAsia="仿宋_GB2312" w:cs="Times New Roman"/>
          <w:bCs/>
          <w:sz w:val="28"/>
          <w:szCs w:val="28"/>
        </w:rPr>
        <w:t>年</w:t>
      </w:r>
      <w:r>
        <w:rPr>
          <w:rFonts w:ascii="Times New Roman" w:hAnsi="Times New Roman" w:eastAsia="仿宋_GB2312" w:cs="Times New Roman"/>
          <w:bCs/>
          <w:sz w:val="28"/>
          <w:szCs w:val="28"/>
        </w:rPr>
        <w:t>4</w:t>
      </w:r>
      <w:r>
        <w:rPr>
          <w:rFonts w:hint="default" w:ascii="Times New Roman" w:hAnsi="Times New Roman" w:eastAsia="仿宋_GB2312" w:cs="Times New Roman"/>
          <w:bCs/>
          <w:sz w:val="28"/>
          <w:szCs w:val="28"/>
        </w:rPr>
        <w:t>月</w:t>
      </w:r>
      <w:r>
        <w:rPr>
          <w:rFonts w:ascii="Times New Roman" w:hAnsi="Times New Roman" w:eastAsia="仿宋_GB2312" w:cs="Times New Roman"/>
          <w:bCs/>
          <w:sz w:val="28"/>
          <w:szCs w:val="28"/>
        </w:rPr>
        <w:t>1</w:t>
      </w:r>
      <w:r>
        <w:rPr>
          <w:rFonts w:hint="default" w:ascii="Times New Roman" w:hAnsi="Times New Roman" w:eastAsia="仿宋_GB2312" w:cs="Times New Roman"/>
          <w:bCs/>
          <w:sz w:val="28"/>
          <w:szCs w:val="28"/>
        </w:rPr>
        <w:t>日起施行）；</w:t>
      </w:r>
    </w:p>
    <w:p>
      <w:pPr>
        <w:spacing w:beforeLines="0" w:afterLines="0" w:line="360" w:lineRule="auto"/>
        <w:ind w:firstLine="560" w:firstLineChars="200"/>
        <w:jc w:val="left"/>
        <w:rPr>
          <w:rFonts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r>
        <w:rPr>
          <w:rFonts w:ascii="Times New Roman" w:hAnsi="Times New Roman" w:eastAsia="仿宋_GB2312" w:cs="Times New Roman"/>
          <w:bCs/>
          <w:sz w:val="28"/>
          <w:szCs w:val="28"/>
        </w:rPr>
        <w:t>4</w:t>
      </w:r>
      <w:r>
        <w:rPr>
          <w:rFonts w:hint="default" w:ascii="Times New Roman" w:hAnsi="Times New Roman" w:eastAsia="仿宋_GB2312" w:cs="Times New Roman"/>
          <w:bCs/>
          <w:sz w:val="28"/>
          <w:szCs w:val="28"/>
        </w:rPr>
        <w:t>）《中华人民共和国资产评估法》（主席令第</w:t>
      </w:r>
      <w:r>
        <w:rPr>
          <w:rFonts w:ascii="Times New Roman" w:hAnsi="Times New Roman" w:eastAsia="仿宋_GB2312" w:cs="Times New Roman"/>
          <w:bCs/>
          <w:sz w:val="28"/>
          <w:szCs w:val="28"/>
        </w:rPr>
        <w:t>46</w:t>
      </w:r>
      <w:r>
        <w:rPr>
          <w:rFonts w:hint="default" w:ascii="Times New Roman" w:hAnsi="Times New Roman" w:eastAsia="仿宋_GB2312" w:cs="Times New Roman"/>
          <w:bCs/>
          <w:sz w:val="28"/>
          <w:szCs w:val="28"/>
        </w:rPr>
        <w:t>号，</w:t>
      </w:r>
      <w:r>
        <w:rPr>
          <w:rFonts w:ascii="Times New Roman" w:hAnsi="Times New Roman" w:eastAsia="仿宋_GB2312" w:cs="Times New Roman"/>
          <w:bCs/>
          <w:sz w:val="28"/>
          <w:szCs w:val="28"/>
        </w:rPr>
        <w:t>2016</w:t>
      </w:r>
      <w:r>
        <w:rPr>
          <w:rFonts w:hint="default" w:ascii="Times New Roman" w:hAnsi="Times New Roman" w:eastAsia="仿宋_GB2312" w:cs="Times New Roman"/>
          <w:bCs/>
          <w:sz w:val="28"/>
          <w:szCs w:val="28"/>
        </w:rPr>
        <w:t>年</w:t>
      </w:r>
      <w:r>
        <w:rPr>
          <w:rFonts w:ascii="Times New Roman" w:hAnsi="Times New Roman" w:eastAsia="仿宋_GB2312" w:cs="Times New Roman"/>
          <w:bCs/>
          <w:sz w:val="28"/>
          <w:szCs w:val="28"/>
        </w:rPr>
        <w:t>12</w:t>
      </w:r>
      <w:r>
        <w:rPr>
          <w:rFonts w:hint="default" w:ascii="Times New Roman" w:hAnsi="Times New Roman" w:eastAsia="仿宋_GB2312" w:cs="Times New Roman"/>
          <w:bCs/>
          <w:sz w:val="28"/>
          <w:szCs w:val="28"/>
        </w:rPr>
        <w:t>月</w:t>
      </w:r>
      <w:r>
        <w:rPr>
          <w:rFonts w:ascii="Times New Roman" w:hAnsi="Times New Roman" w:eastAsia="仿宋_GB2312" w:cs="Times New Roman"/>
          <w:bCs/>
          <w:sz w:val="28"/>
          <w:szCs w:val="28"/>
        </w:rPr>
        <w:t>1</w:t>
      </w:r>
      <w:r>
        <w:rPr>
          <w:rFonts w:hint="default" w:ascii="Times New Roman" w:hAnsi="Times New Roman" w:eastAsia="仿宋_GB2312" w:cs="Times New Roman"/>
          <w:bCs/>
          <w:sz w:val="28"/>
          <w:szCs w:val="28"/>
        </w:rPr>
        <w:t>日起施行）；</w:t>
      </w:r>
    </w:p>
    <w:p>
      <w:pPr>
        <w:spacing w:beforeLines="0" w:afterLines="0" w:line="360" w:lineRule="auto"/>
        <w:ind w:firstLine="560" w:firstLineChars="200"/>
        <w:jc w:val="left"/>
        <w:rPr>
          <w:rFonts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r>
        <w:rPr>
          <w:rFonts w:ascii="Times New Roman" w:hAnsi="Times New Roman" w:eastAsia="仿宋_GB2312" w:cs="Times New Roman"/>
          <w:bCs/>
          <w:sz w:val="28"/>
          <w:szCs w:val="28"/>
        </w:rPr>
        <w:t>5</w:t>
      </w:r>
      <w:r>
        <w:rPr>
          <w:rFonts w:hint="default" w:ascii="Times New Roman" w:hAnsi="Times New Roman" w:eastAsia="仿宋_GB2312" w:cs="Times New Roman"/>
          <w:bCs/>
          <w:sz w:val="28"/>
          <w:szCs w:val="28"/>
        </w:rPr>
        <w:t>）《中华人民共和国物权法》（中华人民共和国主席令第</w:t>
      </w:r>
      <w:r>
        <w:rPr>
          <w:rFonts w:ascii="Times New Roman" w:hAnsi="Times New Roman" w:eastAsia="仿宋_GB2312" w:cs="Times New Roman"/>
          <w:bCs/>
          <w:sz w:val="28"/>
          <w:szCs w:val="28"/>
        </w:rPr>
        <w:t>62</w:t>
      </w:r>
      <w:r>
        <w:rPr>
          <w:rFonts w:hint="default" w:ascii="Times New Roman" w:hAnsi="Times New Roman" w:eastAsia="仿宋_GB2312" w:cs="Times New Roman"/>
          <w:bCs/>
          <w:sz w:val="28"/>
          <w:szCs w:val="28"/>
        </w:rPr>
        <w:t>号）；</w:t>
      </w:r>
    </w:p>
    <w:p>
      <w:pPr>
        <w:spacing w:beforeLines="0" w:afterLines="0" w:line="360" w:lineRule="auto"/>
        <w:ind w:firstLine="560" w:firstLineChars="200"/>
        <w:jc w:val="left"/>
        <w:rPr>
          <w:rFonts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r>
        <w:rPr>
          <w:rFonts w:ascii="Times New Roman" w:hAnsi="Times New Roman" w:eastAsia="仿宋_GB2312" w:cs="Times New Roman"/>
          <w:bCs/>
          <w:sz w:val="28"/>
          <w:szCs w:val="28"/>
        </w:rPr>
        <w:t>6</w:t>
      </w:r>
      <w:r>
        <w:rPr>
          <w:rFonts w:hint="default" w:ascii="Times New Roman" w:hAnsi="Times New Roman" w:eastAsia="仿宋_GB2312" w:cs="Times New Roman"/>
          <w:bCs/>
          <w:sz w:val="28"/>
          <w:szCs w:val="28"/>
        </w:rPr>
        <w:t>）《中华人民共和国合同法》（中华人民共和国主席令第</w:t>
      </w:r>
      <w:r>
        <w:rPr>
          <w:rFonts w:ascii="Times New Roman" w:hAnsi="Times New Roman" w:eastAsia="仿宋_GB2312" w:cs="Times New Roman"/>
          <w:bCs/>
          <w:sz w:val="28"/>
          <w:szCs w:val="28"/>
        </w:rPr>
        <w:t>15</w:t>
      </w:r>
      <w:r>
        <w:rPr>
          <w:rFonts w:hint="default" w:ascii="Times New Roman" w:hAnsi="Times New Roman" w:eastAsia="仿宋_GB2312" w:cs="Times New Roman"/>
          <w:bCs/>
          <w:sz w:val="28"/>
          <w:szCs w:val="28"/>
        </w:rPr>
        <w:t>号）；</w:t>
      </w:r>
    </w:p>
    <w:p>
      <w:pPr>
        <w:spacing w:beforeLines="0" w:afterLines="0" w:line="360" w:lineRule="auto"/>
        <w:ind w:firstLine="560" w:firstLineChars="200"/>
        <w:jc w:val="left"/>
        <w:rPr>
          <w:rFonts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r>
        <w:rPr>
          <w:rFonts w:ascii="Times New Roman" w:hAnsi="Times New Roman" w:eastAsia="仿宋_GB2312" w:cs="Times New Roman"/>
          <w:bCs/>
          <w:sz w:val="28"/>
          <w:szCs w:val="28"/>
        </w:rPr>
        <w:t>7</w:t>
      </w:r>
      <w:r>
        <w:rPr>
          <w:rFonts w:hint="default" w:ascii="Times New Roman" w:hAnsi="Times New Roman" w:eastAsia="仿宋_GB2312" w:cs="Times New Roman"/>
          <w:bCs/>
          <w:sz w:val="28"/>
          <w:szCs w:val="28"/>
        </w:rPr>
        <w:t>）《最高人民法院关于人民法院民事执行中拍卖、变卖财产的规定》（</w:t>
      </w:r>
      <w:r>
        <w:rPr>
          <w:rFonts w:ascii="Times New Roman" w:hAnsi="Times New Roman" w:eastAsia="仿宋_GB2312" w:cs="Times New Roman"/>
          <w:bCs/>
          <w:sz w:val="28"/>
          <w:szCs w:val="28"/>
        </w:rPr>
        <w:t>2004</w:t>
      </w:r>
      <w:r>
        <w:rPr>
          <w:rFonts w:hint="default" w:ascii="Times New Roman" w:hAnsi="Times New Roman" w:eastAsia="仿宋_GB2312" w:cs="Times New Roman"/>
          <w:bCs/>
          <w:sz w:val="28"/>
          <w:szCs w:val="28"/>
        </w:rPr>
        <w:t>年</w:t>
      </w:r>
      <w:r>
        <w:rPr>
          <w:rFonts w:ascii="Times New Roman" w:hAnsi="Times New Roman" w:eastAsia="仿宋_GB2312" w:cs="Times New Roman"/>
          <w:bCs/>
          <w:sz w:val="28"/>
          <w:szCs w:val="28"/>
        </w:rPr>
        <w:t>10</w:t>
      </w:r>
      <w:r>
        <w:rPr>
          <w:rFonts w:hint="default" w:ascii="Times New Roman" w:hAnsi="Times New Roman" w:eastAsia="仿宋_GB2312" w:cs="Times New Roman"/>
          <w:bCs/>
          <w:sz w:val="28"/>
          <w:szCs w:val="28"/>
        </w:rPr>
        <w:t>月</w:t>
      </w:r>
      <w:r>
        <w:rPr>
          <w:rFonts w:ascii="Times New Roman" w:hAnsi="Times New Roman" w:eastAsia="仿宋_GB2312" w:cs="Times New Roman"/>
          <w:bCs/>
          <w:sz w:val="28"/>
          <w:szCs w:val="28"/>
        </w:rPr>
        <w:t>26</w:t>
      </w:r>
      <w:r>
        <w:rPr>
          <w:rFonts w:hint="default" w:ascii="Times New Roman" w:hAnsi="Times New Roman" w:eastAsia="仿宋_GB2312" w:cs="Times New Roman"/>
          <w:bCs/>
          <w:sz w:val="28"/>
          <w:szCs w:val="28"/>
        </w:rPr>
        <w:t>日，法释</w:t>
      </w:r>
      <w:r>
        <w:rPr>
          <w:rFonts w:ascii="Times New Roman" w:hAnsi="Times New Roman" w:eastAsia="仿宋_GB2312" w:cs="Times New Roman"/>
          <w:bCs/>
          <w:sz w:val="28"/>
          <w:szCs w:val="28"/>
        </w:rPr>
        <w:t>[2004]16</w:t>
      </w:r>
      <w:r>
        <w:rPr>
          <w:rFonts w:hint="default" w:ascii="Times New Roman" w:hAnsi="Times New Roman" w:eastAsia="仿宋_GB2312" w:cs="Times New Roman"/>
          <w:bCs/>
          <w:sz w:val="28"/>
          <w:szCs w:val="28"/>
        </w:rPr>
        <w:t>号）；</w:t>
      </w:r>
    </w:p>
    <w:p>
      <w:pPr>
        <w:spacing w:beforeLines="0" w:afterLines="0" w:line="360" w:lineRule="auto"/>
        <w:ind w:firstLine="560" w:firstLineChars="200"/>
        <w:jc w:val="left"/>
        <w:rPr>
          <w:rFonts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r>
        <w:rPr>
          <w:rFonts w:ascii="Times New Roman" w:hAnsi="Times New Roman" w:eastAsia="仿宋_GB2312" w:cs="Times New Roman"/>
          <w:bCs/>
          <w:sz w:val="28"/>
          <w:szCs w:val="28"/>
        </w:rPr>
        <w:t>8</w:t>
      </w:r>
      <w:r>
        <w:rPr>
          <w:rFonts w:hint="default" w:ascii="Times New Roman" w:hAnsi="Times New Roman" w:eastAsia="仿宋_GB2312" w:cs="Times New Roman"/>
          <w:bCs/>
          <w:sz w:val="28"/>
          <w:szCs w:val="28"/>
        </w:rPr>
        <w:t>）《最高人民法院关于人民法院委托评估、拍卖和变卖工作的若干规定》（</w:t>
      </w:r>
      <w:r>
        <w:rPr>
          <w:rFonts w:ascii="Times New Roman" w:hAnsi="Times New Roman" w:eastAsia="仿宋_GB2312" w:cs="Times New Roman"/>
          <w:bCs/>
          <w:sz w:val="28"/>
          <w:szCs w:val="28"/>
        </w:rPr>
        <w:t>2009</w:t>
      </w:r>
      <w:r>
        <w:rPr>
          <w:rFonts w:hint="default" w:ascii="Times New Roman" w:hAnsi="Times New Roman" w:eastAsia="仿宋_GB2312" w:cs="Times New Roman"/>
          <w:bCs/>
          <w:sz w:val="28"/>
          <w:szCs w:val="28"/>
        </w:rPr>
        <w:t>年</w:t>
      </w:r>
      <w:r>
        <w:rPr>
          <w:rFonts w:ascii="Times New Roman" w:hAnsi="Times New Roman" w:eastAsia="仿宋_GB2312" w:cs="Times New Roman"/>
          <w:bCs/>
          <w:sz w:val="28"/>
          <w:szCs w:val="28"/>
        </w:rPr>
        <w:t>8</w:t>
      </w:r>
      <w:r>
        <w:rPr>
          <w:rFonts w:hint="default" w:ascii="Times New Roman" w:hAnsi="Times New Roman" w:eastAsia="仿宋_GB2312" w:cs="Times New Roman"/>
          <w:bCs/>
          <w:sz w:val="28"/>
          <w:szCs w:val="28"/>
        </w:rPr>
        <w:t>月</w:t>
      </w:r>
      <w:r>
        <w:rPr>
          <w:rFonts w:ascii="Times New Roman" w:hAnsi="Times New Roman" w:eastAsia="仿宋_GB2312" w:cs="Times New Roman"/>
          <w:bCs/>
          <w:sz w:val="28"/>
          <w:szCs w:val="28"/>
        </w:rPr>
        <w:t>24</w:t>
      </w:r>
      <w:r>
        <w:rPr>
          <w:rFonts w:hint="default" w:ascii="Times New Roman" w:hAnsi="Times New Roman" w:eastAsia="仿宋_GB2312" w:cs="Times New Roman"/>
          <w:bCs/>
          <w:sz w:val="28"/>
          <w:szCs w:val="28"/>
        </w:rPr>
        <w:t>日，法释</w:t>
      </w:r>
      <w:r>
        <w:rPr>
          <w:rFonts w:ascii="Times New Roman" w:hAnsi="Times New Roman" w:eastAsia="仿宋_GB2312" w:cs="Times New Roman"/>
          <w:bCs/>
          <w:sz w:val="28"/>
          <w:szCs w:val="28"/>
        </w:rPr>
        <w:t>[2009]16</w:t>
      </w:r>
      <w:r>
        <w:rPr>
          <w:rFonts w:hint="default" w:ascii="Times New Roman" w:hAnsi="Times New Roman" w:eastAsia="仿宋_GB2312" w:cs="Times New Roman"/>
          <w:bCs/>
          <w:sz w:val="28"/>
          <w:szCs w:val="28"/>
        </w:rPr>
        <w:t>号）；</w:t>
      </w:r>
    </w:p>
    <w:p>
      <w:pPr>
        <w:spacing w:beforeLines="0" w:afterLines="0" w:line="360" w:lineRule="auto"/>
        <w:ind w:firstLine="560" w:firstLineChars="200"/>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w:t>
      </w:r>
      <w:r>
        <w:rPr>
          <w:rFonts w:ascii="Times New Roman" w:hAnsi="Times New Roman" w:eastAsia="仿宋_GB2312" w:cs="Times New Roman"/>
          <w:bCs/>
          <w:sz w:val="28"/>
          <w:szCs w:val="28"/>
        </w:rPr>
        <w:t>9</w:t>
      </w:r>
      <w:r>
        <w:rPr>
          <w:rFonts w:hint="default" w:ascii="Times New Roman" w:hAnsi="Times New Roman" w:eastAsia="仿宋_GB2312" w:cs="Times New Roman"/>
          <w:bCs/>
          <w:sz w:val="28"/>
          <w:szCs w:val="28"/>
        </w:rPr>
        <w:t>）《最高人民法院对外委托鉴定、评估、拍卖工作若干规定》（</w:t>
      </w:r>
      <w:r>
        <w:rPr>
          <w:rFonts w:ascii="Times New Roman" w:hAnsi="Times New Roman" w:eastAsia="仿宋_GB2312" w:cs="Times New Roman"/>
          <w:bCs/>
          <w:sz w:val="28"/>
          <w:szCs w:val="28"/>
        </w:rPr>
        <w:t>2009</w:t>
      </w:r>
      <w:r>
        <w:rPr>
          <w:rFonts w:hint="default" w:ascii="Times New Roman" w:hAnsi="Times New Roman" w:eastAsia="仿宋_GB2312" w:cs="Times New Roman"/>
          <w:bCs/>
          <w:sz w:val="28"/>
          <w:szCs w:val="28"/>
        </w:rPr>
        <w:t>年</w:t>
      </w:r>
      <w:r>
        <w:rPr>
          <w:rFonts w:ascii="Times New Roman" w:hAnsi="Times New Roman" w:eastAsia="仿宋_GB2312" w:cs="Times New Roman"/>
          <w:bCs/>
          <w:sz w:val="28"/>
          <w:szCs w:val="28"/>
        </w:rPr>
        <w:t>8</w:t>
      </w:r>
      <w:r>
        <w:rPr>
          <w:rFonts w:hint="default" w:ascii="Times New Roman" w:hAnsi="Times New Roman" w:eastAsia="仿宋_GB2312" w:cs="Times New Roman"/>
          <w:bCs/>
          <w:sz w:val="28"/>
          <w:szCs w:val="28"/>
        </w:rPr>
        <w:t>月</w:t>
      </w:r>
      <w:r>
        <w:rPr>
          <w:rFonts w:ascii="Times New Roman" w:hAnsi="Times New Roman" w:eastAsia="仿宋_GB2312" w:cs="Times New Roman"/>
          <w:bCs/>
          <w:sz w:val="28"/>
          <w:szCs w:val="28"/>
        </w:rPr>
        <w:t>24</w:t>
      </w:r>
      <w:r>
        <w:rPr>
          <w:rFonts w:hint="default" w:ascii="Times New Roman" w:hAnsi="Times New Roman" w:eastAsia="仿宋_GB2312" w:cs="Times New Roman"/>
          <w:bCs/>
          <w:sz w:val="28"/>
          <w:szCs w:val="28"/>
        </w:rPr>
        <w:t>日，法释</w:t>
      </w:r>
      <w:r>
        <w:rPr>
          <w:rFonts w:ascii="Times New Roman" w:hAnsi="Times New Roman" w:eastAsia="仿宋_GB2312" w:cs="Times New Roman"/>
          <w:bCs/>
          <w:sz w:val="28"/>
          <w:szCs w:val="28"/>
        </w:rPr>
        <w:t>[2009]16</w:t>
      </w:r>
      <w:r>
        <w:rPr>
          <w:rFonts w:hint="default" w:ascii="Times New Roman" w:hAnsi="Times New Roman" w:eastAsia="仿宋_GB2312" w:cs="Times New Roman"/>
          <w:bCs/>
          <w:sz w:val="28"/>
          <w:szCs w:val="28"/>
        </w:rPr>
        <w:t>号）；</w:t>
      </w:r>
    </w:p>
    <w:p>
      <w:pPr>
        <w:spacing w:beforeLines="0" w:afterLines="0"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w:t>
      </w:r>
      <w:r>
        <w:rPr>
          <w:rFonts w:hint="default" w:ascii="Times New Roman" w:hAnsi="Times New Roman" w:eastAsia="仿宋_GB2312" w:cs="Times New Roman"/>
          <w:color w:val="000000"/>
          <w:sz w:val="28"/>
          <w:szCs w:val="28"/>
        </w:rPr>
        <w:t>、相关技术标准：</w:t>
      </w:r>
    </w:p>
    <w:p>
      <w:pPr>
        <w:spacing w:beforeLines="0" w:afterLines="0" w:line="360" w:lineRule="auto"/>
        <w:ind w:firstLine="560" w:firstLineChars="200"/>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w:t>
      </w:r>
      <w:r>
        <w:rPr>
          <w:rFonts w:ascii="Times New Roman" w:hAnsi="Times New Roman" w:eastAsia="仿宋_GB2312" w:cs="Times New Roman"/>
          <w:color w:val="000000"/>
          <w:sz w:val="28"/>
          <w:szCs w:val="28"/>
        </w:rPr>
        <w:t>1</w:t>
      </w:r>
      <w:r>
        <w:rPr>
          <w:rFonts w:hint="default" w:ascii="Times New Roman" w:hAnsi="Times New Roman" w:eastAsia="仿宋_GB2312" w:cs="Times New Roman"/>
          <w:color w:val="000000"/>
          <w:sz w:val="28"/>
          <w:szCs w:val="28"/>
        </w:rPr>
        <w:t>）《房地产估价规范》（</w:t>
      </w:r>
      <w:r>
        <w:rPr>
          <w:rFonts w:ascii="Times New Roman" w:hAnsi="Times New Roman" w:eastAsia="仿宋_GB2312" w:cs="Times New Roman"/>
          <w:color w:val="000000"/>
          <w:sz w:val="28"/>
          <w:szCs w:val="28"/>
        </w:rPr>
        <w:t>GB/T50291-2015</w:t>
      </w:r>
      <w:r>
        <w:rPr>
          <w:rFonts w:hint="default" w:ascii="Times New Roman" w:hAnsi="Times New Roman" w:eastAsia="仿宋_GB2312" w:cs="Times New Roman"/>
          <w:color w:val="000000"/>
          <w:sz w:val="28"/>
          <w:szCs w:val="28"/>
        </w:rPr>
        <w:t>）；</w:t>
      </w:r>
    </w:p>
    <w:p>
      <w:pPr>
        <w:spacing w:beforeLines="0" w:afterLines="0" w:line="360" w:lineRule="auto"/>
        <w:ind w:firstLine="560" w:firstLineChars="200"/>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w:t>
      </w:r>
      <w:r>
        <w:rPr>
          <w:rFonts w:ascii="Times New Roman" w:hAnsi="Times New Roman" w:eastAsia="仿宋_GB2312" w:cs="Times New Roman"/>
          <w:color w:val="000000"/>
          <w:sz w:val="28"/>
          <w:szCs w:val="28"/>
        </w:rPr>
        <w:t>2</w:t>
      </w:r>
      <w:r>
        <w:rPr>
          <w:rFonts w:hint="default" w:ascii="Times New Roman" w:hAnsi="Times New Roman" w:eastAsia="仿宋_GB2312" w:cs="Times New Roman"/>
          <w:color w:val="000000"/>
          <w:sz w:val="28"/>
          <w:szCs w:val="28"/>
        </w:rPr>
        <w:t>）《房地产估价基本术语标准》（</w:t>
      </w:r>
      <w:r>
        <w:rPr>
          <w:rFonts w:ascii="Times New Roman" w:hAnsi="Times New Roman" w:eastAsia="仿宋_GB2312" w:cs="Times New Roman"/>
          <w:color w:val="000000"/>
          <w:sz w:val="28"/>
          <w:szCs w:val="28"/>
        </w:rPr>
        <w:t>GB/T50899-2013</w:t>
      </w:r>
      <w:r>
        <w:rPr>
          <w:rFonts w:hint="default" w:ascii="Times New Roman" w:hAnsi="Times New Roman" w:eastAsia="仿宋_GB2312" w:cs="Times New Roman"/>
          <w:color w:val="000000"/>
          <w:sz w:val="28"/>
          <w:szCs w:val="28"/>
        </w:rPr>
        <w:t>）；</w:t>
      </w:r>
    </w:p>
    <w:p>
      <w:pPr>
        <w:spacing w:beforeLines="0" w:afterLines="0" w:line="360" w:lineRule="auto"/>
        <w:ind w:firstLine="560" w:firstLineChars="200"/>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w:t>
      </w:r>
      <w:r>
        <w:rPr>
          <w:rFonts w:ascii="Times New Roman" w:hAnsi="Times New Roman" w:eastAsia="仿宋_GB2312" w:cs="Times New Roman"/>
          <w:color w:val="000000"/>
          <w:sz w:val="28"/>
          <w:szCs w:val="28"/>
        </w:rPr>
        <w:t>3</w:t>
      </w:r>
      <w:r>
        <w:rPr>
          <w:rFonts w:hint="default" w:ascii="Times New Roman" w:hAnsi="Times New Roman" w:eastAsia="仿宋_GB2312" w:cs="Times New Roman"/>
          <w:color w:val="000000"/>
          <w:sz w:val="28"/>
          <w:szCs w:val="28"/>
        </w:rPr>
        <w:t>）《城镇土地估价规程》（</w:t>
      </w:r>
      <w:r>
        <w:rPr>
          <w:rFonts w:ascii="Times New Roman" w:hAnsi="Times New Roman" w:eastAsia="仿宋_GB2312" w:cs="Times New Roman"/>
          <w:color w:val="000000"/>
          <w:sz w:val="28"/>
          <w:szCs w:val="28"/>
        </w:rPr>
        <w:t>GB/T18508-2014</w:t>
      </w:r>
      <w:r>
        <w:rPr>
          <w:rFonts w:hint="default" w:ascii="Times New Roman" w:hAnsi="Times New Roman" w:eastAsia="仿宋_GB2312" w:cs="Times New Roman"/>
          <w:color w:val="000000"/>
          <w:sz w:val="28"/>
          <w:szCs w:val="28"/>
        </w:rPr>
        <w:t>）；</w:t>
      </w:r>
      <w:r>
        <w:rPr>
          <w:rFonts w:ascii="Times New Roman" w:hAnsi="Times New Roman" w:eastAsia="仿宋_GB2312" w:cs="Times New Roman"/>
          <w:color w:val="000000"/>
          <w:sz w:val="28"/>
          <w:szCs w:val="28"/>
        </w:rPr>
        <w:t xml:space="preserve">                  </w:t>
      </w:r>
    </w:p>
    <w:p>
      <w:pPr>
        <w:spacing w:beforeLines="0" w:afterLines="0" w:line="360" w:lineRule="auto"/>
        <w:ind w:firstLine="560" w:firstLineChars="200"/>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rPr>
        <w:t>）《房地产估价报告评审标准（试行）》（中国房地产估价师与房地产经纪人学会）。</w:t>
      </w:r>
    </w:p>
    <w:p>
      <w:pPr>
        <w:spacing w:beforeLines="0" w:afterLines="0" w:line="360" w:lineRule="auto"/>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3</w:t>
      </w:r>
      <w:r>
        <w:rPr>
          <w:rFonts w:hint="default" w:ascii="Times New Roman" w:hAnsi="Times New Roman" w:eastAsia="仿宋_GB2312" w:cs="Times New Roman"/>
          <w:color w:val="000000"/>
          <w:sz w:val="28"/>
          <w:szCs w:val="28"/>
        </w:rPr>
        <w:t>、估价委托人提供的有关资料：</w:t>
      </w:r>
    </w:p>
    <w:p>
      <w:pPr>
        <w:numPr>
          <w:ilvl w:val="0"/>
          <w:numId w:val="0"/>
        </w:numPr>
        <w:spacing w:beforeLines="-2147483648" w:afterLines="-2147483648" w:line="240" w:lineRule="auto"/>
        <w:ind w:firstLine="560" w:firstLineChars="200"/>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w:t>
      </w:r>
      <w:r>
        <w:rPr>
          <w:rFonts w:ascii="Times New Roman" w:hAnsi="Times New Roman" w:eastAsia="仿宋_GB2312" w:cs="Times New Roman"/>
          <w:color w:val="000000"/>
          <w:sz w:val="28"/>
          <w:szCs w:val="28"/>
        </w:rPr>
        <w:t>1</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z w:val="28"/>
          <w:szCs w:val="28"/>
          <w:lang w:eastAsia="zh-CN"/>
        </w:rPr>
        <w:t>潍坊市寒亭区人民法院</w:t>
      </w:r>
      <w:r>
        <w:rPr>
          <w:rFonts w:hint="default" w:ascii="Times New Roman" w:hAnsi="Times New Roman" w:eastAsia="仿宋_GB2312" w:cs="Times New Roman"/>
          <w:color w:val="000000"/>
          <w:sz w:val="28"/>
          <w:szCs w:val="28"/>
          <w:lang w:eastAsia="zh-CN"/>
        </w:rPr>
        <w:t>（2018）</w:t>
      </w:r>
      <w:r>
        <w:rPr>
          <w:rFonts w:hint="default" w:ascii="Times New Roman" w:hAnsi="Times New Roman" w:eastAsia="仿宋_GB2312" w:cs="Times New Roman"/>
          <w:color w:val="000000"/>
          <w:sz w:val="28"/>
          <w:szCs w:val="28"/>
          <w:lang w:val="en-US" w:eastAsia="zh-CN"/>
        </w:rPr>
        <w:t>寒</w:t>
      </w:r>
      <w:r>
        <w:rPr>
          <w:rFonts w:hint="default" w:ascii="Times New Roman" w:hAnsi="Times New Roman" w:eastAsia="仿宋_GB2312" w:cs="Times New Roman"/>
          <w:color w:val="000000"/>
          <w:sz w:val="28"/>
          <w:szCs w:val="28"/>
          <w:lang w:eastAsia="zh-CN"/>
        </w:rPr>
        <w:t>法技评字第</w:t>
      </w:r>
      <w:r>
        <w:rPr>
          <w:rFonts w:hint="default" w:ascii="Times New Roman" w:hAnsi="Times New Roman" w:eastAsia="仿宋_GB2312" w:cs="Times New Roman"/>
          <w:color w:val="000000"/>
          <w:sz w:val="28"/>
          <w:szCs w:val="28"/>
          <w:lang w:val="en-US" w:eastAsia="zh-CN"/>
        </w:rPr>
        <w:t>0186号</w:t>
      </w:r>
      <w:r>
        <w:rPr>
          <w:rFonts w:hint="default" w:ascii="Times New Roman" w:hAnsi="Times New Roman" w:eastAsia="仿宋_GB2312" w:cs="Times New Roman"/>
          <w:sz w:val="28"/>
          <w:szCs w:val="28"/>
        </w:rPr>
        <w:t>鉴定委托函</w:t>
      </w:r>
      <w:r>
        <w:rPr>
          <w:rFonts w:hint="default" w:ascii="Times New Roman" w:hAnsi="Times New Roman" w:eastAsia="仿宋_GB2312" w:cs="Times New Roman"/>
          <w:sz w:val="28"/>
          <w:szCs w:val="28"/>
          <w:lang w:eastAsia="zh-CN"/>
        </w:rPr>
        <w:t>及司法鉴定委托书</w:t>
      </w:r>
      <w:r>
        <w:rPr>
          <w:rFonts w:hint="default" w:ascii="Times New Roman" w:hAnsi="Times New Roman" w:eastAsia="仿宋_GB2312" w:cs="Times New Roman"/>
          <w:sz w:val="28"/>
          <w:szCs w:val="28"/>
        </w:rPr>
        <w:t>复印件</w:t>
      </w:r>
      <w:r>
        <w:rPr>
          <w:rFonts w:hint="default" w:ascii="Times New Roman" w:hAnsi="Times New Roman" w:eastAsia="仿宋_GB2312" w:cs="Times New Roman"/>
          <w:color w:val="000000"/>
          <w:sz w:val="28"/>
          <w:szCs w:val="28"/>
        </w:rPr>
        <w:t>；</w:t>
      </w:r>
    </w:p>
    <w:p>
      <w:pPr>
        <w:spacing w:beforeLines="0" w:afterLines="0" w:line="360" w:lineRule="auto"/>
        <w:ind w:firstLine="560" w:firstLineChars="200"/>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w:t>
      </w:r>
      <w:r>
        <w:rPr>
          <w:rFonts w:ascii="Times New Roman" w:hAnsi="Times New Roman" w:eastAsia="仿宋_GB2312" w:cs="Times New Roman"/>
          <w:color w:val="000000"/>
          <w:sz w:val="28"/>
          <w:szCs w:val="28"/>
        </w:rPr>
        <w:t>2</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eastAsia="zh-CN"/>
        </w:rPr>
        <w:t>有关房产《查档证明》</w:t>
      </w:r>
      <w:r>
        <w:rPr>
          <w:rFonts w:hint="default" w:ascii="Times New Roman" w:hAnsi="Times New Roman" w:eastAsia="仿宋_GB2312" w:cs="Times New Roman"/>
          <w:color w:val="000000"/>
          <w:sz w:val="28"/>
          <w:szCs w:val="28"/>
        </w:rPr>
        <w:t>等。</w:t>
      </w:r>
    </w:p>
    <w:p>
      <w:pPr>
        <w:spacing w:beforeLines="0" w:afterLines="0" w:line="360" w:lineRule="auto"/>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default" w:ascii="Times New Roman" w:hAnsi="Times New Roman" w:eastAsia="仿宋_GB2312" w:cs="Times New Roman"/>
          <w:sz w:val="28"/>
          <w:szCs w:val="28"/>
        </w:rPr>
        <w:t>、其他资料：</w:t>
      </w:r>
    </w:p>
    <w:p>
      <w:pPr>
        <w:spacing w:beforeLines="0" w:afterLines="0" w:line="360" w:lineRule="auto"/>
        <w:ind w:firstLine="560" w:firstLineChars="200"/>
        <w:jc w:val="lef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1</w:t>
      </w:r>
      <w:r>
        <w:rPr>
          <w:rFonts w:hint="default" w:ascii="Times New Roman" w:hAnsi="Times New Roman" w:eastAsia="仿宋_GB2312" w:cs="Times New Roman"/>
          <w:sz w:val="28"/>
          <w:szCs w:val="28"/>
        </w:rPr>
        <w:t>）估价人员实地查勘、调查搜集的资料和数据；</w:t>
      </w:r>
    </w:p>
    <w:p>
      <w:pPr>
        <w:pStyle w:val="12"/>
        <w:spacing w:beforeLines="0" w:after="0" w:afterLines="0" w:line="360" w:lineRule="auto"/>
        <w:ind w:left="0" w:leftChars="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w:t>
      </w:r>
      <w:r>
        <w:rPr>
          <w:rFonts w:ascii="Times New Roman" w:hAnsi="Times New Roman" w:eastAsia="仿宋_GB2312" w:cs="Times New Roman"/>
          <w:sz w:val="28"/>
          <w:szCs w:val="28"/>
        </w:rPr>
        <w:t>2</w:t>
      </w:r>
      <w:r>
        <w:rPr>
          <w:rFonts w:hint="default" w:ascii="Times New Roman" w:hAnsi="Times New Roman" w:eastAsia="仿宋_GB2312" w:cs="Times New Roman"/>
          <w:sz w:val="28"/>
          <w:szCs w:val="28"/>
        </w:rPr>
        <w:t>）估价人员掌握和收集的其他参考资料。</w:t>
      </w:r>
    </w:p>
    <w:p>
      <w:pPr>
        <w:spacing w:beforeLines="0" w:afterLines="0" w:line="360" w:lineRule="auto"/>
        <w:ind w:firstLine="562" w:firstLineChars="200"/>
        <w:contextualSpacing/>
        <w:outlineLvl w:val="1"/>
        <w:rPr>
          <w:rFonts w:ascii="Times New Roman" w:hAnsi="Times New Roman" w:eastAsia="仿宋_GB2312" w:cs="Times New Roman"/>
          <w:b/>
          <w:sz w:val="28"/>
          <w:szCs w:val="28"/>
        </w:rPr>
      </w:pPr>
      <w:bookmarkStart w:id="50" w:name="_Toc29930"/>
      <w:bookmarkStart w:id="51" w:name="_Toc15939"/>
      <w:bookmarkStart w:id="52" w:name="_Toc8334"/>
      <w:r>
        <w:rPr>
          <w:rStyle w:val="20"/>
          <w:rFonts w:hint="default" w:ascii="Times New Roman" w:hAnsi="Times New Roman" w:eastAsia="仿宋_GB2312" w:cs="Times New Roman"/>
          <w:bCs/>
          <w:sz w:val="28"/>
          <w:szCs w:val="28"/>
        </w:rPr>
        <w:t>九、估价方法</w:t>
      </w:r>
      <w:bookmarkEnd w:id="50"/>
      <w:bookmarkEnd w:id="51"/>
      <w:bookmarkEnd w:id="52"/>
    </w:p>
    <w:p>
      <w:pPr>
        <w:spacing w:beforeLines="0" w:afterLines="0" w:line="360" w:lineRule="auto"/>
        <w:ind w:firstLine="560" w:firstLineChars="200"/>
        <w:contextualSpacing/>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根据《房地产估价规范》，房地产估价常用的方法有比较法、收益法、成本法、假设开发法等，从理论上讲，估价对象的同类房地产在价值时点近期有较多交易的应选用比较法；估价对象或其同类房地产通常有租金等经济收入的应选用收益法；当估价对象的同类房地产没有交易或交易较少，且估价对象或其同类房地产没有租金等经济收入时应选用成本法；估价对象具有开发潜力或再开发潜力且开发完成后的价值可采用成本法以外的方法进行测算的应选用假设开发法。</w:t>
      </w:r>
    </w:p>
    <w:p>
      <w:pPr>
        <w:spacing w:beforeLines="0" w:afterLines="0" w:line="360" w:lineRule="auto"/>
        <w:ind w:firstLine="560" w:firstLineChars="200"/>
        <w:contextualSpacing/>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估价对象目前为正常使用，周围区域类似住宅房地产</w:t>
      </w:r>
      <w:r>
        <w:rPr>
          <w:rFonts w:hint="default" w:ascii="Times New Roman" w:hAnsi="Times New Roman" w:eastAsia="仿宋_GB2312" w:cs="Times New Roman"/>
          <w:sz w:val="28"/>
          <w:szCs w:val="28"/>
          <w:lang w:eastAsia="zh-CN"/>
        </w:rPr>
        <w:t>存在</w:t>
      </w:r>
      <w:r>
        <w:rPr>
          <w:rFonts w:hint="default" w:ascii="Times New Roman" w:hAnsi="Times New Roman" w:eastAsia="仿宋_GB2312" w:cs="Times New Roman"/>
          <w:sz w:val="28"/>
          <w:szCs w:val="28"/>
        </w:rPr>
        <w:t>租赁情况，但</w:t>
      </w:r>
      <w:r>
        <w:rPr>
          <w:rFonts w:hint="default" w:ascii="Times New Roman" w:hAnsi="Times New Roman" w:eastAsia="仿宋_GB2312" w:cs="Times New Roman"/>
          <w:sz w:val="28"/>
          <w:szCs w:val="28"/>
          <w:lang w:eastAsia="zh-CN"/>
        </w:rPr>
        <w:t>目前潍坊市场住宅房地产</w:t>
      </w:r>
      <w:r>
        <w:rPr>
          <w:rFonts w:hint="default" w:ascii="Times New Roman" w:hAnsi="Times New Roman" w:eastAsia="仿宋_GB2312" w:cs="Times New Roman"/>
          <w:sz w:val="28"/>
          <w:szCs w:val="28"/>
        </w:rPr>
        <w:t>租金水平较难反映估价对象的客观市场价格，故不适用收益法；估价对象为已建成使用的住宅房地产，也不适用成本法和假设开发法进行评估。</w:t>
      </w:r>
    </w:p>
    <w:p>
      <w:pPr>
        <w:spacing w:beforeLines="0" w:afterLines="0" w:line="360" w:lineRule="auto"/>
        <w:ind w:firstLine="560" w:firstLineChars="200"/>
        <w:contextualSpacing/>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估价人员根据实地查看和调查，认真分析所掌握的资料，广泛搜集有关市场信息和估价对象信息，结合估价对象的用途及实际情况，全面分析影响估价对象市场价格的因素，市场上类似估价对象的交易实例较多，适宜采用比较法。经综合分析，本次确定对住宅房地产采用比较法进行评估。</w:t>
      </w:r>
    </w:p>
    <w:p>
      <w:pPr>
        <w:spacing w:beforeLines="0" w:afterLines="0" w:line="360" w:lineRule="auto"/>
        <w:ind w:firstLine="560" w:firstLineChars="200"/>
        <w:contextualSpacing/>
        <w:outlineLvl w:val="1"/>
        <w:rPr>
          <w:rFonts w:ascii="Times New Roman" w:hAnsi="Times New Roman" w:eastAsia="仿宋_GB2312" w:cs="Times New Roman"/>
          <w:sz w:val="28"/>
          <w:szCs w:val="28"/>
        </w:rPr>
      </w:pPr>
      <w:bookmarkStart w:id="53" w:name="_Toc26678"/>
      <w:bookmarkStart w:id="54" w:name="_Toc22046"/>
      <w:r>
        <w:rPr>
          <w:rFonts w:hint="default" w:ascii="Times New Roman" w:hAnsi="Times New Roman" w:eastAsia="仿宋_GB2312" w:cs="Times New Roman"/>
          <w:sz w:val="28"/>
          <w:szCs w:val="28"/>
        </w:rPr>
        <w:t>比较法：选取一定数量的可比实例，将它们与估价对象进行比较，根据其间的差异对可比实例成交价格进行处理后得到估价对象价值或价格的方法。</w:t>
      </w:r>
      <w:bookmarkEnd w:id="53"/>
      <w:bookmarkEnd w:id="54"/>
      <w:bookmarkStart w:id="55" w:name="_Toc21411"/>
    </w:p>
    <w:p>
      <w:pPr>
        <w:spacing w:beforeLines="0" w:afterLines="0" w:line="360" w:lineRule="auto"/>
        <w:ind w:firstLine="562" w:firstLineChars="200"/>
        <w:contextualSpacing/>
        <w:outlineLvl w:val="1"/>
        <w:rPr>
          <w:rFonts w:ascii="Times New Roman" w:hAnsi="Times New Roman" w:eastAsia="仿宋_GB2312" w:cs="Times New Roman"/>
          <w:b/>
          <w:sz w:val="28"/>
          <w:szCs w:val="28"/>
        </w:rPr>
      </w:pPr>
      <w:bookmarkStart w:id="56" w:name="_Toc18755"/>
      <w:bookmarkStart w:id="57" w:name="_Toc32232"/>
      <w:r>
        <w:rPr>
          <w:rFonts w:hint="default" w:ascii="Times New Roman" w:hAnsi="Times New Roman" w:eastAsia="仿宋_GB2312" w:cs="Times New Roman"/>
          <w:b/>
          <w:sz w:val="28"/>
          <w:szCs w:val="28"/>
        </w:rPr>
        <w:t>十、估价结果</w:t>
      </w:r>
      <w:bookmarkEnd w:id="55"/>
      <w:bookmarkEnd w:id="56"/>
      <w:bookmarkEnd w:id="57"/>
    </w:p>
    <w:p>
      <w:pPr>
        <w:spacing w:line="560" w:lineRule="exact"/>
        <w:ind w:right="0" w:rightChars="0" w:firstLine="560" w:firstLineChars="200"/>
        <w:jc w:val="both"/>
        <w:rPr>
          <w:rFonts w:hint="default" w:ascii="Times New Roman" w:hAnsi="Times New Roman" w:eastAsia="黑体" w:cs="Times New Roman"/>
          <w:spacing w:val="0"/>
          <w:sz w:val="28"/>
          <w:szCs w:val="28"/>
          <w:lang w:val="en-US" w:eastAsia="zh-CN"/>
        </w:rPr>
      </w:pPr>
      <w:bookmarkStart w:id="58" w:name="_Toc3786"/>
      <w:bookmarkStart w:id="59" w:name="_Toc9919"/>
      <w:r>
        <w:rPr>
          <w:rFonts w:hint="default" w:ascii="Times New Roman" w:hAnsi="Times New Roman" w:eastAsia="仿宋_GB2312" w:cs="Times New Roman"/>
          <w:sz w:val="28"/>
          <w:szCs w:val="28"/>
        </w:rPr>
        <w:t>估价人员根据估价目的，遵循估价原则，采用科学的估价方法，在认真分析所掌握资料及影响估价对象价值诸因素的基础上进行了判断、测算，最终确定估价对象在价值时点的评估价值</w:t>
      </w:r>
      <w:r>
        <w:rPr>
          <w:rFonts w:hint="default" w:ascii="Times New Roman" w:hAnsi="Times New Roman" w:eastAsia="仿宋_GB2312" w:cs="Times New Roman"/>
          <w:sz w:val="28"/>
          <w:szCs w:val="28"/>
          <w:lang w:eastAsia="zh-CN"/>
        </w:rPr>
        <w:t>共计</w:t>
      </w:r>
      <w:r>
        <w:rPr>
          <w:rFonts w:hint="default" w:ascii="Times New Roman" w:hAnsi="Times New Roman" w:eastAsia="仿宋_GB2312" w:cs="Times New Roman"/>
          <w:sz w:val="28"/>
          <w:szCs w:val="28"/>
          <w:lang w:val="en-US" w:eastAsia="zh-CN"/>
        </w:rPr>
        <w:t>918,918.00</w:t>
      </w:r>
      <w:r>
        <w:rPr>
          <w:rFonts w:hint="default" w:ascii="Times New Roman" w:hAnsi="Times New Roman" w:eastAsia="仿宋_GB2312" w:cs="Times New Roman"/>
          <w:sz w:val="28"/>
          <w:szCs w:val="28"/>
        </w:rPr>
        <w:t>元，总价大写：人民币</w:t>
      </w:r>
      <w:r>
        <w:rPr>
          <w:rFonts w:hint="default" w:ascii="Times New Roman" w:hAnsi="Times New Roman" w:eastAsia="仿宋_GB2312" w:cs="Times New Roman"/>
          <w:sz w:val="28"/>
          <w:szCs w:val="28"/>
          <w:lang w:val="en-US" w:eastAsia="zh-CN"/>
        </w:rPr>
        <w:t>玖拾壹万捌仟玖佰壹拾捌元整(本价值包含相应的土地使用权价值)。</w:t>
      </w:r>
    </w:p>
    <w:p>
      <w:pPr>
        <w:spacing w:line="240" w:lineRule="exact"/>
        <w:ind w:right="-160" w:rightChars="-76" w:firstLine="0" w:firstLineChars="0"/>
        <w:jc w:val="both"/>
        <w:rPr>
          <w:rFonts w:hint="default" w:ascii="Times New Roman" w:hAnsi="Times New Roman" w:eastAsia="黑体" w:cs="Times New Roman"/>
          <w:spacing w:val="0"/>
          <w:sz w:val="24"/>
          <w:szCs w:val="24"/>
          <w:lang w:val="en-US" w:eastAsia="zh-CN"/>
        </w:rPr>
      </w:pPr>
      <w:r>
        <w:rPr>
          <w:rFonts w:hint="default" w:ascii="Times New Roman" w:hAnsi="Times New Roman" w:eastAsia="黑体" w:cs="Times New Roman"/>
          <w:spacing w:val="0"/>
          <w:sz w:val="24"/>
          <w:szCs w:val="24"/>
          <w:lang w:val="en-US" w:eastAsia="zh-CN"/>
        </w:rPr>
        <w:t xml:space="preserve">                             </w:t>
      </w:r>
    </w:p>
    <w:p>
      <w:pPr>
        <w:ind w:right="-160" w:rightChars="-76" w:firstLine="0" w:firstLineChars="0"/>
        <w:jc w:val="center"/>
        <w:rPr>
          <w:rFonts w:hint="default" w:ascii="Times New Roman" w:hAnsi="Times New Roman" w:eastAsia="黑体" w:cs="Times New Roman"/>
          <w:spacing w:val="0"/>
          <w:sz w:val="24"/>
          <w:szCs w:val="24"/>
          <w:lang w:eastAsia="zh-CN"/>
        </w:rPr>
      </w:pPr>
      <w:r>
        <w:rPr>
          <w:rFonts w:hint="default" w:ascii="Times New Roman" w:hAnsi="Times New Roman" w:eastAsia="黑体" w:cs="Times New Roman"/>
          <w:b/>
          <w:bCs/>
          <w:spacing w:val="0"/>
          <w:sz w:val="24"/>
          <w:szCs w:val="24"/>
        </w:rPr>
        <w:t>房地产估价结果</w:t>
      </w:r>
      <w:r>
        <w:rPr>
          <w:rFonts w:hint="default" w:ascii="Times New Roman" w:hAnsi="Times New Roman" w:eastAsia="黑体" w:cs="Times New Roman"/>
          <w:b/>
          <w:bCs/>
          <w:spacing w:val="0"/>
          <w:sz w:val="24"/>
          <w:szCs w:val="24"/>
          <w:lang w:eastAsia="zh-CN"/>
        </w:rPr>
        <w:t>汇总表</w:t>
      </w:r>
    </w:p>
    <w:p>
      <w:pPr>
        <w:ind w:right="-160" w:rightChars="-76" w:firstLine="0" w:firstLineChars="0"/>
        <w:jc w:val="center"/>
        <w:rPr>
          <w:rFonts w:hint="default" w:ascii="Times New Roman" w:hAnsi="Times New Roman" w:eastAsia="黑体" w:cs="Times New Roman"/>
          <w:b w:val="0"/>
          <w:color w:val="auto"/>
          <w:spacing w:val="0"/>
          <w:szCs w:val="21"/>
        </w:rPr>
      </w:pPr>
      <w:r>
        <w:rPr>
          <w:rFonts w:hint="default" w:ascii="Times New Roman" w:hAnsi="Times New Roman" w:eastAsia="黑体" w:cs="Times New Roman"/>
          <w:spacing w:val="0"/>
          <w:sz w:val="18"/>
          <w:szCs w:val="18"/>
          <w:lang w:val="en-US" w:eastAsia="zh-CN"/>
        </w:rPr>
        <w:t xml:space="preserve">                                                                           </w:t>
      </w:r>
      <w:r>
        <w:rPr>
          <w:rFonts w:hint="default" w:ascii="Times New Roman" w:hAnsi="Times New Roman" w:eastAsia="黑体" w:cs="Times New Roman"/>
          <w:spacing w:val="0"/>
          <w:sz w:val="18"/>
          <w:szCs w:val="18"/>
        </w:rPr>
        <w:t>金额单</w:t>
      </w:r>
      <w:r>
        <w:rPr>
          <w:rFonts w:hint="default" w:ascii="Times New Roman" w:hAnsi="Times New Roman" w:eastAsia="黑体" w:cs="Times New Roman"/>
          <w:color w:val="auto"/>
          <w:spacing w:val="0"/>
          <w:sz w:val="18"/>
          <w:szCs w:val="18"/>
        </w:rPr>
        <w:t>位：</w:t>
      </w:r>
      <w:r>
        <w:rPr>
          <w:rFonts w:hint="default" w:ascii="Times New Roman" w:hAnsi="Times New Roman" w:eastAsia="黑体" w:cs="Times New Roman"/>
          <w:color w:val="auto"/>
          <w:spacing w:val="0"/>
          <w:sz w:val="18"/>
          <w:szCs w:val="18"/>
          <w:lang w:eastAsia="zh-CN"/>
        </w:rPr>
        <w:t>人民币</w:t>
      </w:r>
      <w:r>
        <w:rPr>
          <w:rFonts w:hint="default" w:ascii="Times New Roman" w:hAnsi="Times New Roman" w:eastAsia="黑体" w:cs="Times New Roman"/>
          <w:color w:val="auto"/>
          <w:spacing w:val="0"/>
          <w:sz w:val="18"/>
          <w:szCs w:val="18"/>
        </w:rPr>
        <w:t>元</w:t>
      </w:r>
    </w:p>
    <w:tbl>
      <w:tblPr>
        <w:tblStyle w:val="18"/>
        <w:tblW w:w="9140" w:type="dxa"/>
        <w:jc w:val="center"/>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3635"/>
        <w:gridCol w:w="534"/>
        <w:gridCol w:w="1052"/>
        <w:gridCol w:w="1107"/>
        <w:gridCol w:w="1326"/>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jc w:val="center"/>
        </w:trPr>
        <w:tc>
          <w:tcPr>
            <w:tcW w:w="438" w:type="dxa"/>
            <w:vAlign w:val="center"/>
          </w:tcPr>
          <w:p>
            <w:pPr>
              <w:spacing w:line="240" w:lineRule="auto"/>
              <w:ind w:left="-107" w:leftChars="-51" w:right="-160" w:rightChars="-76"/>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序号</w:t>
            </w:r>
          </w:p>
        </w:tc>
        <w:tc>
          <w:tcPr>
            <w:tcW w:w="3635" w:type="dxa"/>
            <w:vAlign w:val="center"/>
          </w:tcPr>
          <w:p>
            <w:pPr>
              <w:spacing w:line="240" w:lineRule="auto"/>
              <w:ind w:left="-174" w:leftChars="-83" w:right="-160" w:rightChars="-76"/>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估价对象</w:t>
            </w:r>
          </w:p>
        </w:tc>
        <w:tc>
          <w:tcPr>
            <w:tcW w:w="534" w:type="dxa"/>
            <w:vAlign w:val="center"/>
          </w:tcPr>
          <w:p>
            <w:pPr>
              <w:spacing w:line="240" w:lineRule="auto"/>
              <w:ind w:left="-107" w:leftChars="-51" w:right="-160" w:rightChars="-76"/>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单位</w:t>
            </w:r>
          </w:p>
        </w:tc>
        <w:tc>
          <w:tcPr>
            <w:tcW w:w="1052" w:type="dxa"/>
            <w:vAlign w:val="center"/>
          </w:tcPr>
          <w:p>
            <w:pPr>
              <w:spacing w:line="240" w:lineRule="auto"/>
              <w:ind w:left="-107" w:leftChars="-51" w:right="-160" w:rightChars="-76"/>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eastAsia="zh-CN"/>
              </w:rPr>
              <w:t>证载</w:t>
            </w:r>
            <w:r>
              <w:rPr>
                <w:rFonts w:hint="default" w:ascii="Times New Roman" w:hAnsi="Times New Roman" w:eastAsia="黑体" w:cs="Times New Roman"/>
                <w:b/>
                <w:sz w:val="21"/>
                <w:szCs w:val="21"/>
              </w:rPr>
              <w:t>面积</w:t>
            </w:r>
          </w:p>
        </w:tc>
        <w:tc>
          <w:tcPr>
            <w:tcW w:w="1107" w:type="dxa"/>
            <w:vAlign w:val="center"/>
          </w:tcPr>
          <w:p>
            <w:pPr>
              <w:spacing w:line="240" w:lineRule="auto"/>
              <w:ind w:left="-107" w:leftChars="-51" w:right="-160" w:rightChars="-76"/>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评估单价</w:t>
            </w:r>
          </w:p>
        </w:tc>
        <w:tc>
          <w:tcPr>
            <w:tcW w:w="1326" w:type="dxa"/>
            <w:vAlign w:val="center"/>
          </w:tcPr>
          <w:p>
            <w:pPr>
              <w:spacing w:line="240" w:lineRule="auto"/>
              <w:ind w:left="-107" w:leftChars="-51" w:right="-160" w:rightChars="-76"/>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eastAsia="zh-CN"/>
              </w:rPr>
              <w:t>评估</w:t>
            </w:r>
            <w:r>
              <w:rPr>
                <w:rFonts w:hint="default" w:ascii="Times New Roman" w:hAnsi="Times New Roman" w:eastAsia="黑体" w:cs="Times New Roman"/>
                <w:b/>
                <w:sz w:val="21"/>
                <w:szCs w:val="21"/>
              </w:rPr>
              <w:t>结果</w:t>
            </w:r>
          </w:p>
        </w:tc>
        <w:tc>
          <w:tcPr>
            <w:tcW w:w="1048" w:type="dxa"/>
            <w:vAlign w:val="center"/>
          </w:tcPr>
          <w:p>
            <w:pPr>
              <w:spacing w:line="240" w:lineRule="auto"/>
              <w:ind w:left="-107" w:leftChars="-51" w:right="-160" w:rightChars="-76"/>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exact"/>
          <w:jc w:val="center"/>
        </w:trPr>
        <w:tc>
          <w:tcPr>
            <w:tcW w:w="438" w:type="dxa"/>
            <w:vAlign w:val="center"/>
          </w:tcPr>
          <w:p>
            <w:pPr>
              <w:spacing w:line="240" w:lineRule="auto"/>
              <w:ind w:left="-107" w:leftChars="-51" w:right="-160" w:rightChars="-76"/>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1</w:t>
            </w:r>
          </w:p>
        </w:tc>
        <w:tc>
          <w:tcPr>
            <w:tcW w:w="3635" w:type="dxa"/>
            <w:vAlign w:val="center"/>
          </w:tcPr>
          <w:p>
            <w:pPr>
              <w:spacing w:line="240" w:lineRule="auto"/>
              <w:ind w:left="0" w:leftChars="0" w:right="-160" w:rightChars="-76"/>
              <w:jc w:val="center"/>
              <w:rPr>
                <w:rFonts w:hint="default" w:ascii="Times New Roman" w:hAnsi="Times New Roman" w:eastAsia="黑体" w:cs="Times New Roman"/>
                <w:sz w:val="21"/>
                <w:szCs w:val="21"/>
                <w:lang w:val="en-US"/>
              </w:rPr>
            </w:pPr>
            <w:r>
              <w:rPr>
                <w:rFonts w:hint="default" w:ascii="Times New Roman" w:hAnsi="Times New Roman" w:eastAsia="黑体" w:cs="Times New Roman"/>
                <w:color w:val="auto"/>
                <w:sz w:val="21"/>
                <w:szCs w:val="21"/>
                <w:lang w:eastAsia="zh-CN"/>
              </w:rPr>
              <w:t>潍坊市寒亭区泰祥东街1709号龙居家园4号楼</w:t>
            </w:r>
            <w:r>
              <w:rPr>
                <w:rFonts w:hint="default" w:ascii="Times New Roman" w:hAnsi="Times New Roman" w:eastAsia="黑体" w:cs="Times New Roman"/>
                <w:sz w:val="21"/>
                <w:szCs w:val="21"/>
                <w:lang w:eastAsia="zh-CN"/>
              </w:rPr>
              <w:t>2-502</w:t>
            </w:r>
            <w:r>
              <w:rPr>
                <w:rFonts w:hint="default" w:ascii="Times New Roman" w:hAnsi="Times New Roman" w:eastAsia="黑体" w:cs="Times New Roman"/>
                <w:sz w:val="21"/>
                <w:szCs w:val="21"/>
                <w:lang w:val="en-US" w:eastAsia="zh-CN"/>
              </w:rPr>
              <w:t>室住宅房地产(含阁楼)</w:t>
            </w:r>
          </w:p>
        </w:tc>
        <w:tc>
          <w:tcPr>
            <w:tcW w:w="534" w:type="dxa"/>
            <w:vAlign w:val="center"/>
          </w:tcPr>
          <w:p>
            <w:pPr>
              <w:spacing w:line="240" w:lineRule="auto"/>
              <w:ind w:left="-107" w:leftChars="-51" w:right="-160" w:rightChars="-76"/>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1052" w:type="dxa"/>
            <w:vAlign w:val="center"/>
          </w:tcPr>
          <w:p>
            <w:pPr>
              <w:spacing w:line="240" w:lineRule="auto"/>
              <w:ind w:left="-107" w:leftChars="-51" w:right="-160" w:rightChars="-76"/>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132.79</w:t>
            </w:r>
          </w:p>
        </w:tc>
        <w:tc>
          <w:tcPr>
            <w:tcW w:w="1107" w:type="dxa"/>
            <w:vAlign w:val="center"/>
          </w:tcPr>
          <w:p>
            <w:pPr>
              <w:spacing w:line="240" w:lineRule="auto"/>
              <w:ind w:left="-107" w:leftChars="-51" w:right="-160" w:rightChars="-76"/>
              <w:jc w:val="center"/>
              <w:rPr>
                <w:rFonts w:hint="default" w:ascii="Times New Roman" w:hAnsi="Times New Roman" w:eastAsia="黑体" w:cs="Times New Roman"/>
                <w:sz w:val="21"/>
                <w:szCs w:val="21"/>
                <w:lang w:val="en-US"/>
              </w:rPr>
            </w:pPr>
            <w:r>
              <w:rPr>
                <w:rFonts w:hint="default" w:ascii="Times New Roman" w:hAnsi="Times New Roman" w:eastAsia="黑体" w:cs="Times New Roman"/>
                <w:sz w:val="21"/>
                <w:szCs w:val="21"/>
                <w:lang w:val="en-US" w:eastAsia="zh-CN"/>
              </w:rPr>
              <w:t>4200.00</w:t>
            </w:r>
          </w:p>
        </w:tc>
        <w:tc>
          <w:tcPr>
            <w:tcW w:w="1326" w:type="dxa"/>
            <w:vAlign w:val="center"/>
          </w:tcPr>
          <w:p>
            <w:pPr>
              <w:spacing w:line="240" w:lineRule="auto"/>
              <w:ind w:left="-107" w:leftChars="-51" w:right="-160" w:rightChars="-76"/>
              <w:jc w:val="center"/>
              <w:rPr>
                <w:rFonts w:hint="default" w:ascii="Times New Roman" w:hAnsi="Times New Roman" w:eastAsia="黑体" w:cs="Times New Roman"/>
                <w:sz w:val="21"/>
                <w:szCs w:val="21"/>
                <w:lang w:val="en-US"/>
              </w:rPr>
            </w:pPr>
            <w:r>
              <w:rPr>
                <w:rFonts w:hint="default" w:ascii="Times New Roman" w:hAnsi="Times New Roman" w:eastAsia="黑体" w:cs="Times New Roman"/>
                <w:color w:val="auto"/>
                <w:sz w:val="21"/>
                <w:szCs w:val="21"/>
                <w:lang w:val="en-US" w:eastAsia="zh-CN"/>
              </w:rPr>
              <w:t>557,718.00</w:t>
            </w:r>
          </w:p>
        </w:tc>
        <w:tc>
          <w:tcPr>
            <w:tcW w:w="1048" w:type="dxa"/>
            <w:vAlign w:val="center"/>
          </w:tcPr>
          <w:p>
            <w:pPr>
              <w:spacing w:line="240" w:lineRule="auto"/>
              <w:ind w:right="-160" w:rightChars="-76"/>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包含阁楼价值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exact"/>
          <w:jc w:val="center"/>
        </w:trPr>
        <w:tc>
          <w:tcPr>
            <w:tcW w:w="438" w:type="dxa"/>
            <w:vAlign w:val="center"/>
          </w:tcPr>
          <w:p>
            <w:pPr>
              <w:spacing w:line="240" w:lineRule="auto"/>
              <w:ind w:left="-107" w:leftChars="-51" w:right="-160" w:rightChars="-76"/>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2</w:t>
            </w:r>
          </w:p>
        </w:tc>
        <w:tc>
          <w:tcPr>
            <w:tcW w:w="3635" w:type="dxa"/>
            <w:vAlign w:val="center"/>
          </w:tcPr>
          <w:p>
            <w:pPr>
              <w:spacing w:beforeLines="-2147483648" w:afterLines="-2147483648" w:line="240" w:lineRule="auto"/>
              <w:ind w:left="0" w:leftChars="0" w:right="-160" w:rightChars="-76"/>
              <w:contextualSpacing w:val="0"/>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eastAsia="zh-CN"/>
              </w:rPr>
              <w:t>潍坊市寒亭区泰祥东街1709号龙居家园</w:t>
            </w:r>
            <w:r>
              <w:rPr>
                <w:rFonts w:hint="default" w:ascii="Times New Roman" w:hAnsi="Times New Roman" w:eastAsia="黑体" w:cs="Times New Roman"/>
                <w:sz w:val="21"/>
                <w:szCs w:val="21"/>
                <w:lang w:val="en-US" w:eastAsia="zh-CN"/>
              </w:rPr>
              <w:t>5号楼1-201室</w:t>
            </w:r>
            <w:r>
              <w:rPr>
                <w:rFonts w:hint="default" w:ascii="Times New Roman" w:hAnsi="Times New Roman" w:eastAsia="黑体" w:cs="Times New Roman"/>
                <w:sz w:val="21"/>
                <w:szCs w:val="21"/>
                <w:lang w:eastAsia="zh-CN"/>
              </w:rPr>
              <w:t>住宅</w:t>
            </w:r>
            <w:r>
              <w:rPr>
                <w:rFonts w:hint="default" w:ascii="Times New Roman" w:hAnsi="Times New Roman" w:eastAsia="黑体" w:cs="Times New Roman"/>
                <w:sz w:val="21"/>
                <w:szCs w:val="21"/>
                <w:lang w:val="en-US" w:eastAsia="zh-CN"/>
              </w:rPr>
              <w:t>房地产</w:t>
            </w:r>
          </w:p>
        </w:tc>
        <w:tc>
          <w:tcPr>
            <w:tcW w:w="534" w:type="dxa"/>
            <w:vAlign w:val="center"/>
          </w:tcPr>
          <w:p>
            <w:pPr>
              <w:spacing w:line="240" w:lineRule="auto"/>
              <w:ind w:left="-107" w:leftChars="-51" w:right="-160" w:rightChars="-76"/>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p>
        </w:tc>
        <w:tc>
          <w:tcPr>
            <w:tcW w:w="1052" w:type="dxa"/>
            <w:vAlign w:val="center"/>
          </w:tcPr>
          <w:p>
            <w:pPr>
              <w:spacing w:line="240" w:lineRule="auto"/>
              <w:ind w:left="-107" w:leftChars="-51" w:right="-160" w:rightChars="-76"/>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90.30</w:t>
            </w:r>
          </w:p>
        </w:tc>
        <w:tc>
          <w:tcPr>
            <w:tcW w:w="1107" w:type="dxa"/>
            <w:vAlign w:val="center"/>
          </w:tcPr>
          <w:p>
            <w:pPr>
              <w:spacing w:line="240" w:lineRule="auto"/>
              <w:ind w:left="-107" w:leftChars="-51" w:right="-160" w:rightChars="-76"/>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4000.00</w:t>
            </w:r>
          </w:p>
        </w:tc>
        <w:tc>
          <w:tcPr>
            <w:tcW w:w="1326" w:type="dxa"/>
            <w:vAlign w:val="center"/>
          </w:tcPr>
          <w:p>
            <w:pPr>
              <w:spacing w:line="240" w:lineRule="auto"/>
              <w:ind w:left="-107" w:leftChars="-51" w:right="-160" w:rightChars="-76"/>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color w:val="auto"/>
                <w:sz w:val="21"/>
                <w:szCs w:val="21"/>
                <w:lang w:val="en-US" w:eastAsia="zh-CN"/>
              </w:rPr>
              <w:t>361,200.00</w:t>
            </w:r>
          </w:p>
        </w:tc>
        <w:tc>
          <w:tcPr>
            <w:tcW w:w="1048" w:type="dxa"/>
            <w:vAlign w:val="center"/>
          </w:tcPr>
          <w:p>
            <w:pPr>
              <w:spacing w:line="240" w:lineRule="auto"/>
              <w:jc w:val="center"/>
              <w:rPr>
                <w:rFonts w:hint="default" w:ascii="Times New Roman" w:hAnsi="Times New Roman" w:eastAsia="黑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exact"/>
          <w:jc w:val="center"/>
        </w:trPr>
        <w:tc>
          <w:tcPr>
            <w:tcW w:w="4607" w:type="dxa"/>
            <w:gridSpan w:val="3"/>
            <w:vAlign w:val="center"/>
          </w:tcPr>
          <w:p>
            <w:pPr>
              <w:spacing w:line="240" w:lineRule="auto"/>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rPr>
              <w:t>合计</w:t>
            </w:r>
          </w:p>
        </w:tc>
        <w:tc>
          <w:tcPr>
            <w:tcW w:w="1052" w:type="dxa"/>
            <w:vAlign w:val="center"/>
          </w:tcPr>
          <w:p>
            <w:pPr>
              <w:spacing w:line="240" w:lineRule="auto"/>
              <w:jc w:val="center"/>
              <w:rPr>
                <w:rFonts w:hint="default" w:ascii="Times New Roman" w:hAnsi="Times New Roman" w:eastAsia="黑体" w:cs="Times New Roman"/>
                <w:b/>
                <w:sz w:val="21"/>
                <w:szCs w:val="21"/>
              </w:rPr>
            </w:pPr>
          </w:p>
        </w:tc>
        <w:tc>
          <w:tcPr>
            <w:tcW w:w="1107" w:type="dxa"/>
            <w:vAlign w:val="center"/>
          </w:tcPr>
          <w:p>
            <w:pPr>
              <w:spacing w:line="240" w:lineRule="auto"/>
              <w:ind w:left="-107" w:leftChars="-51" w:right="-160" w:rightChars="-76"/>
              <w:jc w:val="center"/>
              <w:rPr>
                <w:rFonts w:hint="default" w:ascii="Times New Roman" w:hAnsi="Times New Roman" w:eastAsia="黑体" w:cs="Times New Roman"/>
                <w:b w:val="0"/>
                <w:sz w:val="21"/>
                <w:szCs w:val="21"/>
              </w:rPr>
            </w:pPr>
            <w:r>
              <w:rPr>
                <w:rFonts w:hint="default" w:ascii="Times New Roman" w:hAnsi="Times New Roman" w:eastAsia="黑体" w:cs="Times New Roman"/>
                <w:b w:val="0"/>
                <w:sz w:val="21"/>
                <w:szCs w:val="21"/>
              </w:rPr>
              <w:t>--</w:t>
            </w:r>
          </w:p>
        </w:tc>
        <w:tc>
          <w:tcPr>
            <w:tcW w:w="1326" w:type="dxa"/>
            <w:vAlign w:val="center"/>
          </w:tcPr>
          <w:p>
            <w:pPr>
              <w:spacing w:line="240" w:lineRule="auto"/>
              <w:ind w:left="-107" w:leftChars="-51" w:right="-160" w:rightChars="-76"/>
              <w:jc w:val="center"/>
              <w:rPr>
                <w:rFonts w:hint="default" w:ascii="Times New Roman" w:hAnsi="Times New Roman" w:eastAsia="黑体" w:cs="Times New Roman"/>
                <w:b w:val="0"/>
                <w:sz w:val="21"/>
                <w:szCs w:val="21"/>
                <w:lang w:val="en-US"/>
              </w:rPr>
            </w:pPr>
            <w:r>
              <w:rPr>
                <w:rFonts w:hint="default" w:ascii="Times New Roman" w:hAnsi="Times New Roman" w:eastAsia="黑体" w:cs="Times New Roman"/>
                <w:b/>
                <w:bCs/>
                <w:sz w:val="21"/>
                <w:szCs w:val="21"/>
                <w:lang w:val="en-US" w:eastAsia="zh-CN"/>
              </w:rPr>
              <w:t>918,918.00</w:t>
            </w:r>
          </w:p>
        </w:tc>
        <w:tc>
          <w:tcPr>
            <w:tcW w:w="1048" w:type="dxa"/>
            <w:vAlign w:val="center"/>
          </w:tcPr>
          <w:p>
            <w:pPr>
              <w:spacing w:line="240" w:lineRule="auto"/>
              <w:jc w:val="center"/>
              <w:rPr>
                <w:rFonts w:hint="default" w:ascii="Times New Roman" w:hAnsi="Times New Roman" w:eastAsia="黑体" w:cs="Times New Roman"/>
                <w:b/>
                <w:sz w:val="21"/>
                <w:szCs w:val="21"/>
              </w:rPr>
            </w:pPr>
            <w:r>
              <w:rPr>
                <w:rFonts w:hint="default" w:ascii="Times New Roman" w:hAnsi="Times New Roman" w:eastAsia="黑体" w:cs="Times New Roman"/>
                <w:b w:val="0"/>
                <w:sz w:val="21"/>
                <w:szCs w:val="21"/>
              </w:rPr>
              <w:t>--</w:t>
            </w:r>
          </w:p>
        </w:tc>
      </w:tr>
      <w:bookmarkEnd w:id="58"/>
      <w:bookmarkEnd w:id="59"/>
    </w:tbl>
    <w:p>
      <w:pPr>
        <w:spacing w:line="300" w:lineRule="exact"/>
        <w:ind w:firstLine="0" w:firstLineChars="0"/>
        <w:rPr>
          <w:rFonts w:ascii="Times New Roman" w:hAnsi="Times New Roman" w:eastAsia="黑体" w:cs="Times New Roman"/>
          <w:sz w:val="21"/>
          <w:szCs w:val="21"/>
        </w:rPr>
      </w:pPr>
    </w:p>
    <w:p>
      <w:pPr>
        <w:spacing w:line="300" w:lineRule="exact"/>
        <w:ind w:firstLine="0" w:firstLineChars="0"/>
        <w:rPr>
          <w:rFonts w:ascii="Times New Roman" w:hAnsi="Times New Roman" w:eastAsia="黑体" w:cs="Times New Roman"/>
          <w:sz w:val="21"/>
          <w:szCs w:val="21"/>
        </w:rPr>
      </w:pPr>
    </w:p>
    <w:p>
      <w:pPr>
        <w:spacing w:line="300" w:lineRule="exact"/>
        <w:ind w:firstLine="0" w:firstLineChars="0"/>
        <w:rPr>
          <w:rFonts w:ascii="Times New Roman" w:hAnsi="Times New Roman" w:eastAsia="黑体" w:cs="Times New Roman"/>
          <w:sz w:val="21"/>
          <w:szCs w:val="21"/>
        </w:rPr>
      </w:pPr>
    </w:p>
    <w:p>
      <w:pPr>
        <w:spacing w:line="300" w:lineRule="exact"/>
        <w:ind w:firstLine="0" w:firstLineChars="0"/>
        <w:rPr>
          <w:rFonts w:ascii="Times New Roman" w:hAnsi="Times New Roman" w:eastAsia="黑体" w:cs="Times New Roman"/>
          <w:sz w:val="21"/>
          <w:szCs w:val="21"/>
        </w:rPr>
      </w:pPr>
    </w:p>
    <w:p>
      <w:pPr>
        <w:spacing w:line="312" w:lineRule="auto"/>
        <w:ind w:firstLine="0" w:firstLineChars="0"/>
        <w:contextualSpacing/>
        <w:outlineLvl w:val="1"/>
        <w:rPr>
          <w:rFonts w:ascii="Times New Roman" w:hAnsi="Times New Roman" w:eastAsia="仿宋_GB2312" w:cs="Times New Roman"/>
          <w:b/>
          <w:bCs/>
          <w:sz w:val="28"/>
          <w:szCs w:val="28"/>
        </w:rPr>
      </w:pPr>
      <w:bookmarkStart w:id="60" w:name="_Toc989"/>
      <w:r>
        <w:rPr>
          <w:rFonts w:hint="default" w:ascii="Times New Roman" w:hAnsi="Times New Roman" w:eastAsia="仿宋_GB2312" w:cs="Times New Roman"/>
          <w:b/>
          <w:bCs/>
          <w:sz w:val="28"/>
          <w:szCs w:val="28"/>
          <w:lang w:val="en-US" w:eastAsia="zh-CN"/>
        </w:rPr>
        <w:t xml:space="preserve"> </w:t>
      </w:r>
      <w:bookmarkStart w:id="61" w:name="_Toc1123"/>
      <w:bookmarkStart w:id="62" w:name="_Toc4615"/>
      <w:r>
        <w:rPr>
          <w:rFonts w:hint="default" w:ascii="Times New Roman" w:hAnsi="Times New Roman" w:eastAsia="仿宋_GB2312" w:cs="Times New Roman"/>
          <w:b/>
          <w:bCs/>
          <w:sz w:val="28"/>
          <w:szCs w:val="28"/>
        </w:rPr>
        <w:t>十一、估价人员</w:t>
      </w:r>
      <w:bookmarkEnd w:id="60"/>
      <w:bookmarkEnd w:id="61"/>
      <w:bookmarkEnd w:id="62"/>
    </w:p>
    <w:p>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t>注册房地产估价师</w:t>
      </w:r>
    </w:p>
    <w:tbl>
      <w:tblPr>
        <w:tblStyle w:val="18"/>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095"/>
        <w:gridCol w:w="2788"/>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222" w:type="dxa"/>
            <w:vAlign w:val="center"/>
          </w:tcPr>
          <w:p>
            <w:pPr>
              <w:spacing w:line="500" w:lineRule="exact"/>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姓名</w:t>
            </w:r>
          </w:p>
        </w:tc>
        <w:tc>
          <w:tcPr>
            <w:tcW w:w="2095" w:type="dxa"/>
            <w:vAlign w:val="center"/>
          </w:tcPr>
          <w:p>
            <w:pPr>
              <w:spacing w:line="500" w:lineRule="exact"/>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注册号</w:t>
            </w:r>
          </w:p>
        </w:tc>
        <w:tc>
          <w:tcPr>
            <w:tcW w:w="2788" w:type="dxa"/>
            <w:vAlign w:val="center"/>
          </w:tcPr>
          <w:p>
            <w:pPr>
              <w:spacing w:line="500" w:lineRule="exact"/>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签名</w:t>
            </w:r>
          </w:p>
        </w:tc>
        <w:tc>
          <w:tcPr>
            <w:tcW w:w="2455" w:type="dxa"/>
            <w:vAlign w:val="center"/>
          </w:tcPr>
          <w:p>
            <w:pPr>
              <w:spacing w:line="500" w:lineRule="exact"/>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签名日期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4" w:hRule="atLeast"/>
        </w:trPr>
        <w:tc>
          <w:tcPr>
            <w:tcW w:w="1222" w:type="dxa"/>
            <w:vAlign w:val="center"/>
          </w:tcPr>
          <w:p>
            <w:pPr>
              <w:spacing w:line="500" w:lineRule="exact"/>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高守良</w:t>
            </w:r>
          </w:p>
        </w:tc>
        <w:tc>
          <w:tcPr>
            <w:tcW w:w="2095" w:type="dxa"/>
            <w:vAlign w:val="center"/>
          </w:tcPr>
          <w:p>
            <w:pPr>
              <w:spacing w:line="500" w:lineRule="exact"/>
              <w:jc w:val="center"/>
              <w:rPr>
                <w:rFonts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val="en-US" w:eastAsia="zh-CN"/>
              </w:rPr>
              <w:t>2320160055</w:t>
            </w:r>
          </w:p>
        </w:tc>
        <w:tc>
          <w:tcPr>
            <w:tcW w:w="2788" w:type="dxa"/>
            <w:vAlign w:val="center"/>
          </w:tcPr>
          <w:p>
            <w:pPr>
              <w:spacing w:line="500" w:lineRule="exact"/>
              <w:jc w:val="center"/>
              <w:rPr>
                <w:rFonts w:ascii="Times New Roman" w:hAnsi="Times New Roman" w:eastAsia="仿宋_GB2312" w:cs="Times New Roman"/>
                <w:color w:val="000000"/>
                <w:sz w:val="28"/>
                <w:szCs w:val="28"/>
              </w:rPr>
            </w:pPr>
          </w:p>
        </w:tc>
        <w:tc>
          <w:tcPr>
            <w:tcW w:w="2455" w:type="dxa"/>
            <w:vAlign w:val="center"/>
          </w:tcPr>
          <w:p>
            <w:pPr>
              <w:spacing w:line="5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pacing w:val="-6"/>
                <w:sz w:val="28"/>
                <w:szCs w:val="28"/>
                <w:lang w:eastAsia="zh-CN"/>
              </w:rPr>
              <w:t>201</w:t>
            </w:r>
            <w:r>
              <w:rPr>
                <w:rFonts w:hint="default" w:ascii="Times New Roman" w:hAnsi="Times New Roman" w:eastAsia="仿宋_GB2312" w:cs="Times New Roman"/>
                <w:spacing w:val="-6"/>
                <w:sz w:val="28"/>
                <w:szCs w:val="28"/>
                <w:lang w:val="en-US" w:eastAsia="zh-CN"/>
              </w:rPr>
              <w:t>9</w:t>
            </w:r>
            <w:r>
              <w:rPr>
                <w:rFonts w:hint="default" w:ascii="Times New Roman" w:hAnsi="Times New Roman" w:eastAsia="仿宋_GB2312" w:cs="Times New Roman"/>
                <w:spacing w:val="-6"/>
                <w:sz w:val="28"/>
                <w:szCs w:val="28"/>
                <w:lang w:eastAsia="zh-CN"/>
              </w:rPr>
              <w:t>年</w:t>
            </w:r>
            <w:r>
              <w:rPr>
                <w:rFonts w:hint="default" w:ascii="Times New Roman" w:hAnsi="Times New Roman" w:eastAsia="仿宋_GB2312" w:cs="Times New Roman"/>
                <w:spacing w:val="-6"/>
                <w:sz w:val="28"/>
                <w:szCs w:val="28"/>
                <w:lang w:val="en-US" w:eastAsia="zh-CN"/>
              </w:rPr>
              <w:t>01</w:t>
            </w:r>
            <w:r>
              <w:rPr>
                <w:rFonts w:hint="default" w:ascii="Times New Roman" w:hAnsi="Times New Roman" w:eastAsia="仿宋_GB2312" w:cs="Times New Roman"/>
                <w:spacing w:val="-6"/>
                <w:sz w:val="28"/>
                <w:szCs w:val="28"/>
                <w:lang w:eastAsia="zh-CN"/>
              </w:rPr>
              <w:t>月</w:t>
            </w:r>
            <w:r>
              <w:rPr>
                <w:rFonts w:hint="default" w:ascii="Times New Roman" w:hAnsi="Times New Roman" w:eastAsia="仿宋_GB2312" w:cs="Times New Roman"/>
                <w:spacing w:val="-6"/>
                <w:sz w:val="28"/>
                <w:szCs w:val="28"/>
                <w:lang w:val="en-US" w:eastAsia="zh-CN"/>
              </w:rPr>
              <w:t>15</w:t>
            </w:r>
            <w:r>
              <w:rPr>
                <w:rFonts w:hint="default" w:ascii="Times New Roman" w:hAnsi="Times New Roman" w:eastAsia="仿宋_GB2312" w:cs="Times New Roman"/>
                <w:spacing w:val="-6"/>
                <w:sz w:val="28"/>
                <w:szCs w:val="28"/>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8" w:hRule="atLeast"/>
        </w:trPr>
        <w:tc>
          <w:tcPr>
            <w:tcW w:w="1222" w:type="dxa"/>
            <w:vAlign w:val="center"/>
          </w:tcPr>
          <w:p>
            <w:pPr>
              <w:spacing w:line="5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李  丽</w:t>
            </w:r>
          </w:p>
        </w:tc>
        <w:tc>
          <w:tcPr>
            <w:tcW w:w="2095" w:type="dxa"/>
            <w:vAlign w:val="center"/>
          </w:tcPr>
          <w:p>
            <w:pPr>
              <w:spacing w:line="5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3720110150</w:t>
            </w:r>
          </w:p>
        </w:tc>
        <w:tc>
          <w:tcPr>
            <w:tcW w:w="2788" w:type="dxa"/>
            <w:vAlign w:val="center"/>
          </w:tcPr>
          <w:p>
            <w:pPr>
              <w:spacing w:line="500" w:lineRule="exact"/>
              <w:jc w:val="center"/>
              <w:rPr>
                <w:rFonts w:ascii="Times New Roman" w:hAnsi="Times New Roman" w:eastAsia="仿宋_GB2312" w:cs="Times New Roman"/>
                <w:color w:val="000000"/>
                <w:sz w:val="28"/>
                <w:szCs w:val="28"/>
              </w:rPr>
            </w:pPr>
          </w:p>
        </w:tc>
        <w:tc>
          <w:tcPr>
            <w:tcW w:w="2455" w:type="dxa"/>
            <w:vAlign w:val="center"/>
          </w:tcPr>
          <w:p>
            <w:pPr>
              <w:spacing w:line="5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pacing w:val="-6"/>
                <w:sz w:val="28"/>
                <w:szCs w:val="28"/>
                <w:lang w:eastAsia="zh-CN"/>
              </w:rPr>
              <w:t>201</w:t>
            </w:r>
            <w:r>
              <w:rPr>
                <w:rFonts w:hint="default" w:ascii="Times New Roman" w:hAnsi="Times New Roman" w:eastAsia="仿宋_GB2312" w:cs="Times New Roman"/>
                <w:spacing w:val="-6"/>
                <w:sz w:val="28"/>
                <w:szCs w:val="28"/>
                <w:lang w:val="en-US" w:eastAsia="zh-CN"/>
              </w:rPr>
              <w:t>9</w:t>
            </w:r>
            <w:r>
              <w:rPr>
                <w:rFonts w:hint="default" w:ascii="Times New Roman" w:hAnsi="Times New Roman" w:eastAsia="仿宋_GB2312" w:cs="Times New Roman"/>
                <w:spacing w:val="-6"/>
                <w:sz w:val="28"/>
                <w:szCs w:val="28"/>
                <w:lang w:eastAsia="zh-CN"/>
              </w:rPr>
              <w:t>年</w:t>
            </w:r>
            <w:r>
              <w:rPr>
                <w:rFonts w:hint="default" w:ascii="Times New Roman" w:hAnsi="Times New Roman" w:eastAsia="仿宋_GB2312" w:cs="Times New Roman"/>
                <w:spacing w:val="-6"/>
                <w:sz w:val="28"/>
                <w:szCs w:val="28"/>
                <w:lang w:val="en-US" w:eastAsia="zh-CN"/>
              </w:rPr>
              <w:t>01</w:t>
            </w:r>
            <w:r>
              <w:rPr>
                <w:rFonts w:hint="default" w:ascii="Times New Roman" w:hAnsi="Times New Roman" w:eastAsia="仿宋_GB2312" w:cs="Times New Roman"/>
                <w:spacing w:val="-6"/>
                <w:sz w:val="28"/>
                <w:szCs w:val="28"/>
                <w:lang w:eastAsia="zh-CN"/>
              </w:rPr>
              <w:t>月</w:t>
            </w:r>
            <w:r>
              <w:rPr>
                <w:rFonts w:hint="default" w:ascii="Times New Roman" w:hAnsi="Times New Roman" w:eastAsia="仿宋_GB2312" w:cs="Times New Roman"/>
                <w:spacing w:val="-6"/>
                <w:sz w:val="28"/>
                <w:szCs w:val="28"/>
                <w:lang w:val="en-US" w:eastAsia="zh-CN"/>
              </w:rPr>
              <w:t>15</w:t>
            </w:r>
            <w:r>
              <w:rPr>
                <w:rFonts w:hint="default" w:ascii="Times New Roman" w:hAnsi="Times New Roman" w:eastAsia="仿宋_GB2312" w:cs="Times New Roman"/>
                <w:spacing w:val="-6"/>
                <w:sz w:val="28"/>
                <w:szCs w:val="28"/>
                <w:lang w:eastAsia="zh-CN"/>
              </w:rPr>
              <w:t>日</w:t>
            </w:r>
          </w:p>
        </w:tc>
      </w:tr>
    </w:tbl>
    <w:p>
      <w:pPr>
        <w:spacing w:line="360" w:lineRule="auto"/>
        <w:ind w:firstLine="0" w:firstLineChars="0"/>
        <w:outlineLvl w:val="1"/>
        <w:rPr>
          <w:rFonts w:hint="default" w:ascii="Times New Roman" w:hAnsi="Times New Roman" w:eastAsia="仿宋_GB2312" w:cs="Times New Roman"/>
          <w:b/>
          <w:sz w:val="28"/>
          <w:szCs w:val="28"/>
          <w:lang w:val="en-US" w:eastAsia="zh-CN"/>
        </w:rPr>
      </w:pPr>
      <w:bookmarkStart w:id="63" w:name="_Toc24657"/>
    </w:p>
    <w:p>
      <w:pPr>
        <w:spacing w:line="360" w:lineRule="auto"/>
        <w:ind w:firstLine="562" w:firstLineChars="200"/>
        <w:outlineLvl w:val="1"/>
        <w:rPr>
          <w:rFonts w:ascii="Times New Roman" w:hAnsi="Times New Roman" w:eastAsia="仿宋_GB2312" w:cs="Times New Roman"/>
          <w:b/>
          <w:bCs/>
          <w:sz w:val="28"/>
          <w:szCs w:val="28"/>
        </w:rPr>
      </w:pPr>
      <w:bookmarkStart w:id="64" w:name="_Toc24876"/>
      <w:bookmarkStart w:id="65" w:name="_Toc15046"/>
      <w:r>
        <w:rPr>
          <w:rFonts w:hint="default" w:ascii="Times New Roman" w:hAnsi="Times New Roman" w:eastAsia="仿宋_GB2312" w:cs="Times New Roman"/>
          <w:b/>
          <w:sz w:val="28"/>
          <w:szCs w:val="28"/>
        </w:rPr>
        <w:t>十二、</w:t>
      </w:r>
      <w:r>
        <w:rPr>
          <w:rFonts w:hint="default" w:ascii="Times New Roman" w:hAnsi="Times New Roman" w:eastAsia="仿宋_GB2312" w:cs="Times New Roman"/>
          <w:b/>
          <w:bCs/>
          <w:sz w:val="28"/>
          <w:szCs w:val="28"/>
        </w:rPr>
        <w:t>实地查勘期</w:t>
      </w:r>
      <w:bookmarkEnd w:id="63"/>
      <w:bookmarkEnd w:id="64"/>
      <w:bookmarkEnd w:id="65"/>
    </w:p>
    <w:p>
      <w:pPr>
        <w:spacing w:line="360" w:lineRule="auto"/>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2019年01月08日</w:t>
      </w:r>
    </w:p>
    <w:p>
      <w:pPr>
        <w:spacing w:line="360" w:lineRule="auto"/>
        <w:ind w:firstLine="562" w:firstLineChars="200"/>
        <w:outlineLvl w:val="1"/>
        <w:rPr>
          <w:rFonts w:ascii="Times New Roman" w:hAnsi="Times New Roman" w:eastAsia="仿宋_GB2312" w:cs="Times New Roman"/>
          <w:b/>
          <w:sz w:val="28"/>
          <w:szCs w:val="28"/>
        </w:rPr>
      </w:pPr>
      <w:bookmarkStart w:id="66" w:name="_Toc2302"/>
      <w:bookmarkStart w:id="67" w:name="_Toc12073"/>
      <w:bookmarkStart w:id="68" w:name="_Toc24403"/>
      <w:r>
        <w:rPr>
          <w:rFonts w:hint="default" w:ascii="Times New Roman" w:hAnsi="Times New Roman" w:eastAsia="仿宋_GB2312" w:cs="Times New Roman"/>
          <w:b/>
          <w:sz w:val="28"/>
          <w:szCs w:val="28"/>
        </w:rPr>
        <w:t>十三、估价作业日期</w:t>
      </w:r>
      <w:bookmarkEnd w:id="66"/>
      <w:bookmarkEnd w:id="67"/>
      <w:bookmarkEnd w:id="68"/>
    </w:p>
    <w:p>
      <w:pPr>
        <w:spacing w:line="360" w:lineRule="auto"/>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2019年01月08日</w:t>
      </w:r>
      <w:r>
        <w:rPr>
          <w:rFonts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2019</w:t>
      </w: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lang w:val="en-US" w:eastAsia="zh-CN"/>
        </w:rPr>
        <w:t>0</w:t>
      </w:r>
      <w:r>
        <w:rPr>
          <w:rFonts w:hint="default" w:ascii="Times New Roman" w:hAnsi="Times New Roman" w:eastAsia="仿宋_GB2312" w:cs="Times New Roman"/>
          <w:sz w:val="28"/>
          <w:szCs w:val="28"/>
          <w:lang w:eastAsia="zh-CN"/>
        </w:rPr>
        <w:t>1月</w:t>
      </w:r>
      <w:r>
        <w:rPr>
          <w:rFonts w:hint="default" w:ascii="Times New Roman" w:hAnsi="Times New Roman" w:eastAsia="仿宋_GB2312" w:cs="Times New Roman"/>
          <w:sz w:val="28"/>
          <w:szCs w:val="28"/>
          <w:lang w:val="en-US" w:eastAsia="zh-CN"/>
        </w:rPr>
        <w:t>15</w:t>
      </w:r>
      <w:r>
        <w:rPr>
          <w:rFonts w:hint="default" w:ascii="Times New Roman" w:hAnsi="Times New Roman" w:eastAsia="仿宋_GB2312" w:cs="Times New Roman"/>
          <w:sz w:val="28"/>
          <w:szCs w:val="28"/>
          <w:lang w:eastAsia="zh-CN"/>
        </w:rPr>
        <w:t>日</w:t>
      </w:r>
    </w:p>
    <w:p>
      <w:pPr>
        <w:spacing w:line="360" w:lineRule="auto"/>
        <w:ind w:firstLine="560" w:firstLineChars="200"/>
        <w:rPr>
          <w:rFonts w:ascii="Times New Roman" w:hAnsi="Times New Roman" w:eastAsia="仿宋_GB2312" w:cs="Times New Roman"/>
          <w:sz w:val="28"/>
          <w:szCs w:val="28"/>
        </w:rPr>
      </w:pPr>
    </w:p>
    <w:p>
      <w:pPr>
        <w:spacing w:line="360" w:lineRule="auto"/>
        <w:ind w:firstLine="3500" w:firstLineChars="125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山东富润土地房地产资产评估有限公司</w:t>
      </w:r>
    </w:p>
    <w:p>
      <w:pPr>
        <w:spacing w:line="360" w:lineRule="auto"/>
        <w:ind w:firstLine="560" w:firstLineChars="200"/>
        <w:jc w:val="both"/>
        <w:rPr>
          <w:rFonts w:hint="default" w:ascii="Times New Roman" w:hAnsi="Times New Roman" w:eastAsia="仿宋_GB2312" w:cs="Times New Roman"/>
          <w:sz w:val="28"/>
          <w:szCs w:val="28"/>
          <w:lang w:eastAsia="zh-CN"/>
        </w:rPr>
      </w:pPr>
      <w:r>
        <w:rPr>
          <w:rFonts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二〇一九年一月</w:t>
      </w:r>
      <w:r>
        <w:rPr>
          <w:rFonts w:hint="default" w:ascii="Times New Roman" w:hAnsi="Times New Roman" w:eastAsia="仿宋_GB2312" w:cs="Times New Roman"/>
          <w:sz w:val="28"/>
          <w:szCs w:val="28"/>
          <w:lang w:val="en-US" w:eastAsia="zh-CN"/>
        </w:rPr>
        <w:t>十五</w:t>
      </w:r>
      <w:r>
        <w:rPr>
          <w:rFonts w:hint="default" w:ascii="Times New Roman" w:hAnsi="Times New Roman" w:eastAsia="仿宋_GB2312" w:cs="Times New Roman"/>
          <w:sz w:val="28"/>
          <w:szCs w:val="28"/>
          <w:lang w:eastAsia="zh-CN"/>
        </w:rPr>
        <w:t>日</w:t>
      </w:r>
    </w:p>
    <w:p>
      <w:pPr>
        <w:spacing w:line="500" w:lineRule="exact"/>
        <w:ind w:firstLine="560" w:firstLineChars="200"/>
        <w:rPr>
          <w:rFonts w:ascii="Times New Roman" w:hAnsi="Times New Roman" w:eastAsia="仿宋_GB2312" w:cs="Times New Roman"/>
          <w:sz w:val="28"/>
          <w:szCs w:val="28"/>
        </w:rPr>
      </w:pPr>
    </w:p>
    <w:p>
      <w:pPr>
        <w:spacing w:line="500" w:lineRule="exact"/>
        <w:ind w:firstLine="560" w:firstLineChars="200"/>
        <w:rPr>
          <w:rFonts w:ascii="Times New Roman" w:hAnsi="Times New Roman" w:eastAsia="仿宋_GB2312" w:cs="Times New Roman"/>
          <w:sz w:val="28"/>
          <w:szCs w:val="28"/>
        </w:rPr>
      </w:pPr>
    </w:p>
    <w:p>
      <w:pPr>
        <w:spacing w:line="500" w:lineRule="exact"/>
        <w:ind w:firstLine="560" w:firstLineChars="200"/>
        <w:rPr>
          <w:rFonts w:ascii="Times New Roman" w:hAnsi="Times New Roman" w:eastAsia="仿宋_GB2312" w:cs="Times New Roman"/>
          <w:sz w:val="28"/>
          <w:szCs w:val="28"/>
        </w:rPr>
      </w:pPr>
    </w:p>
    <w:p>
      <w:pPr>
        <w:jc w:val="center"/>
        <w:outlineLvl w:val="0"/>
        <w:rPr>
          <w:rFonts w:ascii="Times New Roman" w:hAnsi="Times New Roman" w:eastAsia="黑体" w:cs="Times New Roman"/>
          <w:b/>
          <w:bCs/>
          <w:sz w:val="44"/>
          <w:szCs w:val="44"/>
        </w:rPr>
      </w:pPr>
      <w:bookmarkStart w:id="69" w:name="_Toc1614"/>
      <w:bookmarkStart w:id="70" w:name="_Toc12994"/>
      <w:bookmarkStart w:id="71" w:name="_Toc2009"/>
      <w:r>
        <w:rPr>
          <w:rFonts w:hint="default" w:ascii="Times New Roman" w:hAnsi="Times New Roman" w:eastAsia="黑体" w:cs="Times New Roman"/>
          <w:b/>
          <w:bCs/>
          <w:sz w:val="44"/>
          <w:szCs w:val="44"/>
        </w:rPr>
        <w:t>附</w:t>
      </w:r>
      <w:r>
        <w:rPr>
          <w:rFonts w:ascii="Times New Roman" w:hAnsi="Times New Roman" w:eastAsia="黑体" w:cs="Times New Roman"/>
          <w:b/>
          <w:bCs/>
          <w:sz w:val="44"/>
          <w:szCs w:val="44"/>
        </w:rPr>
        <w:t xml:space="preserve">  </w:t>
      </w:r>
      <w:r>
        <w:rPr>
          <w:rFonts w:hint="default" w:ascii="Times New Roman" w:hAnsi="Times New Roman" w:eastAsia="黑体" w:cs="Times New Roman"/>
          <w:b/>
          <w:bCs/>
          <w:sz w:val="44"/>
          <w:szCs w:val="44"/>
        </w:rPr>
        <w:t>件</w:t>
      </w:r>
      <w:bookmarkEnd w:id="69"/>
      <w:bookmarkEnd w:id="70"/>
      <w:bookmarkEnd w:id="71"/>
    </w:p>
    <w:p>
      <w:pPr>
        <w:spacing w:line="240" w:lineRule="exact"/>
        <w:ind w:firstLine="480" w:firstLineChars="15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TOC \o "1-3" \h \z \u </w:instrText>
      </w:r>
      <w:r>
        <w:rPr>
          <w:rFonts w:ascii="Times New Roman" w:hAnsi="Times New Roman" w:eastAsia="仿宋_GB2312" w:cs="Times New Roman"/>
          <w:sz w:val="32"/>
          <w:szCs w:val="32"/>
        </w:rPr>
        <w:fldChar w:fldCharType="separate"/>
      </w:r>
    </w:p>
    <w:p>
      <w:pPr>
        <w:pStyle w:val="13"/>
        <w:tabs>
          <w:tab w:val="right" w:leader="dot" w:pos="8296"/>
        </w:tabs>
        <w:spacing w:line="240" w:lineRule="exact"/>
        <w:ind w:left="0" w:leftChars="0" w:firstLine="560" w:firstLineChars="200"/>
        <w:outlineLvl w:val="1"/>
        <w:rPr>
          <w:rFonts w:ascii="Times New Roman" w:hAnsi="Times New Roman" w:eastAsia="仿宋_GB2312" w:cs="Times New Roman"/>
          <w:sz w:val="28"/>
          <w:szCs w:val="28"/>
        </w:rPr>
      </w:pPr>
    </w:p>
    <w:p>
      <w:pPr>
        <w:numPr>
          <w:ilvl w:val="0"/>
          <w:numId w:val="1"/>
        </w:numPr>
        <w:spacing w:line="360" w:lineRule="auto"/>
        <w:ind w:left="1119" w:leftChars="266" w:hanging="560" w:hangingChars="200"/>
        <w:jc w:val="left"/>
        <w:outlineLvl w:val="1"/>
        <w:rPr>
          <w:rFonts w:ascii="Times New Roman" w:hAnsi="Times New Roman" w:eastAsia="仿宋_GB2312" w:cs="Times New Roman"/>
          <w:sz w:val="28"/>
          <w:szCs w:val="28"/>
        </w:rPr>
      </w:pPr>
      <w:bookmarkStart w:id="72" w:name="_Toc15433"/>
      <w:bookmarkStart w:id="73" w:name="_Toc19040"/>
      <w:bookmarkStart w:id="74" w:name="_Toc31272"/>
      <w:r>
        <w:rPr>
          <w:rFonts w:hint="default" w:ascii="Times New Roman" w:hAnsi="Times New Roman" w:eastAsia="仿宋_GB2312" w:cs="Times New Roman"/>
          <w:sz w:val="28"/>
          <w:szCs w:val="28"/>
          <w:lang w:eastAsia="zh-CN"/>
        </w:rPr>
        <w:t>潍坊市寒亭区人民法院</w:t>
      </w:r>
      <w:r>
        <w:rPr>
          <w:rFonts w:hint="default" w:ascii="Times New Roman" w:hAnsi="Times New Roman" w:eastAsia="仿宋_GB2312" w:cs="Times New Roman"/>
          <w:color w:val="000000"/>
          <w:sz w:val="28"/>
          <w:szCs w:val="28"/>
          <w:lang w:eastAsia="zh-CN"/>
        </w:rPr>
        <w:t>（2018）</w:t>
      </w:r>
      <w:r>
        <w:rPr>
          <w:rFonts w:hint="default" w:ascii="Times New Roman" w:hAnsi="Times New Roman" w:eastAsia="仿宋_GB2312" w:cs="Times New Roman"/>
          <w:color w:val="000000"/>
          <w:sz w:val="28"/>
          <w:szCs w:val="28"/>
          <w:lang w:val="en-US" w:eastAsia="zh-CN"/>
        </w:rPr>
        <w:t>寒</w:t>
      </w:r>
      <w:r>
        <w:rPr>
          <w:rFonts w:hint="default" w:ascii="Times New Roman" w:hAnsi="Times New Roman" w:eastAsia="仿宋_GB2312" w:cs="Times New Roman"/>
          <w:color w:val="000000"/>
          <w:sz w:val="28"/>
          <w:szCs w:val="28"/>
          <w:lang w:eastAsia="zh-CN"/>
        </w:rPr>
        <w:t>法技评字第</w:t>
      </w:r>
      <w:r>
        <w:rPr>
          <w:rFonts w:hint="default" w:ascii="Times New Roman" w:hAnsi="Times New Roman" w:eastAsia="仿宋_GB2312" w:cs="Times New Roman"/>
          <w:color w:val="000000"/>
          <w:sz w:val="28"/>
          <w:szCs w:val="28"/>
          <w:lang w:val="en-US" w:eastAsia="zh-CN"/>
        </w:rPr>
        <w:t>0186号</w:t>
      </w:r>
      <w:r>
        <w:rPr>
          <w:rFonts w:hint="default" w:ascii="Times New Roman" w:hAnsi="Times New Roman" w:eastAsia="仿宋_GB2312" w:cs="Times New Roman"/>
          <w:sz w:val="28"/>
          <w:szCs w:val="28"/>
        </w:rPr>
        <w:t>鉴定委托函</w:t>
      </w:r>
      <w:r>
        <w:rPr>
          <w:rFonts w:hint="default" w:ascii="Times New Roman" w:hAnsi="Times New Roman" w:eastAsia="仿宋_GB2312" w:cs="Times New Roman"/>
          <w:sz w:val="28"/>
          <w:szCs w:val="28"/>
          <w:lang w:eastAsia="zh-CN"/>
        </w:rPr>
        <w:t>及司法鉴定委托书</w:t>
      </w:r>
      <w:r>
        <w:rPr>
          <w:rFonts w:hint="default" w:ascii="Times New Roman" w:hAnsi="Times New Roman" w:eastAsia="仿宋_GB2312" w:cs="Times New Roman"/>
          <w:sz w:val="28"/>
          <w:szCs w:val="28"/>
        </w:rPr>
        <w:t>复印件</w:t>
      </w:r>
      <w:bookmarkEnd w:id="72"/>
      <w:bookmarkEnd w:id="73"/>
      <w:bookmarkEnd w:id="74"/>
    </w:p>
    <w:p>
      <w:pPr>
        <w:ind w:firstLine="560" w:firstLineChars="200"/>
        <w:rPr>
          <w:rFonts w:ascii="Times New Roman" w:hAnsi="Times New Roman" w:cs="Times New Roman"/>
        </w:rPr>
      </w:pPr>
      <w:r>
        <w:rPr>
          <w:rFonts w:hint="default" w:ascii="Times New Roman" w:hAnsi="Times New Roman" w:eastAsia="仿宋_GB2312" w:cs="Times New Roman"/>
          <w:sz w:val="28"/>
          <w:szCs w:val="28"/>
        </w:rPr>
        <w:t>二、</w:t>
      </w:r>
      <w:r>
        <w:rPr>
          <w:rFonts w:hint="default" w:ascii="Times New Roman" w:hAnsi="Times New Roman" w:eastAsia="仿宋_GB2312" w:cs="Times New Roman"/>
          <w:sz w:val="28"/>
          <w:szCs w:val="28"/>
          <w:lang w:eastAsia="zh-CN"/>
        </w:rPr>
        <w:t>委托人提供的有关《查档证明》</w:t>
      </w:r>
      <w:r>
        <w:rPr>
          <w:rFonts w:hint="default" w:ascii="Times New Roman" w:hAnsi="Times New Roman" w:eastAsia="仿宋_GB2312" w:cs="Times New Roman"/>
          <w:color w:val="000000"/>
          <w:sz w:val="28"/>
          <w:szCs w:val="28"/>
        </w:rPr>
        <w:t>等</w:t>
      </w:r>
      <w:r>
        <w:rPr>
          <w:rFonts w:hint="default" w:ascii="Times New Roman" w:hAnsi="Times New Roman" w:eastAsia="仿宋_GB2312" w:cs="Times New Roman"/>
          <w:color w:val="000000"/>
          <w:sz w:val="28"/>
          <w:szCs w:val="28"/>
          <w:lang w:eastAsia="zh-CN"/>
        </w:rPr>
        <w:t>产权证明材料</w:t>
      </w:r>
      <w:r>
        <w:rPr>
          <w:rFonts w:hint="default" w:ascii="Times New Roman" w:hAnsi="Times New Roman" w:eastAsia="仿宋_GB2312" w:cs="Times New Roman"/>
          <w:sz w:val="28"/>
          <w:szCs w:val="28"/>
        </w:rPr>
        <w:t>复印件</w:t>
      </w:r>
    </w:p>
    <w:p>
      <w:pPr>
        <w:pStyle w:val="13"/>
        <w:tabs>
          <w:tab w:val="right" w:leader="dot" w:pos="8296"/>
        </w:tabs>
        <w:spacing w:line="360" w:lineRule="auto"/>
        <w:ind w:left="0" w:leftChars="0" w:firstLine="560" w:firstLineChars="200"/>
        <w:outlineLvl w:val="1"/>
        <w:rPr>
          <w:rFonts w:ascii="Times New Roman" w:hAnsi="Times New Roman" w:eastAsia="仿宋_GB2312" w:cs="Times New Roman"/>
          <w:sz w:val="28"/>
          <w:szCs w:val="28"/>
        </w:rPr>
      </w:pPr>
      <w:bookmarkStart w:id="75" w:name="_Toc4527"/>
      <w:bookmarkStart w:id="76" w:name="_Toc29842"/>
      <w:bookmarkStart w:id="77" w:name="_Toc7515"/>
      <w:r>
        <w:rPr>
          <w:rFonts w:hint="default" w:ascii="Times New Roman" w:hAnsi="Times New Roman" w:eastAsia="仿宋_GB2312" w:cs="Times New Roman"/>
          <w:sz w:val="28"/>
          <w:szCs w:val="28"/>
        </w:rPr>
        <w:t>三、</w:t>
      </w:r>
      <w:r>
        <w:rPr>
          <w:rFonts w:ascii="Times New Roman" w:hAnsi="Times New Roman" w:cs="Times New Roman"/>
        </w:rPr>
        <w:fldChar w:fldCharType="begin"/>
      </w:r>
      <w:r>
        <w:rPr>
          <w:rFonts w:ascii="Times New Roman" w:hAnsi="Times New Roman" w:cs="Times New Roman"/>
        </w:rPr>
        <w:instrText xml:space="preserve"> HYPERLINK \l "_Toc279155576" </w:instrText>
      </w:r>
      <w:r>
        <w:rPr>
          <w:rFonts w:ascii="Times New Roman" w:hAnsi="Times New Roman" w:cs="Times New Roman"/>
        </w:rPr>
        <w:fldChar w:fldCharType="separate"/>
      </w:r>
      <w:r>
        <w:rPr>
          <w:rFonts w:hint="default" w:ascii="Times New Roman" w:hAnsi="Times New Roman" w:eastAsia="仿宋_GB2312" w:cs="Times New Roman"/>
          <w:sz w:val="28"/>
          <w:szCs w:val="28"/>
        </w:rPr>
        <w:t>估价对象地理位置示意图</w:t>
      </w:r>
      <w:r>
        <w:rPr>
          <w:rFonts w:hint="default" w:ascii="Times New Roman" w:hAnsi="Times New Roman" w:eastAsia="仿宋_GB2312" w:cs="Times New Roman"/>
          <w:sz w:val="28"/>
          <w:szCs w:val="28"/>
        </w:rPr>
        <w:fldChar w:fldCharType="end"/>
      </w:r>
      <w:bookmarkEnd w:id="75"/>
      <w:bookmarkEnd w:id="76"/>
      <w:bookmarkEnd w:id="77"/>
    </w:p>
    <w:p>
      <w:pPr>
        <w:pStyle w:val="13"/>
        <w:tabs>
          <w:tab w:val="right" w:leader="dot" w:pos="8296"/>
        </w:tabs>
        <w:spacing w:line="360" w:lineRule="auto"/>
        <w:ind w:left="0" w:leftChars="0" w:firstLine="560" w:firstLineChars="200"/>
        <w:outlineLvl w:val="1"/>
        <w:rPr>
          <w:rFonts w:ascii="Times New Roman" w:hAnsi="Times New Roman" w:eastAsia="仿宋_GB2312" w:cs="Times New Roman"/>
          <w:sz w:val="28"/>
          <w:szCs w:val="28"/>
        </w:rPr>
      </w:pPr>
      <w:bookmarkStart w:id="78" w:name="_Toc26290"/>
      <w:bookmarkStart w:id="79" w:name="_Toc24344"/>
      <w:bookmarkStart w:id="80" w:name="_Toc27618"/>
      <w:r>
        <w:rPr>
          <w:rFonts w:hint="default" w:ascii="Times New Roman" w:hAnsi="Times New Roman" w:eastAsia="仿宋_GB2312" w:cs="Times New Roman"/>
          <w:sz w:val="28"/>
          <w:szCs w:val="28"/>
        </w:rPr>
        <w:t>四、估价对象</w:t>
      </w:r>
      <w:r>
        <w:rPr>
          <w:rFonts w:hint="default" w:ascii="Times New Roman" w:hAnsi="Times New Roman" w:eastAsia="仿宋_GB2312" w:cs="Times New Roman"/>
          <w:sz w:val="28"/>
          <w:szCs w:val="28"/>
          <w:lang w:eastAsia="zh-CN"/>
        </w:rPr>
        <w:t>现场</w:t>
      </w:r>
      <w:r>
        <w:rPr>
          <w:rFonts w:hint="default" w:ascii="Times New Roman" w:hAnsi="Times New Roman" w:eastAsia="仿宋_GB2312" w:cs="Times New Roman"/>
          <w:sz w:val="28"/>
          <w:szCs w:val="28"/>
        </w:rPr>
        <w:t>照片</w:t>
      </w:r>
      <w:bookmarkEnd w:id="78"/>
      <w:bookmarkEnd w:id="79"/>
      <w:bookmarkEnd w:id="80"/>
    </w:p>
    <w:p>
      <w:pPr>
        <w:spacing w:line="360" w:lineRule="auto"/>
        <w:ind w:firstLine="566" w:firstLineChars="177"/>
        <w:outlineLvl w:val="1"/>
        <w:rPr>
          <w:rFonts w:ascii="Times New Roman" w:hAnsi="Times New Roman" w:eastAsia="仿宋_GB2312" w:cs="Times New Roman"/>
          <w:sz w:val="28"/>
          <w:szCs w:val="28"/>
        </w:rPr>
      </w:pPr>
      <w:bookmarkStart w:id="81" w:name="_Toc20800"/>
      <w:bookmarkStart w:id="82" w:name="_Toc26371"/>
      <w:bookmarkStart w:id="83" w:name="_Toc24809"/>
      <w:r>
        <w:rPr>
          <w:rFonts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五</w:t>
      </w:r>
      <w:r>
        <w:rPr>
          <w:rFonts w:hint="default" w:ascii="Times New Roman" w:hAnsi="Times New Roman" w:eastAsia="仿宋_GB2312" w:cs="Times New Roman"/>
          <w:color w:val="000000"/>
          <w:sz w:val="28"/>
          <w:szCs w:val="28"/>
        </w:rPr>
        <w:t>、</w:t>
      </w:r>
      <w:bookmarkEnd w:id="81"/>
      <w:bookmarkStart w:id="84" w:name="_Toc24331"/>
      <w:r>
        <w:rPr>
          <w:rFonts w:hint="default" w:ascii="Times New Roman" w:hAnsi="Times New Roman" w:eastAsia="仿宋_GB2312" w:cs="Times New Roman"/>
          <w:sz w:val="28"/>
          <w:szCs w:val="28"/>
        </w:rPr>
        <w:t>估价机构</w:t>
      </w:r>
      <w:r>
        <w:rPr>
          <w:rFonts w:hint="default" w:ascii="Times New Roman" w:hAnsi="Times New Roman" w:eastAsia="仿宋_GB2312" w:cs="Times New Roman"/>
          <w:sz w:val="28"/>
          <w:szCs w:val="28"/>
          <w:lang w:eastAsia="zh-CN"/>
        </w:rPr>
        <w:t>资质证书</w:t>
      </w:r>
      <w:r>
        <w:rPr>
          <w:rFonts w:hint="default" w:ascii="Times New Roman" w:hAnsi="Times New Roman" w:eastAsia="仿宋_GB2312" w:cs="Times New Roman"/>
          <w:sz w:val="28"/>
          <w:szCs w:val="28"/>
        </w:rPr>
        <w:t>复印件</w:t>
      </w:r>
      <w:bookmarkEnd w:id="82"/>
      <w:bookmarkEnd w:id="83"/>
      <w:bookmarkEnd w:id="84"/>
    </w:p>
    <w:p>
      <w:pPr>
        <w:spacing w:line="360" w:lineRule="auto"/>
        <w:ind w:firstLine="560" w:firstLineChars="200"/>
        <w:outlineLvl w:val="1"/>
        <w:rPr>
          <w:rFonts w:ascii="Times New Roman" w:hAnsi="Times New Roman" w:eastAsia="仿宋_GB2312" w:cs="Times New Roman"/>
          <w:sz w:val="28"/>
          <w:szCs w:val="28"/>
        </w:rPr>
      </w:pPr>
      <w:bookmarkStart w:id="85" w:name="_Toc15258"/>
      <w:bookmarkStart w:id="86" w:name="_Toc27448"/>
      <w:bookmarkStart w:id="87" w:name="_Toc19888"/>
      <w:r>
        <w:rPr>
          <w:rFonts w:hint="default" w:ascii="Times New Roman" w:hAnsi="Times New Roman" w:eastAsia="仿宋_GB2312" w:cs="Times New Roman"/>
          <w:sz w:val="28"/>
          <w:szCs w:val="28"/>
        </w:rPr>
        <w:t>六、估价机构</w:t>
      </w:r>
      <w:r>
        <w:rPr>
          <w:rFonts w:hint="default" w:ascii="Times New Roman" w:hAnsi="Times New Roman" w:eastAsia="仿宋_GB2312" w:cs="Times New Roman"/>
          <w:sz w:val="28"/>
          <w:szCs w:val="28"/>
          <w:lang w:eastAsia="zh-CN"/>
        </w:rPr>
        <w:t>营业执照</w:t>
      </w:r>
      <w:r>
        <w:rPr>
          <w:rFonts w:hint="default" w:ascii="Times New Roman" w:hAnsi="Times New Roman" w:eastAsia="仿宋_GB2312" w:cs="Times New Roman"/>
          <w:sz w:val="28"/>
          <w:szCs w:val="28"/>
        </w:rPr>
        <w:t>复印件</w:t>
      </w:r>
      <w:bookmarkEnd w:id="85"/>
      <w:bookmarkEnd w:id="86"/>
      <w:bookmarkEnd w:id="87"/>
    </w:p>
    <w:p>
      <w:pPr>
        <w:pStyle w:val="13"/>
        <w:tabs>
          <w:tab w:val="right" w:leader="dot" w:pos="8296"/>
        </w:tabs>
        <w:spacing w:line="360" w:lineRule="auto"/>
        <w:ind w:left="0" w:leftChars="0" w:firstLine="560" w:firstLineChars="200"/>
        <w:outlineLvl w:val="1"/>
        <w:rPr>
          <w:rFonts w:ascii="Times New Roman" w:hAnsi="Times New Roman" w:eastAsia="仿宋_GB2312" w:cs="Times New Roman"/>
        </w:rPr>
      </w:pPr>
      <w:bookmarkStart w:id="88" w:name="_Toc24883"/>
      <w:bookmarkStart w:id="89" w:name="_Toc30221"/>
      <w:bookmarkStart w:id="90" w:name="_Toc11498"/>
      <w:r>
        <w:rPr>
          <w:rFonts w:hint="default" w:ascii="Times New Roman" w:hAnsi="Times New Roman" w:eastAsia="仿宋_GB2312" w:cs="Times New Roman"/>
          <w:sz w:val="28"/>
          <w:szCs w:val="28"/>
        </w:rPr>
        <w:t>七、注册房地产估价师证书复印件</w:t>
      </w:r>
      <w:bookmarkEnd w:id="88"/>
      <w:bookmarkEnd w:id="89"/>
      <w:bookmarkEnd w:id="90"/>
    </w:p>
    <w:p>
      <w:pPr>
        <w:pStyle w:val="13"/>
        <w:tabs>
          <w:tab w:val="right" w:leader="dot" w:pos="8296"/>
        </w:tabs>
        <w:spacing w:line="360" w:lineRule="auto"/>
        <w:ind w:left="0" w:leftChars="0" w:firstLine="420" w:firstLineChars="200"/>
        <w:outlineLvl w:val="1"/>
        <w:rPr>
          <w:rFonts w:ascii="Times New Roman" w:hAnsi="Times New Roman" w:eastAsia="仿宋_GB2312" w:cs="Times New Roman"/>
        </w:rPr>
      </w:pPr>
    </w:p>
    <w:sectPr>
      <w:headerReference r:id="rId6" w:type="default"/>
      <w:footerReference r:id="rId7"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left w:val="none" w:color="auto" w:sz="0" w:space="4"/>
        <w:bottom w:val="none" w:color="auto" w:sz="0" w:space="1"/>
        <w:right w:val="none" w:color="auto" w:sz="0" w:space="4"/>
      </w:pBdr>
      <w:tabs>
        <w:tab w:val="center" w:pos="4153"/>
        <w:tab w:val="right" w:pos="8306"/>
      </w:tabs>
      <w:snapToGrid w:val="0"/>
      <w:rPr>
        <w:rFonts w:ascii="黑体" w:hAnsi="黑体" w:eastAsia="黑体"/>
        <w:sz w:val="18"/>
      </w:rPr>
    </w:pPr>
    <w:r>
      <w:rPr>
        <w:rFonts w:hint="eastAsia" w:ascii="黑体" w:hAnsi="黑体" w:eastAsia="黑体"/>
        <w:sz w:val="18"/>
      </w:rPr>
      <w:t>山东富润土地房地产资产评估有限公司</w:t>
    </w:r>
    <w:r>
      <w:rPr>
        <w:rFonts w:ascii="黑体" w:hAnsi="黑体" w:eastAsia="黑体"/>
        <w:sz w:val="18"/>
      </w:rPr>
      <w:t xml:space="preserve">     </w:t>
    </w:r>
    <w:r>
      <w:rPr>
        <w:rFonts w:hint="eastAsia" w:ascii="黑体" w:hAnsi="黑体" w:eastAsia="黑体"/>
        <w:sz w:val="18"/>
      </w:rPr>
      <w:t>通信地址：潍坊高新区玉泉路</w:t>
    </w:r>
    <w:r>
      <w:rPr>
        <w:rFonts w:ascii="黑体" w:hAnsi="黑体" w:eastAsia="黑体"/>
        <w:sz w:val="18"/>
      </w:rPr>
      <w:t>518</w:t>
    </w:r>
    <w:r>
      <w:rPr>
        <w:rFonts w:hint="eastAsia" w:ascii="黑体" w:hAnsi="黑体" w:eastAsia="黑体"/>
        <w:sz w:val="18"/>
      </w:rPr>
      <w:t>号玉清大厦</w:t>
    </w:r>
    <w:r>
      <w:rPr>
        <w:rFonts w:ascii="黑体" w:hAnsi="黑体" w:eastAsia="黑体"/>
        <w:sz w:val="18"/>
      </w:rPr>
      <w:t>15</w:t>
    </w:r>
    <w:r>
      <w:rPr>
        <w:rFonts w:hint="eastAsia" w:ascii="黑体" w:hAnsi="黑体" w:eastAsia="黑体"/>
        <w:sz w:val="18"/>
      </w:rPr>
      <w:t>层</w:t>
    </w:r>
    <w:r>
      <w:rPr>
        <w:rFonts w:ascii="黑体" w:hAnsi="黑体" w:eastAsia="黑体"/>
        <w:sz w:val="18"/>
      </w:rPr>
      <w:t xml:space="preserve"> </w:t>
    </w:r>
  </w:p>
  <w:p>
    <w:pPr>
      <w:pBdr>
        <w:top w:val="single" w:color="auto" w:sz="4" w:space="1"/>
        <w:left w:val="none" w:color="auto" w:sz="0" w:space="4"/>
        <w:bottom w:val="none" w:color="auto" w:sz="0" w:space="1"/>
        <w:right w:val="none" w:color="auto" w:sz="0" w:space="4"/>
      </w:pBdr>
      <w:tabs>
        <w:tab w:val="center" w:pos="4153"/>
        <w:tab w:val="right" w:pos="8306"/>
      </w:tabs>
      <w:snapToGrid w:val="0"/>
      <w:rPr>
        <w:rFonts w:ascii="黑体" w:hAnsi="黑体" w:eastAsia="黑体"/>
        <w:sz w:val="18"/>
      </w:rPr>
    </w:pPr>
    <w:r>
      <w:rPr>
        <w:sz w:val="16"/>
      </w:rPr>
      <w:pict>
        <v:shape id="_x0000_s4098" o:spid="_x0000_s4098" o:spt="202" type="#_x0000_t202" style="position:absolute;left:0pt;margin-left:4.5pt;margin-top:-737.0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jc w:val="both"/>
                </w:pPr>
              </w:p>
            </w:txbxContent>
          </v:textbox>
        </v:shape>
      </w:pict>
    </w:r>
    <w:r>
      <w:rPr>
        <w:rFonts w:hint="eastAsia" w:ascii="黑体" w:hAnsi="黑体" w:eastAsia="黑体"/>
        <w:sz w:val="18"/>
      </w:rPr>
      <w:t>邮政编码：</w:t>
    </w:r>
    <w:r>
      <w:rPr>
        <w:rFonts w:ascii="黑体" w:hAnsi="黑体" w:eastAsia="黑体"/>
        <w:sz w:val="18"/>
      </w:rPr>
      <w:t xml:space="preserve">261061    </w:t>
    </w:r>
    <w:r>
      <w:rPr>
        <w:rFonts w:hint="eastAsia" w:ascii="黑体" w:hAnsi="黑体" w:eastAsia="黑体"/>
        <w:sz w:val="18"/>
      </w:rPr>
      <w:t>电话：</w:t>
    </w:r>
    <w:r>
      <w:rPr>
        <w:rFonts w:ascii="黑体" w:hAnsi="黑体" w:eastAsia="黑体"/>
        <w:sz w:val="18"/>
      </w:rPr>
      <w:t xml:space="preserve">(0536) </w:t>
    </w:r>
    <w:r>
      <w:rPr>
        <w:rFonts w:hint="eastAsia" w:ascii="黑体" w:hAnsi="黑体" w:eastAsia="黑体"/>
        <w:sz w:val="18"/>
        <w:lang w:val="en-US" w:eastAsia="zh-CN"/>
      </w:rPr>
      <w:t>8293877</w:t>
    </w:r>
    <w:r>
      <w:rPr>
        <w:rFonts w:ascii="黑体" w:hAnsi="黑体" w:eastAsia="黑体"/>
        <w:sz w:val="18"/>
      </w:rPr>
      <w:t xml:space="preserve">        </w:t>
    </w:r>
    <w:r>
      <w:rPr>
        <w:rFonts w:hint="eastAsia" w:ascii="黑体" w:hAnsi="黑体" w:eastAsia="黑体"/>
        <w:sz w:val="18"/>
      </w:rPr>
      <w:t>邮箱：</w:t>
    </w:r>
    <w:r>
      <w:rPr>
        <w:rFonts w:ascii="黑体" w:hAnsi="黑体" w:eastAsia="黑体"/>
        <w:sz w:val="18"/>
      </w:rPr>
      <w:t>furun@sdfrpg.com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left w:val="none" w:color="auto" w:sz="0" w:space="4"/>
        <w:bottom w:val="none" w:color="auto" w:sz="0" w:space="1"/>
        <w:right w:val="none" w:color="auto" w:sz="0" w:space="4"/>
      </w:pBdr>
      <w:tabs>
        <w:tab w:val="center" w:pos="4153"/>
        <w:tab w:val="right" w:pos="8306"/>
      </w:tabs>
      <w:snapToGrid w:val="0"/>
      <w:rPr>
        <w:rFonts w:ascii="黑体" w:hAnsi="黑体" w:eastAsia="黑体"/>
        <w:sz w:val="18"/>
      </w:rPr>
    </w:pPr>
    <w:r>
      <w:rPr>
        <w:rFonts w:hint="eastAsia" w:ascii="黑体" w:hAnsi="黑体" w:eastAsia="黑体"/>
        <w:sz w:val="18"/>
      </w:rPr>
      <w:t>山东富润土地房地产资产评估有限公司</w:t>
    </w:r>
    <w:r>
      <w:rPr>
        <w:rFonts w:ascii="黑体" w:hAnsi="黑体" w:eastAsia="黑体"/>
        <w:sz w:val="18"/>
      </w:rPr>
      <w:t xml:space="preserve">     </w:t>
    </w:r>
    <w:r>
      <w:rPr>
        <w:rFonts w:hint="eastAsia" w:ascii="黑体" w:hAnsi="黑体" w:eastAsia="黑体"/>
        <w:sz w:val="18"/>
      </w:rPr>
      <w:t>通信地址：潍坊高新区玉泉路</w:t>
    </w:r>
    <w:r>
      <w:rPr>
        <w:rFonts w:ascii="黑体" w:hAnsi="黑体" w:eastAsia="黑体"/>
        <w:sz w:val="18"/>
      </w:rPr>
      <w:t>518</w:t>
    </w:r>
    <w:r>
      <w:rPr>
        <w:rFonts w:hint="eastAsia" w:ascii="黑体" w:hAnsi="黑体" w:eastAsia="黑体"/>
        <w:sz w:val="18"/>
      </w:rPr>
      <w:t>号玉清大厦</w:t>
    </w:r>
    <w:r>
      <w:rPr>
        <w:rFonts w:ascii="黑体" w:hAnsi="黑体" w:eastAsia="黑体"/>
        <w:sz w:val="18"/>
      </w:rPr>
      <w:t>15</w:t>
    </w:r>
    <w:r>
      <w:rPr>
        <w:rFonts w:hint="eastAsia" w:ascii="黑体" w:hAnsi="黑体" w:eastAsia="黑体"/>
        <w:sz w:val="18"/>
      </w:rPr>
      <w:t>层</w:t>
    </w:r>
    <w:r>
      <w:rPr>
        <w:rFonts w:ascii="黑体" w:hAnsi="黑体" w:eastAsia="黑体"/>
        <w:sz w:val="18"/>
      </w:rPr>
      <w:t xml:space="preserve"> </w:t>
    </w:r>
  </w:p>
  <w:p>
    <w:pPr>
      <w:pBdr>
        <w:top w:val="single" w:color="auto" w:sz="4" w:space="1"/>
        <w:left w:val="none" w:color="auto" w:sz="0" w:space="4"/>
        <w:bottom w:val="none" w:color="auto" w:sz="0" w:space="1"/>
        <w:right w:val="none" w:color="auto" w:sz="0" w:space="4"/>
      </w:pBdr>
      <w:tabs>
        <w:tab w:val="center" w:pos="4153"/>
        <w:tab w:val="right" w:pos="8306"/>
      </w:tabs>
      <w:snapToGrid w:val="0"/>
      <w:rPr>
        <w:rFonts w:ascii="黑体" w:hAnsi="黑体" w:eastAsia="黑体"/>
        <w:sz w:val="18"/>
      </w:rPr>
    </w:pPr>
    <w:r>
      <w:rPr>
        <w:sz w:val="16"/>
      </w:rPr>
      <w:pict>
        <v:shape id="_x0000_s4099" o:spid="_x0000_s4099" o:spt="202" type="#_x0000_t202" style="position:absolute;left:0pt;margin-top:-737.05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0"/>
                  <w:jc w:val="both"/>
                </w:pPr>
                <w:r>
                  <w:rPr>
                    <w:rFonts w:hint="eastAsia" w:ascii="黑体" w:hAnsi="黑体" w:eastAsia="黑体"/>
                    <w:sz w:val="16"/>
                    <w:szCs w:val="16"/>
                    <w:lang w:eastAsia="zh-CN"/>
                  </w:rPr>
                  <w:t>潍坊市寒亭区人民法院执行案件所涉及的寒亭区泰祥东街1709号龙居家园二处住宅司法评估项目</w:t>
                </w:r>
                <w:r>
                  <w:rPr>
                    <w:rFonts w:hint="eastAsia" w:ascii="黑体" w:hAnsi="黑体" w:eastAsia="黑体"/>
                    <w:sz w:val="16"/>
                    <w:szCs w:val="16"/>
                    <w:lang w:val="en-US" w:eastAsia="zh-CN"/>
                  </w:rPr>
                  <w:t xml:space="preserve">   </w:t>
                </w:r>
                <w:r>
                  <w:rPr>
                    <w:rFonts w:hint="eastAsia" w:ascii="黑体" w:hAnsi="黑体" w:eastAsia="黑体" w:cs="黑体"/>
                    <w:spacing w:val="-4"/>
                    <w:sz w:val="16"/>
                    <w:szCs w:val="16"/>
                  </w:rPr>
                  <w:t>第</w:t>
                </w:r>
                <w:r>
                  <w:rPr>
                    <w:rFonts w:hint="eastAsia" w:ascii="黑体" w:hAnsi="黑体" w:eastAsia="黑体" w:cs="黑体"/>
                    <w:spacing w:val="-4"/>
                    <w:sz w:val="16"/>
                    <w:szCs w:val="16"/>
                  </w:rPr>
                  <w:fldChar w:fldCharType="begin"/>
                </w:r>
                <w:r>
                  <w:rPr>
                    <w:rFonts w:hint="eastAsia" w:ascii="黑体" w:hAnsi="黑体" w:eastAsia="黑体" w:cs="黑体"/>
                    <w:spacing w:val="-4"/>
                    <w:sz w:val="16"/>
                    <w:szCs w:val="16"/>
                  </w:rPr>
                  <w:instrText xml:space="preserve"> PAGE   \* MERGEFORMAT </w:instrText>
                </w:r>
                <w:r>
                  <w:rPr>
                    <w:rFonts w:hint="eastAsia" w:ascii="黑体" w:hAnsi="黑体" w:eastAsia="黑体" w:cs="黑体"/>
                    <w:spacing w:val="-4"/>
                    <w:sz w:val="16"/>
                    <w:szCs w:val="16"/>
                  </w:rPr>
                  <w:fldChar w:fldCharType="separate"/>
                </w:r>
                <w:r>
                  <w:rPr>
                    <w:rFonts w:ascii="黑体" w:hAnsi="黑体" w:eastAsia="黑体" w:cs="黑体"/>
                    <w:spacing w:val="-4"/>
                    <w:sz w:val="16"/>
                    <w:szCs w:val="16"/>
                    <w:lang w:val="zh-CN"/>
                  </w:rPr>
                  <w:t>7</w:t>
                </w:r>
                <w:r>
                  <w:rPr>
                    <w:rFonts w:hint="eastAsia" w:ascii="黑体" w:hAnsi="黑体" w:eastAsia="黑体" w:cs="黑体"/>
                    <w:spacing w:val="-4"/>
                    <w:sz w:val="16"/>
                    <w:szCs w:val="16"/>
                  </w:rPr>
                  <w:fldChar w:fldCharType="end"/>
                </w:r>
                <w:r>
                  <w:rPr>
                    <w:rFonts w:hint="eastAsia" w:ascii="黑体" w:hAnsi="黑体" w:eastAsia="黑体" w:cs="黑体"/>
                    <w:spacing w:val="-4"/>
                    <w:sz w:val="16"/>
                    <w:szCs w:val="16"/>
                  </w:rPr>
                  <w:t>页共</w:t>
                </w:r>
                <w:r>
                  <w:rPr>
                    <w:rFonts w:hint="eastAsia" w:ascii="黑体" w:hAnsi="黑体" w:eastAsia="黑体" w:cs="黑体"/>
                    <w:spacing w:val="-4"/>
                    <w:sz w:val="16"/>
                    <w:szCs w:val="16"/>
                    <w:lang w:val="en-US" w:eastAsia="zh-CN"/>
                  </w:rPr>
                  <w:t>17</w:t>
                </w:r>
                <w:r>
                  <w:rPr>
                    <w:rFonts w:hint="eastAsia" w:ascii="黑体" w:hAnsi="黑体" w:eastAsia="黑体" w:cs="黑体"/>
                    <w:spacing w:val="-4"/>
                    <w:sz w:val="16"/>
                    <w:szCs w:val="16"/>
                  </w:rPr>
                  <w:t>页</w:t>
                </w:r>
              </w:p>
            </w:txbxContent>
          </v:textbox>
        </v:shape>
      </w:pict>
    </w:r>
    <w:r>
      <w:rPr>
        <w:rFonts w:hint="eastAsia" w:ascii="黑体" w:hAnsi="黑体" w:eastAsia="黑体"/>
        <w:sz w:val="18"/>
      </w:rPr>
      <w:t>邮政编码：</w:t>
    </w:r>
    <w:r>
      <w:rPr>
        <w:rFonts w:ascii="黑体" w:hAnsi="黑体" w:eastAsia="黑体"/>
        <w:sz w:val="18"/>
      </w:rPr>
      <w:t xml:space="preserve">261061    </w:t>
    </w:r>
    <w:r>
      <w:rPr>
        <w:rFonts w:hint="eastAsia" w:ascii="黑体" w:hAnsi="黑体" w:eastAsia="黑体"/>
        <w:sz w:val="18"/>
      </w:rPr>
      <w:t>电话：</w:t>
    </w:r>
    <w:r>
      <w:rPr>
        <w:rFonts w:ascii="黑体" w:hAnsi="黑体" w:eastAsia="黑体"/>
        <w:sz w:val="18"/>
      </w:rPr>
      <w:t xml:space="preserve">(0536) </w:t>
    </w:r>
    <w:r>
      <w:rPr>
        <w:rFonts w:hint="eastAsia" w:ascii="黑体" w:hAnsi="黑体" w:eastAsia="黑体"/>
        <w:sz w:val="18"/>
        <w:lang w:val="en-US" w:eastAsia="zh-CN"/>
      </w:rPr>
      <w:t>8293877</w:t>
    </w:r>
    <w:r>
      <w:rPr>
        <w:rFonts w:ascii="黑体" w:hAnsi="黑体" w:eastAsia="黑体"/>
        <w:sz w:val="18"/>
      </w:rPr>
      <w:t xml:space="preserve">       </w:t>
    </w:r>
    <w:r>
      <w:rPr>
        <w:rFonts w:hint="eastAsia" w:ascii="黑体" w:hAnsi="黑体" w:eastAsia="黑体"/>
        <w:sz w:val="18"/>
      </w:rPr>
      <w:t>邮箱：</w:t>
    </w:r>
    <w:r>
      <w:rPr>
        <w:rFonts w:ascii="黑体" w:hAnsi="黑体" w:eastAsia="黑体"/>
        <w:sz w:val="18"/>
      </w:rPr>
      <w:t>furun@sdfrpg.com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仿宋" w:hAnsi="仿宋" w:eastAsia="仿宋" w:cs="仿宋"/>
        <w:spacing w:val="-4"/>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ascii="仿宋" w:hAnsi="仿宋" w:eastAsia="仿宋" w:cs="仿宋"/>
        <w:spacing w:val="-4"/>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87AB0"/>
    <w:multiLevelType w:val="singleLevel"/>
    <w:tmpl w:val="5A987A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172A27"/>
    <w:rsid w:val="00000810"/>
    <w:rsid w:val="00005BD5"/>
    <w:rsid w:val="000116C9"/>
    <w:rsid w:val="0001462A"/>
    <w:rsid w:val="000147A3"/>
    <w:rsid w:val="00015687"/>
    <w:rsid w:val="00021858"/>
    <w:rsid w:val="000278B9"/>
    <w:rsid w:val="0003159E"/>
    <w:rsid w:val="00037CA0"/>
    <w:rsid w:val="00042BC4"/>
    <w:rsid w:val="000455BE"/>
    <w:rsid w:val="00053198"/>
    <w:rsid w:val="00053D09"/>
    <w:rsid w:val="00062136"/>
    <w:rsid w:val="00062D53"/>
    <w:rsid w:val="00065AD7"/>
    <w:rsid w:val="00073E0B"/>
    <w:rsid w:val="00077948"/>
    <w:rsid w:val="00077A8D"/>
    <w:rsid w:val="00081DD7"/>
    <w:rsid w:val="00092316"/>
    <w:rsid w:val="0009454E"/>
    <w:rsid w:val="00097064"/>
    <w:rsid w:val="000A6389"/>
    <w:rsid w:val="000B115F"/>
    <w:rsid w:val="000C0BEA"/>
    <w:rsid w:val="000C10A9"/>
    <w:rsid w:val="000C12CE"/>
    <w:rsid w:val="000D36E4"/>
    <w:rsid w:val="000D3B21"/>
    <w:rsid w:val="000E2AAF"/>
    <w:rsid w:val="000E479B"/>
    <w:rsid w:val="000F2C61"/>
    <w:rsid w:val="0010234F"/>
    <w:rsid w:val="00107590"/>
    <w:rsid w:val="0011367D"/>
    <w:rsid w:val="001138E3"/>
    <w:rsid w:val="00121CF0"/>
    <w:rsid w:val="001221AF"/>
    <w:rsid w:val="0012559F"/>
    <w:rsid w:val="0013073A"/>
    <w:rsid w:val="00131D92"/>
    <w:rsid w:val="00134C0C"/>
    <w:rsid w:val="00141955"/>
    <w:rsid w:val="00142A61"/>
    <w:rsid w:val="00144B09"/>
    <w:rsid w:val="00151D9B"/>
    <w:rsid w:val="0015477E"/>
    <w:rsid w:val="0016458A"/>
    <w:rsid w:val="001662A5"/>
    <w:rsid w:val="00167679"/>
    <w:rsid w:val="00171673"/>
    <w:rsid w:val="00172A27"/>
    <w:rsid w:val="00177AA4"/>
    <w:rsid w:val="00186894"/>
    <w:rsid w:val="001877D2"/>
    <w:rsid w:val="00191DF0"/>
    <w:rsid w:val="00192095"/>
    <w:rsid w:val="00197E27"/>
    <w:rsid w:val="001A1D68"/>
    <w:rsid w:val="001A4852"/>
    <w:rsid w:val="001B3BB9"/>
    <w:rsid w:val="001C178E"/>
    <w:rsid w:val="001C31C8"/>
    <w:rsid w:val="001E10EA"/>
    <w:rsid w:val="001E5A98"/>
    <w:rsid w:val="001E61C4"/>
    <w:rsid w:val="001E68D8"/>
    <w:rsid w:val="001F62F6"/>
    <w:rsid w:val="001F74E9"/>
    <w:rsid w:val="001F7D8A"/>
    <w:rsid w:val="00200A0F"/>
    <w:rsid w:val="00200B45"/>
    <w:rsid w:val="0020200C"/>
    <w:rsid w:val="0020399C"/>
    <w:rsid w:val="00206ECC"/>
    <w:rsid w:val="00220B20"/>
    <w:rsid w:val="002225CD"/>
    <w:rsid w:val="00224EBC"/>
    <w:rsid w:val="0022640A"/>
    <w:rsid w:val="00226C25"/>
    <w:rsid w:val="00231D21"/>
    <w:rsid w:val="0023277C"/>
    <w:rsid w:val="00240B08"/>
    <w:rsid w:val="00240D52"/>
    <w:rsid w:val="00241D29"/>
    <w:rsid w:val="00242673"/>
    <w:rsid w:val="002436DE"/>
    <w:rsid w:val="00246B7B"/>
    <w:rsid w:val="002471E9"/>
    <w:rsid w:val="00247927"/>
    <w:rsid w:val="00251737"/>
    <w:rsid w:val="0025743E"/>
    <w:rsid w:val="00257444"/>
    <w:rsid w:val="0026164F"/>
    <w:rsid w:val="00267A00"/>
    <w:rsid w:val="00267EB6"/>
    <w:rsid w:val="0027371B"/>
    <w:rsid w:val="00276CA7"/>
    <w:rsid w:val="00277940"/>
    <w:rsid w:val="00280916"/>
    <w:rsid w:val="00290DD3"/>
    <w:rsid w:val="002936B1"/>
    <w:rsid w:val="002949B0"/>
    <w:rsid w:val="002965EC"/>
    <w:rsid w:val="00296CE0"/>
    <w:rsid w:val="00296D56"/>
    <w:rsid w:val="002A2491"/>
    <w:rsid w:val="002A25BB"/>
    <w:rsid w:val="002A353F"/>
    <w:rsid w:val="002A5424"/>
    <w:rsid w:val="002B2016"/>
    <w:rsid w:val="002B4D42"/>
    <w:rsid w:val="002B56C1"/>
    <w:rsid w:val="002C2B0A"/>
    <w:rsid w:val="002C46A3"/>
    <w:rsid w:val="002C7957"/>
    <w:rsid w:val="002D054E"/>
    <w:rsid w:val="002D0757"/>
    <w:rsid w:val="002D0F85"/>
    <w:rsid w:val="002D5BBE"/>
    <w:rsid w:val="002E15AD"/>
    <w:rsid w:val="002F27C0"/>
    <w:rsid w:val="002F519A"/>
    <w:rsid w:val="002F5BF0"/>
    <w:rsid w:val="002F60A6"/>
    <w:rsid w:val="003003D9"/>
    <w:rsid w:val="00302D39"/>
    <w:rsid w:val="00303A08"/>
    <w:rsid w:val="00303A51"/>
    <w:rsid w:val="0031296D"/>
    <w:rsid w:val="0032003E"/>
    <w:rsid w:val="00321306"/>
    <w:rsid w:val="00327BEA"/>
    <w:rsid w:val="003314C5"/>
    <w:rsid w:val="0033267C"/>
    <w:rsid w:val="00336246"/>
    <w:rsid w:val="0034521A"/>
    <w:rsid w:val="00356116"/>
    <w:rsid w:val="00362D6A"/>
    <w:rsid w:val="00365A7A"/>
    <w:rsid w:val="00366F8C"/>
    <w:rsid w:val="0037300F"/>
    <w:rsid w:val="00374B81"/>
    <w:rsid w:val="0037653A"/>
    <w:rsid w:val="0038038B"/>
    <w:rsid w:val="003833BA"/>
    <w:rsid w:val="003A081B"/>
    <w:rsid w:val="003A5BD5"/>
    <w:rsid w:val="003A6005"/>
    <w:rsid w:val="003A69A7"/>
    <w:rsid w:val="003B00BE"/>
    <w:rsid w:val="003B0A6D"/>
    <w:rsid w:val="003B2E98"/>
    <w:rsid w:val="003B3648"/>
    <w:rsid w:val="003B5019"/>
    <w:rsid w:val="003C0449"/>
    <w:rsid w:val="003C1F07"/>
    <w:rsid w:val="003D0EB0"/>
    <w:rsid w:val="003D22B2"/>
    <w:rsid w:val="003D3344"/>
    <w:rsid w:val="003E0957"/>
    <w:rsid w:val="003E0B5B"/>
    <w:rsid w:val="003E2138"/>
    <w:rsid w:val="003F278C"/>
    <w:rsid w:val="003F6200"/>
    <w:rsid w:val="00412694"/>
    <w:rsid w:val="00413CF2"/>
    <w:rsid w:val="00416742"/>
    <w:rsid w:val="004215D5"/>
    <w:rsid w:val="00430EC5"/>
    <w:rsid w:val="00435BC9"/>
    <w:rsid w:val="00443750"/>
    <w:rsid w:val="00456B5A"/>
    <w:rsid w:val="0046363A"/>
    <w:rsid w:val="00483D78"/>
    <w:rsid w:val="004842B2"/>
    <w:rsid w:val="00486502"/>
    <w:rsid w:val="00492170"/>
    <w:rsid w:val="00492DEC"/>
    <w:rsid w:val="004A0A77"/>
    <w:rsid w:val="004A4E65"/>
    <w:rsid w:val="004B2F7F"/>
    <w:rsid w:val="004B554D"/>
    <w:rsid w:val="004C1C19"/>
    <w:rsid w:val="004C1FC6"/>
    <w:rsid w:val="004C497A"/>
    <w:rsid w:val="004C4AD0"/>
    <w:rsid w:val="004C5AFA"/>
    <w:rsid w:val="004D177B"/>
    <w:rsid w:val="004D3871"/>
    <w:rsid w:val="004D40B0"/>
    <w:rsid w:val="004D7514"/>
    <w:rsid w:val="004E4D57"/>
    <w:rsid w:val="004E7E66"/>
    <w:rsid w:val="004E7F2B"/>
    <w:rsid w:val="004F1C64"/>
    <w:rsid w:val="004F325E"/>
    <w:rsid w:val="004F4715"/>
    <w:rsid w:val="004F5F4F"/>
    <w:rsid w:val="004F7A7F"/>
    <w:rsid w:val="00502604"/>
    <w:rsid w:val="00502F7C"/>
    <w:rsid w:val="0050413D"/>
    <w:rsid w:val="0050529F"/>
    <w:rsid w:val="00505E2F"/>
    <w:rsid w:val="005123A5"/>
    <w:rsid w:val="00522713"/>
    <w:rsid w:val="00524DB3"/>
    <w:rsid w:val="00537F98"/>
    <w:rsid w:val="00542428"/>
    <w:rsid w:val="00542FCE"/>
    <w:rsid w:val="00545A02"/>
    <w:rsid w:val="005469D3"/>
    <w:rsid w:val="00551934"/>
    <w:rsid w:val="0055717B"/>
    <w:rsid w:val="00560377"/>
    <w:rsid w:val="00564B4F"/>
    <w:rsid w:val="00570B81"/>
    <w:rsid w:val="00577012"/>
    <w:rsid w:val="0058046A"/>
    <w:rsid w:val="0058282E"/>
    <w:rsid w:val="00585CF9"/>
    <w:rsid w:val="005869F6"/>
    <w:rsid w:val="005974CE"/>
    <w:rsid w:val="0059783C"/>
    <w:rsid w:val="005A094D"/>
    <w:rsid w:val="005A28A0"/>
    <w:rsid w:val="005C2991"/>
    <w:rsid w:val="005D0E56"/>
    <w:rsid w:val="005E21F7"/>
    <w:rsid w:val="005E2AD4"/>
    <w:rsid w:val="005E5F45"/>
    <w:rsid w:val="005F1F1A"/>
    <w:rsid w:val="005F2CB1"/>
    <w:rsid w:val="00600437"/>
    <w:rsid w:val="00601A31"/>
    <w:rsid w:val="006051F2"/>
    <w:rsid w:val="0060544F"/>
    <w:rsid w:val="00606C52"/>
    <w:rsid w:val="00613F5A"/>
    <w:rsid w:val="00615F07"/>
    <w:rsid w:val="00617BD3"/>
    <w:rsid w:val="00625750"/>
    <w:rsid w:val="006347E7"/>
    <w:rsid w:val="00634D78"/>
    <w:rsid w:val="0063681E"/>
    <w:rsid w:val="00637C43"/>
    <w:rsid w:val="00640FED"/>
    <w:rsid w:val="006435D9"/>
    <w:rsid w:val="00644B5A"/>
    <w:rsid w:val="006528EB"/>
    <w:rsid w:val="00653BD5"/>
    <w:rsid w:val="00653FB6"/>
    <w:rsid w:val="0066084A"/>
    <w:rsid w:val="00662929"/>
    <w:rsid w:val="00664C8A"/>
    <w:rsid w:val="0066548A"/>
    <w:rsid w:val="0067145F"/>
    <w:rsid w:val="0067173F"/>
    <w:rsid w:val="00680AAE"/>
    <w:rsid w:val="006852AE"/>
    <w:rsid w:val="006862A9"/>
    <w:rsid w:val="006951D5"/>
    <w:rsid w:val="0069569D"/>
    <w:rsid w:val="00696BA5"/>
    <w:rsid w:val="00697D10"/>
    <w:rsid w:val="006A77ED"/>
    <w:rsid w:val="006B15C5"/>
    <w:rsid w:val="006B2CC5"/>
    <w:rsid w:val="006B300E"/>
    <w:rsid w:val="006B494F"/>
    <w:rsid w:val="006B6A80"/>
    <w:rsid w:val="006C01FC"/>
    <w:rsid w:val="006C4865"/>
    <w:rsid w:val="006D247E"/>
    <w:rsid w:val="006D6CC2"/>
    <w:rsid w:val="006E0D13"/>
    <w:rsid w:val="006E68CA"/>
    <w:rsid w:val="006F0F75"/>
    <w:rsid w:val="006F1D8A"/>
    <w:rsid w:val="006F2408"/>
    <w:rsid w:val="006F2E0F"/>
    <w:rsid w:val="006F2F55"/>
    <w:rsid w:val="006F43BF"/>
    <w:rsid w:val="006F43F1"/>
    <w:rsid w:val="006F4A26"/>
    <w:rsid w:val="006F60EF"/>
    <w:rsid w:val="006F7B66"/>
    <w:rsid w:val="00700F5B"/>
    <w:rsid w:val="0070204D"/>
    <w:rsid w:val="00706161"/>
    <w:rsid w:val="0070757B"/>
    <w:rsid w:val="00710A49"/>
    <w:rsid w:val="00712D71"/>
    <w:rsid w:val="007169DC"/>
    <w:rsid w:val="00722F57"/>
    <w:rsid w:val="0073731E"/>
    <w:rsid w:val="0074348C"/>
    <w:rsid w:val="0074360C"/>
    <w:rsid w:val="00745DFB"/>
    <w:rsid w:val="00747AF9"/>
    <w:rsid w:val="0075081F"/>
    <w:rsid w:val="00753D9B"/>
    <w:rsid w:val="00755BB8"/>
    <w:rsid w:val="007566AB"/>
    <w:rsid w:val="007608B4"/>
    <w:rsid w:val="00763CAD"/>
    <w:rsid w:val="007673C0"/>
    <w:rsid w:val="0077166A"/>
    <w:rsid w:val="0077464E"/>
    <w:rsid w:val="00776B42"/>
    <w:rsid w:val="0079207C"/>
    <w:rsid w:val="007930F2"/>
    <w:rsid w:val="0079637C"/>
    <w:rsid w:val="00797E8C"/>
    <w:rsid w:val="007A1C1A"/>
    <w:rsid w:val="007A2B67"/>
    <w:rsid w:val="007A5023"/>
    <w:rsid w:val="007C20F8"/>
    <w:rsid w:val="007C28EC"/>
    <w:rsid w:val="007C79A2"/>
    <w:rsid w:val="007F4DAC"/>
    <w:rsid w:val="00801BB3"/>
    <w:rsid w:val="00804931"/>
    <w:rsid w:val="00806F0E"/>
    <w:rsid w:val="008164B6"/>
    <w:rsid w:val="008177BC"/>
    <w:rsid w:val="008268AA"/>
    <w:rsid w:val="008268EE"/>
    <w:rsid w:val="00826E80"/>
    <w:rsid w:val="008317A6"/>
    <w:rsid w:val="008376ED"/>
    <w:rsid w:val="00841BB1"/>
    <w:rsid w:val="00841CA9"/>
    <w:rsid w:val="0084376D"/>
    <w:rsid w:val="00847390"/>
    <w:rsid w:val="008506BB"/>
    <w:rsid w:val="00855616"/>
    <w:rsid w:val="00856957"/>
    <w:rsid w:val="00864C39"/>
    <w:rsid w:val="00864F3D"/>
    <w:rsid w:val="00865D9B"/>
    <w:rsid w:val="00866E8A"/>
    <w:rsid w:val="00867B27"/>
    <w:rsid w:val="00873259"/>
    <w:rsid w:val="00874A28"/>
    <w:rsid w:val="00880052"/>
    <w:rsid w:val="0088192D"/>
    <w:rsid w:val="008822B1"/>
    <w:rsid w:val="00883702"/>
    <w:rsid w:val="008930A5"/>
    <w:rsid w:val="00897095"/>
    <w:rsid w:val="0089753D"/>
    <w:rsid w:val="008B240C"/>
    <w:rsid w:val="008B4EE6"/>
    <w:rsid w:val="008B5ED7"/>
    <w:rsid w:val="008B7B3F"/>
    <w:rsid w:val="008C32FA"/>
    <w:rsid w:val="008C70AF"/>
    <w:rsid w:val="008C7D04"/>
    <w:rsid w:val="008D0A27"/>
    <w:rsid w:val="008D1227"/>
    <w:rsid w:val="008E1873"/>
    <w:rsid w:val="008E2AEE"/>
    <w:rsid w:val="008E6217"/>
    <w:rsid w:val="008E7C0E"/>
    <w:rsid w:val="008F2259"/>
    <w:rsid w:val="008F5391"/>
    <w:rsid w:val="00904028"/>
    <w:rsid w:val="009048D4"/>
    <w:rsid w:val="00905801"/>
    <w:rsid w:val="00910C90"/>
    <w:rsid w:val="0091134C"/>
    <w:rsid w:val="009122DF"/>
    <w:rsid w:val="0091466A"/>
    <w:rsid w:val="00915E49"/>
    <w:rsid w:val="009166E8"/>
    <w:rsid w:val="00924090"/>
    <w:rsid w:val="009246E1"/>
    <w:rsid w:val="009274CA"/>
    <w:rsid w:val="00930923"/>
    <w:rsid w:val="0093305C"/>
    <w:rsid w:val="00934151"/>
    <w:rsid w:val="00935C65"/>
    <w:rsid w:val="009403F0"/>
    <w:rsid w:val="00940DFB"/>
    <w:rsid w:val="009427C1"/>
    <w:rsid w:val="00960396"/>
    <w:rsid w:val="009625A7"/>
    <w:rsid w:val="009632BE"/>
    <w:rsid w:val="00972158"/>
    <w:rsid w:val="0097366A"/>
    <w:rsid w:val="009741C5"/>
    <w:rsid w:val="00982014"/>
    <w:rsid w:val="00987065"/>
    <w:rsid w:val="00991D9A"/>
    <w:rsid w:val="00993F61"/>
    <w:rsid w:val="00995E3B"/>
    <w:rsid w:val="009A200B"/>
    <w:rsid w:val="009A21F3"/>
    <w:rsid w:val="009A2AAB"/>
    <w:rsid w:val="009A4860"/>
    <w:rsid w:val="009B2CCD"/>
    <w:rsid w:val="009B7B28"/>
    <w:rsid w:val="009C0CB9"/>
    <w:rsid w:val="009C11D8"/>
    <w:rsid w:val="009C162B"/>
    <w:rsid w:val="009C3A96"/>
    <w:rsid w:val="009C450D"/>
    <w:rsid w:val="009C793E"/>
    <w:rsid w:val="009D0EF4"/>
    <w:rsid w:val="009D5167"/>
    <w:rsid w:val="009D5DC4"/>
    <w:rsid w:val="009D6D25"/>
    <w:rsid w:val="009D75AC"/>
    <w:rsid w:val="009E1D42"/>
    <w:rsid w:val="009E322A"/>
    <w:rsid w:val="009E37E4"/>
    <w:rsid w:val="009E59AF"/>
    <w:rsid w:val="009F0167"/>
    <w:rsid w:val="009F017E"/>
    <w:rsid w:val="009F0D91"/>
    <w:rsid w:val="009F1502"/>
    <w:rsid w:val="009F2CB2"/>
    <w:rsid w:val="009F69AB"/>
    <w:rsid w:val="00A01D0B"/>
    <w:rsid w:val="00A05A42"/>
    <w:rsid w:val="00A12391"/>
    <w:rsid w:val="00A124C7"/>
    <w:rsid w:val="00A239E5"/>
    <w:rsid w:val="00A24A8E"/>
    <w:rsid w:val="00A250D7"/>
    <w:rsid w:val="00A25895"/>
    <w:rsid w:val="00A25BDF"/>
    <w:rsid w:val="00A35C93"/>
    <w:rsid w:val="00A41E22"/>
    <w:rsid w:val="00A4207B"/>
    <w:rsid w:val="00A43A24"/>
    <w:rsid w:val="00A4772F"/>
    <w:rsid w:val="00A52749"/>
    <w:rsid w:val="00A57538"/>
    <w:rsid w:val="00A62189"/>
    <w:rsid w:val="00A655FA"/>
    <w:rsid w:val="00A66813"/>
    <w:rsid w:val="00A722E5"/>
    <w:rsid w:val="00A74524"/>
    <w:rsid w:val="00A7688C"/>
    <w:rsid w:val="00A807C8"/>
    <w:rsid w:val="00A83719"/>
    <w:rsid w:val="00A871F7"/>
    <w:rsid w:val="00A87CA5"/>
    <w:rsid w:val="00A946C7"/>
    <w:rsid w:val="00A962A2"/>
    <w:rsid w:val="00A96BFE"/>
    <w:rsid w:val="00A97283"/>
    <w:rsid w:val="00A979DC"/>
    <w:rsid w:val="00AA179B"/>
    <w:rsid w:val="00AA2838"/>
    <w:rsid w:val="00AA28D6"/>
    <w:rsid w:val="00AA50DE"/>
    <w:rsid w:val="00AA7153"/>
    <w:rsid w:val="00AA7ABD"/>
    <w:rsid w:val="00AB52CD"/>
    <w:rsid w:val="00AC1CEC"/>
    <w:rsid w:val="00AC21CB"/>
    <w:rsid w:val="00AC589D"/>
    <w:rsid w:val="00AD0B96"/>
    <w:rsid w:val="00AD34BA"/>
    <w:rsid w:val="00AD3FA6"/>
    <w:rsid w:val="00AD443D"/>
    <w:rsid w:val="00AD4928"/>
    <w:rsid w:val="00AD4988"/>
    <w:rsid w:val="00AD6A6C"/>
    <w:rsid w:val="00AD720C"/>
    <w:rsid w:val="00AE1B2D"/>
    <w:rsid w:val="00AE3938"/>
    <w:rsid w:val="00AE4D65"/>
    <w:rsid w:val="00AE5AD5"/>
    <w:rsid w:val="00AE5AD8"/>
    <w:rsid w:val="00AE5E0E"/>
    <w:rsid w:val="00AE6B16"/>
    <w:rsid w:val="00AE73A9"/>
    <w:rsid w:val="00AE77A2"/>
    <w:rsid w:val="00AF2B8C"/>
    <w:rsid w:val="00AF4880"/>
    <w:rsid w:val="00AF53C4"/>
    <w:rsid w:val="00AF7E86"/>
    <w:rsid w:val="00B0159D"/>
    <w:rsid w:val="00B03272"/>
    <w:rsid w:val="00B14300"/>
    <w:rsid w:val="00B23FBB"/>
    <w:rsid w:val="00B32694"/>
    <w:rsid w:val="00B36152"/>
    <w:rsid w:val="00B42CB9"/>
    <w:rsid w:val="00B42F00"/>
    <w:rsid w:val="00B52DEB"/>
    <w:rsid w:val="00B53EE7"/>
    <w:rsid w:val="00B54F2A"/>
    <w:rsid w:val="00B60599"/>
    <w:rsid w:val="00B65D9A"/>
    <w:rsid w:val="00B71A0A"/>
    <w:rsid w:val="00B72C29"/>
    <w:rsid w:val="00B73316"/>
    <w:rsid w:val="00B73CC4"/>
    <w:rsid w:val="00B74BD4"/>
    <w:rsid w:val="00B74BF7"/>
    <w:rsid w:val="00B76DAA"/>
    <w:rsid w:val="00B76FC0"/>
    <w:rsid w:val="00B80687"/>
    <w:rsid w:val="00B8163F"/>
    <w:rsid w:val="00B82C6F"/>
    <w:rsid w:val="00B84580"/>
    <w:rsid w:val="00B86DDD"/>
    <w:rsid w:val="00B93945"/>
    <w:rsid w:val="00B95A61"/>
    <w:rsid w:val="00BA00E6"/>
    <w:rsid w:val="00BA3FBE"/>
    <w:rsid w:val="00BA7D48"/>
    <w:rsid w:val="00BB10FE"/>
    <w:rsid w:val="00BC08B8"/>
    <w:rsid w:val="00BC403C"/>
    <w:rsid w:val="00BC50C2"/>
    <w:rsid w:val="00BC648A"/>
    <w:rsid w:val="00BD6952"/>
    <w:rsid w:val="00BE1720"/>
    <w:rsid w:val="00BE431C"/>
    <w:rsid w:val="00BE4E9E"/>
    <w:rsid w:val="00BF0187"/>
    <w:rsid w:val="00BF06BE"/>
    <w:rsid w:val="00BF097F"/>
    <w:rsid w:val="00BF0B4A"/>
    <w:rsid w:val="00BF0E01"/>
    <w:rsid w:val="00BF0E16"/>
    <w:rsid w:val="00BF7240"/>
    <w:rsid w:val="00C0541A"/>
    <w:rsid w:val="00C0651C"/>
    <w:rsid w:val="00C073F6"/>
    <w:rsid w:val="00C11B6F"/>
    <w:rsid w:val="00C11CA0"/>
    <w:rsid w:val="00C14FE0"/>
    <w:rsid w:val="00C1599E"/>
    <w:rsid w:val="00C1772B"/>
    <w:rsid w:val="00C21033"/>
    <w:rsid w:val="00C237EE"/>
    <w:rsid w:val="00C242FA"/>
    <w:rsid w:val="00C34B94"/>
    <w:rsid w:val="00C36748"/>
    <w:rsid w:val="00C37337"/>
    <w:rsid w:val="00C45235"/>
    <w:rsid w:val="00C518BA"/>
    <w:rsid w:val="00C529E0"/>
    <w:rsid w:val="00C57598"/>
    <w:rsid w:val="00C61638"/>
    <w:rsid w:val="00C65862"/>
    <w:rsid w:val="00C65E05"/>
    <w:rsid w:val="00C67AB5"/>
    <w:rsid w:val="00C70B23"/>
    <w:rsid w:val="00C9310A"/>
    <w:rsid w:val="00C97740"/>
    <w:rsid w:val="00CA1029"/>
    <w:rsid w:val="00CA5224"/>
    <w:rsid w:val="00CA75DB"/>
    <w:rsid w:val="00CB0A3D"/>
    <w:rsid w:val="00CB2F6A"/>
    <w:rsid w:val="00CD0B17"/>
    <w:rsid w:val="00CD0DFC"/>
    <w:rsid w:val="00CD5222"/>
    <w:rsid w:val="00CD65D5"/>
    <w:rsid w:val="00CE4EB9"/>
    <w:rsid w:val="00CE74F7"/>
    <w:rsid w:val="00CF36EE"/>
    <w:rsid w:val="00CF3A16"/>
    <w:rsid w:val="00CF57CE"/>
    <w:rsid w:val="00CF7670"/>
    <w:rsid w:val="00D00F0E"/>
    <w:rsid w:val="00D03A0E"/>
    <w:rsid w:val="00D03E54"/>
    <w:rsid w:val="00D0704D"/>
    <w:rsid w:val="00D07A98"/>
    <w:rsid w:val="00D11C7E"/>
    <w:rsid w:val="00D12D62"/>
    <w:rsid w:val="00D17BA8"/>
    <w:rsid w:val="00D253F1"/>
    <w:rsid w:val="00D3125F"/>
    <w:rsid w:val="00D3218C"/>
    <w:rsid w:val="00D32C57"/>
    <w:rsid w:val="00D33604"/>
    <w:rsid w:val="00D43289"/>
    <w:rsid w:val="00D4707B"/>
    <w:rsid w:val="00D4797D"/>
    <w:rsid w:val="00D47ED2"/>
    <w:rsid w:val="00D60697"/>
    <w:rsid w:val="00D61ED0"/>
    <w:rsid w:val="00D6278A"/>
    <w:rsid w:val="00D72850"/>
    <w:rsid w:val="00D76DCB"/>
    <w:rsid w:val="00D805C9"/>
    <w:rsid w:val="00D82CD8"/>
    <w:rsid w:val="00D8587C"/>
    <w:rsid w:val="00D8641F"/>
    <w:rsid w:val="00D86E51"/>
    <w:rsid w:val="00D878F9"/>
    <w:rsid w:val="00D914F8"/>
    <w:rsid w:val="00D958A0"/>
    <w:rsid w:val="00D9613A"/>
    <w:rsid w:val="00D9705B"/>
    <w:rsid w:val="00D976AE"/>
    <w:rsid w:val="00D97C36"/>
    <w:rsid w:val="00DC2CDF"/>
    <w:rsid w:val="00DC3DAE"/>
    <w:rsid w:val="00DC4EA4"/>
    <w:rsid w:val="00DC5D3E"/>
    <w:rsid w:val="00DC6443"/>
    <w:rsid w:val="00DD0587"/>
    <w:rsid w:val="00DD50FD"/>
    <w:rsid w:val="00DD63D5"/>
    <w:rsid w:val="00DD7DD3"/>
    <w:rsid w:val="00DE2D13"/>
    <w:rsid w:val="00DE4D0A"/>
    <w:rsid w:val="00DF065A"/>
    <w:rsid w:val="00E0113B"/>
    <w:rsid w:val="00E01ABE"/>
    <w:rsid w:val="00E01B4C"/>
    <w:rsid w:val="00E0285B"/>
    <w:rsid w:val="00E040D7"/>
    <w:rsid w:val="00E04218"/>
    <w:rsid w:val="00E06679"/>
    <w:rsid w:val="00E10F68"/>
    <w:rsid w:val="00E14E9F"/>
    <w:rsid w:val="00E20F2D"/>
    <w:rsid w:val="00E26868"/>
    <w:rsid w:val="00E26E76"/>
    <w:rsid w:val="00E3150A"/>
    <w:rsid w:val="00E35E19"/>
    <w:rsid w:val="00E36027"/>
    <w:rsid w:val="00E40B09"/>
    <w:rsid w:val="00E41DC0"/>
    <w:rsid w:val="00E431BD"/>
    <w:rsid w:val="00E44A81"/>
    <w:rsid w:val="00E46190"/>
    <w:rsid w:val="00E5556C"/>
    <w:rsid w:val="00E57E25"/>
    <w:rsid w:val="00E62361"/>
    <w:rsid w:val="00E672F0"/>
    <w:rsid w:val="00E76304"/>
    <w:rsid w:val="00E77D82"/>
    <w:rsid w:val="00E8331A"/>
    <w:rsid w:val="00E90055"/>
    <w:rsid w:val="00E9596E"/>
    <w:rsid w:val="00E95D1B"/>
    <w:rsid w:val="00E95FF5"/>
    <w:rsid w:val="00E96C77"/>
    <w:rsid w:val="00EA117E"/>
    <w:rsid w:val="00EA3356"/>
    <w:rsid w:val="00EA5894"/>
    <w:rsid w:val="00EB15B1"/>
    <w:rsid w:val="00EC0A78"/>
    <w:rsid w:val="00EC29C6"/>
    <w:rsid w:val="00ED28AF"/>
    <w:rsid w:val="00ED3E4E"/>
    <w:rsid w:val="00ED59D8"/>
    <w:rsid w:val="00ED6F6C"/>
    <w:rsid w:val="00EE076A"/>
    <w:rsid w:val="00EE11FD"/>
    <w:rsid w:val="00EE5B26"/>
    <w:rsid w:val="00EE74B1"/>
    <w:rsid w:val="00EF4A00"/>
    <w:rsid w:val="00EF762C"/>
    <w:rsid w:val="00F000BA"/>
    <w:rsid w:val="00F06400"/>
    <w:rsid w:val="00F1254C"/>
    <w:rsid w:val="00F1704B"/>
    <w:rsid w:val="00F246E1"/>
    <w:rsid w:val="00F3175C"/>
    <w:rsid w:val="00F32D07"/>
    <w:rsid w:val="00F35FB1"/>
    <w:rsid w:val="00F36B6C"/>
    <w:rsid w:val="00F4306B"/>
    <w:rsid w:val="00F44B9D"/>
    <w:rsid w:val="00F50BDB"/>
    <w:rsid w:val="00F541FE"/>
    <w:rsid w:val="00F54220"/>
    <w:rsid w:val="00F543AF"/>
    <w:rsid w:val="00F55CC0"/>
    <w:rsid w:val="00F63ABC"/>
    <w:rsid w:val="00F70B8D"/>
    <w:rsid w:val="00F72AE4"/>
    <w:rsid w:val="00F74AE6"/>
    <w:rsid w:val="00F77751"/>
    <w:rsid w:val="00F860BB"/>
    <w:rsid w:val="00F86B2F"/>
    <w:rsid w:val="00F90A41"/>
    <w:rsid w:val="00FA04ED"/>
    <w:rsid w:val="00FA59B0"/>
    <w:rsid w:val="00FA7891"/>
    <w:rsid w:val="00FA7DB6"/>
    <w:rsid w:val="00FA7FC8"/>
    <w:rsid w:val="00FB4215"/>
    <w:rsid w:val="00FC1642"/>
    <w:rsid w:val="00FC4F08"/>
    <w:rsid w:val="00FC53BB"/>
    <w:rsid w:val="00FC600C"/>
    <w:rsid w:val="00FD09C7"/>
    <w:rsid w:val="00FE4639"/>
    <w:rsid w:val="00FE75A5"/>
    <w:rsid w:val="00FF5D5A"/>
    <w:rsid w:val="00FF7416"/>
    <w:rsid w:val="01AD7BD3"/>
    <w:rsid w:val="01DA4225"/>
    <w:rsid w:val="023E741B"/>
    <w:rsid w:val="026B2A05"/>
    <w:rsid w:val="029849E3"/>
    <w:rsid w:val="02ED267D"/>
    <w:rsid w:val="03011423"/>
    <w:rsid w:val="034B6875"/>
    <w:rsid w:val="038D3960"/>
    <w:rsid w:val="03C1273B"/>
    <w:rsid w:val="04453520"/>
    <w:rsid w:val="04C1169A"/>
    <w:rsid w:val="04EE63AB"/>
    <w:rsid w:val="05106005"/>
    <w:rsid w:val="05130D50"/>
    <w:rsid w:val="056C2AAF"/>
    <w:rsid w:val="05727E33"/>
    <w:rsid w:val="057E0623"/>
    <w:rsid w:val="05BE44CE"/>
    <w:rsid w:val="06273383"/>
    <w:rsid w:val="06395EDE"/>
    <w:rsid w:val="06A2682A"/>
    <w:rsid w:val="06FA1634"/>
    <w:rsid w:val="07106AF6"/>
    <w:rsid w:val="07AE338A"/>
    <w:rsid w:val="07D441B0"/>
    <w:rsid w:val="07D968AF"/>
    <w:rsid w:val="080E48C5"/>
    <w:rsid w:val="08C14368"/>
    <w:rsid w:val="08C35BD6"/>
    <w:rsid w:val="0937130C"/>
    <w:rsid w:val="096A67E0"/>
    <w:rsid w:val="098373AE"/>
    <w:rsid w:val="09DF526F"/>
    <w:rsid w:val="09F8131E"/>
    <w:rsid w:val="0A18019D"/>
    <w:rsid w:val="0A733993"/>
    <w:rsid w:val="0AAE2DCA"/>
    <w:rsid w:val="0AB277C6"/>
    <w:rsid w:val="0ACC6B0A"/>
    <w:rsid w:val="0ADD102A"/>
    <w:rsid w:val="0B075588"/>
    <w:rsid w:val="0BA665B9"/>
    <w:rsid w:val="0C2621AC"/>
    <w:rsid w:val="0C26560C"/>
    <w:rsid w:val="0C80291D"/>
    <w:rsid w:val="0C8627DB"/>
    <w:rsid w:val="0CB71D6A"/>
    <w:rsid w:val="0DA80F0D"/>
    <w:rsid w:val="0DB63E8C"/>
    <w:rsid w:val="0DCB7866"/>
    <w:rsid w:val="0DD77C44"/>
    <w:rsid w:val="0EE75C0C"/>
    <w:rsid w:val="10781CD8"/>
    <w:rsid w:val="109C40AB"/>
    <w:rsid w:val="10B4288D"/>
    <w:rsid w:val="11887DE0"/>
    <w:rsid w:val="121D721F"/>
    <w:rsid w:val="124816B4"/>
    <w:rsid w:val="128156F9"/>
    <w:rsid w:val="12E50FC2"/>
    <w:rsid w:val="13733B85"/>
    <w:rsid w:val="13A96E78"/>
    <w:rsid w:val="14117B9E"/>
    <w:rsid w:val="14246B24"/>
    <w:rsid w:val="1462076B"/>
    <w:rsid w:val="14C41AA0"/>
    <w:rsid w:val="1531556D"/>
    <w:rsid w:val="15525230"/>
    <w:rsid w:val="1554222F"/>
    <w:rsid w:val="15C0088F"/>
    <w:rsid w:val="163254FA"/>
    <w:rsid w:val="16AB47F5"/>
    <w:rsid w:val="16B50D3D"/>
    <w:rsid w:val="17181479"/>
    <w:rsid w:val="172A6F78"/>
    <w:rsid w:val="1757417E"/>
    <w:rsid w:val="175B4887"/>
    <w:rsid w:val="17930C45"/>
    <w:rsid w:val="17A55A62"/>
    <w:rsid w:val="181A47CE"/>
    <w:rsid w:val="182576B8"/>
    <w:rsid w:val="18466DDD"/>
    <w:rsid w:val="18EC1CED"/>
    <w:rsid w:val="193718B8"/>
    <w:rsid w:val="19377A7B"/>
    <w:rsid w:val="1B3513C5"/>
    <w:rsid w:val="1B7D2FED"/>
    <w:rsid w:val="1B8E01DE"/>
    <w:rsid w:val="1BA95E92"/>
    <w:rsid w:val="1BD72E6B"/>
    <w:rsid w:val="1BE35FA4"/>
    <w:rsid w:val="1C6646A5"/>
    <w:rsid w:val="1D3D02DE"/>
    <w:rsid w:val="1D843DCE"/>
    <w:rsid w:val="1E16795F"/>
    <w:rsid w:val="1ED0474E"/>
    <w:rsid w:val="20325952"/>
    <w:rsid w:val="205D3279"/>
    <w:rsid w:val="20BA59BC"/>
    <w:rsid w:val="21D4767A"/>
    <w:rsid w:val="21DA69CC"/>
    <w:rsid w:val="21E94D31"/>
    <w:rsid w:val="21EF2A32"/>
    <w:rsid w:val="225B2E57"/>
    <w:rsid w:val="22D738DB"/>
    <w:rsid w:val="23822B99"/>
    <w:rsid w:val="238E2E63"/>
    <w:rsid w:val="239C4598"/>
    <w:rsid w:val="23B8745C"/>
    <w:rsid w:val="23EF0782"/>
    <w:rsid w:val="244B32FD"/>
    <w:rsid w:val="25190621"/>
    <w:rsid w:val="2540069E"/>
    <w:rsid w:val="263A6A08"/>
    <w:rsid w:val="265B63BC"/>
    <w:rsid w:val="265C51C0"/>
    <w:rsid w:val="26A036EA"/>
    <w:rsid w:val="27066912"/>
    <w:rsid w:val="27AE5661"/>
    <w:rsid w:val="27DB07F8"/>
    <w:rsid w:val="27DC65B8"/>
    <w:rsid w:val="280F6723"/>
    <w:rsid w:val="28B10D82"/>
    <w:rsid w:val="28C818DB"/>
    <w:rsid w:val="296F6B4E"/>
    <w:rsid w:val="29AB7904"/>
    <w:rsid w:val="29EC46E1"/>
    <w:rsid w:val="2A572EB4"/>
    <w:rsid w:val="2A651620"/>
    <w:rsid w:val="2A6A6FA4"/>
    <w:rsid w:val="2A8E4E65"/>
    <w:rsid w:val="2B2406C7"/>
    <w:rsid w:val="2B3A001E"/>
    <w:rsid w:val="2BC574CA"/>
    <w:rsid w:val="2C040A80"/>
    <w:rsid w:val="2C0C4E20"/>
    <w:rsid w:val="2C716529"/>
    <w:rsid w:val="2C96138D"/>
    <w:rsid w:val="2CEC1B94"/>
    <w:rsid w:val="2D4F5BEF"/>
    <w:rsid w:val="2DC723C0"/>
    <w:rsid w:val="2DF45D26"/>
    <w:rsid w:val="2E114B08"/>
    <w:rsid w:val="2E6C13F6"/>
    <w:rsid w:val="2E90197E"/>
    <w:rsid w:val="2EB30725"/>
    <w:rsid w:val="2EB7304E"/>
    <w:rsid w:val="2F3B7ABC"/>
    <w:rsid w:val="2F6B36E8"/>
    <w:rsid w:val="2FD9510C"/>
    <w:rsid w:val="309B6237"/>
    <w:rsid w:val="30A13049"/>
    <w:rsid w:val="30DD4D3A"/>
    <w:rsid w:val="31495B41"/>
    <w:rsid w:val="319C3BAC"/>
    <w:rsid w:val="329D3696"/>
    <w:rsid w:val="33090C0B"/>
    <w:rsid w:val="339104B6"/>
    <w:rsid w:val="33A666B2"/>
    <w:rsid w:val="3424001A"/>
    <w:rsid w:val="34DA64C3"/>
    <w:rsid w:val="353E6C2D"/>
    <w:rsid w:val="35653EA9"/>
    <w:rsid w:val="35D94090"/>
    <w:rsid w:val="36025D7D"/>
    <w:rsid w:val="36061DCE"/>
    <w:rsid w:val="36115953"/>
    <w:rsid w:val="369E4B5F"/>
    <w:rsid w:val="3784117F"/>
    <w:rsid w:val="37C14201"/>
    <w:rsid w:val="37E167BB"/>
    <w:rsid w:val="37FD7E57"/>
    <w:rsid w:val="38556F73"/>
    <w:rsid w:val="388D62EF"/>
    <w:rsid w:val="38FA5B13"/>
    <w:rsid w:val="38FD6346"/>
    <w:rsid w:val="394D2298"/>
    <w:rsid w:val="39F31BFD"/>
    <w:rsid w:val="39F623A3"/>
    <w:rsid w:val="3A315208"/>
    <w:rsid w:val="3A40313F"/>
    <w:rsid w:val="3A8B27FF"/>
    <w:rsid w:val="3AA472C4"/>
    <w:rsid w:val="3AC75889"/>
    <w:rsid w:val="3AFB4866"/>
    <w:rsid w:val="3B0A0904"/>
    <w:rsid w:val="3B8445DF"/>
    <w:rsid w:val="3CA005C8"/>
    <w:rsid w:val="3CB50099"/>
    <w:rsid w:val="3CBF6FAE"/>
    <w:rsid w:val="3CF50A57"/>
    <w:rsid w:val="3CFB6349"/>
    <w:rsid w:val="3E747C25"/>
    <w:rsid w:val="3EC0494C"/>
    <w:rsid w:val="3F2030BB"/>
    <w:rsid w:val="3F5D5755"/>
    <w:rsid w:val="401024ED"/>
    <w:rsid w:val="402E64E1"/>
    <w:rsid w:val="407E51BA"/>
    <w:rsid w:val="40D4073D"/>
    <w:rsid w:val="412E58BC"/>
    <w:rsid w:val="41E81745"/>
    <w:rsid w:val="424310C3"/>
    <w:rsid w:val="426B0703"/>
    <w:rsid w:val="427C16D1"/>
    <w:rsid w:val="43211443"/>
    <w:rsid w:val="43313EE2"/>
    <w:rsid w:val="439803B3"/>
    <w:rsid w:val="440B55BD"/>
    <w:rsid w:val="44493E11"/>
    <w:rsid w:val="44C66A64"/>
    <w:rsid w:val="44FD56C6"/>
    <w:rsid w:val="451410BA"/>
    <w:rsid w:val="454113E6"/>
    <w:rsid w:val="45581E9E"/>
    <w:rsid w:val="45C55890"/>
    <w:rsid w:val="45DA012D"/>
    <w:rsid w:val="46581ACB"/>
    <w:rsid w:val="468B19FF"/>
    <w:rsid w:val="46EB7C45"/>
    <w:rsid w:val="471778F8"/>
    <w:rsid w:val="47191761"/>
    <w:rsid w:val="4728162F"/>
    <w:rsid w:val="479C078C"/>
    <w:rsid w:val="47B944B8"/>
    <w:rsid w:val="4807745D"/>
    <w:rsid w:val="482B5077"/>
    <w:rsid w:val="49272998"/>
    <w:rsid w:val="49947A50"/>
    <w:rsid w:val="4A1104A5"/>
    <w:rsid w:val="4A70213E"/>
    <w:rsid w:val="4AB117E4"/>
    <w:rsid w:val="4B0F40A5"/>
    <w:rsid w:val="4B385351"/>
    <w:rsid w:val="4B5E5AA8"/>
    <w:rsid w:val="4B6A1E11"/>
    <w:rsid w:val="4B705908"/>
    <w:rsid w:val="4B7C7403"/>
    <w:rsid w:val="4BBF0B1F"/>
    <w:rsid w:val="4C835ADF"/>
    <w:rsid w:val="4CB05F2B"/>
    <w:rsid w:val="4D602B96"/>
    <w:rsid w:val="4D742A00"/>
    <w:rsid w:val="4DB44A86"/>
    <w:rsid w:val="4DF06992"/>
    <w:rsid w:val="4EA050EE"/>
    <w:rsid w:val="4ECC2559"/>
    <w:rsid w:val="4ED142E8"/>
    <w:rsid w:val="4F277459"/>
    <w:rsid w:val="4FE30CC1"/>
    <w:rsid w:val="503F2B65"/>
    <w:rsid w:val="50A60D08"/>
    <w:rsid w:val="50F845B1"/>
    <w:rsid w:val="50FE0D90"/>
    <w:rsid w:val="51763659"/>
    <w:rsid w:val="51A96806"/>
    <w:rsid w:val="51B95053"/>
    <w:rsid w:val="51C42B4A"/>
    <w:rsid w:val="51D2479E"/>
    <w:rsid w:val="52221AC9"/>
    <w:rsid w:val="528A779E"/>
    <w:rsid w:val="52D05702"/>
    <w:rsid w:val="52D9219E"/>
    <w:rsid w:val="52F066E7"/>
    <w:rsid w:val="533E38A0"/>
    <w:rsid w:val="534E295D"/>
    <w:rsid w:val="536B44DD"/>
    <w:rsid w:val="539B3E96"/>
    <w:rsid w:val="54400953"/>
    <w:rsid w:val="54435BE1"/>
    <w:rsid w:val="55146C62"/>
    <w:rsid w:val="5563264A"/>
    <w:rsid w:val="55A0308A"/>
    <w:rsid w:val="55C96FD1"/>
    <w:rsid w:val="566A3F12"/>
    <w:rsid w:val="56A01ECB"/>
    <w:rsid w:val="56BD09E7"/>
    <w:rsid w:val="56F556F2"/>
    <w:rsid w:val="57574A15"/>
    <w:rsid w:val="577D2B5D"/>
    <w:rsid w:val="57EC2C4F"/>
    <w:rsid w:val="58603182"/>
    <w:rsid w:val="58686F30"/>
    <w:rsid w:val="589A1418"/>
    <w:rsid w:val="58A4348F"/>
    <w:rsid w:val="58C7304F"/>
    <w:rsid w:val="58C8321D"/>
    <w:rsid w:val="58FD4E6A"/>
    <w:rsid w:val="596B2A72"/>
    <w:rsid w:val="5A016B30"/>
    <w:rsid w:val="5A1F7681"/>
    <w:rsid w:val="5A2E3B84"/>
    <w:rsid w:val="5A6500DC"/>
    <w:rsid w:val="5A975628"/>
    <w:rsid w:val="5AD71E86"/>
    <w:rsid w:val="5B742790"/>
    <w:rsid w:val="5B7C7BDA"/>
    <w:rsid w:val="5C59248E"/>
    <w:rsid w:val="5CAA5454"/>
    <w:rsid w:val="5CBE74DB"/>
    <w:rsid w:val="5CE65575"/>
    <w:rsid w:val="5D7D2E9C"/>
    <w:rsid w:val="5DB55DDA"/>
    <w:rsid w:val="5E137882"/>
    <w:rsid w:val="5EB96059"/>
    <w:rsid w:val="5EEF3184"/>
    <w:rsid w:val="5F5C47B4"/>
    <w:rsid w:val="5FC048A5"/>
    <w:rsid w:val="60D70C34"/>
    <w:rsid w:val="6105683D"/>
    <w:rsid w:val="61356E1E"/>
    <w:rsid w:val="621630D1"/>
    <w:rsid w:val="625A11CB"/>
    <w:rsid w:val="62824521"/>
    <w:rsid w:val="62E04946"/>
    <w:rsid w:val="62EB5BC0"/>
    <w:rsid w:val="630E4191"/>
    <w:rsid w:val="633B5956"/>
    <w:rsid w:val="64172445"/>
    <w:rsid w:val="644A182E"/>
    <w:rsid w:val="64735938"/>
    <w:rsid w:val="64B7454D"/>
    <w:rsid w:val="65897359"/>
    <w:rsid w:val="6637243F"/>
    <w:rsid w:val="66470E30"/>
    <w:rsid w:val="66CA5AD3"/>
    <w:rsid w:val="66CC7698"/>
    <w:rsid w:val="67133D6B"/>
    <w:rsid w:val="6725411C"/>
    <w:rsid w:val="672A11B0"/>
    <w:rsid w:val="67373176"/>
    <w:rsid w:val="67A26CC6"/>
    <w:rsid w:val="67E3597E"/>
    <w:rsid w:val="685E23F7"/>
    <w:rsid w:val="69FF6959"/>
    <w:rsid w:val="6A2B1A1D"/>
    <w:rsid w:val="6B217229"/>
    <w:rsid w:val="6B551BF4"/>
    <w:rsid w:val="6BBA7643"/>
    <w:rsid w:val="6C0703EF"/>
    <w:rsid w:val="6C111B37"/>
    <w:rsid w:val="6C855C7D"/>
    <w:rsid w:val="6CDD3D72"/>
    <w:rsid w:val="6D827047"/>
    <w:rsid w:val="6D9C388E"/>
    <w:rsid w:val="6E92150F"/>
    <w:rsid w:val="6F094148"/>
    <w:rsid w:val="6F2914EE"/>
    <w:rsid w:val="6F9C10C3"/>
    <w:rsid w:val="6FFE1AAA"/>
    <w:rsid w:val="70030318"/>
    <w:rsid w:val="706B6B12"/>
    <w:rsid w:val="70717BDD"/>
    <w:rsid w:val="70C87C89"/>
    <w:rsid w:val="72B13A7D"/>
    <w:rsid w:val="72CA705D"/>
    <w:rsid w:val="730536D4"/>
    <w:rsid w:val="732E24E4"/>
    <w:rsid w:val="73760D88"/>
    <w:rsid w:val="738F587E"/>
    <w:rsid w:val="73BA37CD"/>
    <w:rsid w:val="7493211A"/>
    <w:rsid w:val="74CF3D84"/>
    <w:rsid w:val="74D30EA5"/>
    <w:rsid w:val="74D3486C"/>
    <w:rsid w:val="74EC0D57"/>
    <w:rsid w:val="75533E6D"/>
    <w:rsid w:val="75CD1E3D"/>
    <w:rsid w:val="76312372"/>
    <w:rsid w:val="775B0B42"/>
    <w:rsid w:val="776A4268"/>
    <w:rsid w:val="780F28BE"/>
    <w:rsid w:val="781A1B38"/>
    <w:rsid w:val="78B9139F"/>
    <w:rsid w:val="79B77FBE"/>
    <w:rsid w:val="7A0B621A"/>
    <w:rsid w:val="7A520548"/>
    <w:rsid w:val="7B592C5C"/>
    <w:rsid w:val="7BFC4821"/>
    <w:rsid w:val="7C144494"/>
    <w:rsid w:val="7C2B7519"/>
    <w:rsid w:val="7CFB3EA8"/>
    <w:rsid w:val="7D054C7E"/>
    <w:rsid w:val="7D47473A"/>
    <w:rsid w:val="7DAF30C1"/>
    <w:rsid w:val="7DD60D82"/>
    <w:rsid w:val="7DE67E61"/>
    <w:rsid w:val="7E415A78"/>
    <w:rsid w:val="7E477D21"/>
    <w:rsid w:val="7F0D2397"/>
    <w:rsid w:val="7F675C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9"/>
    <w:pPr>
      <w:keepNext/>
      <w:keepLines/>
      <w:spacing w:before="260" w:after="260" w:line="416" w:lineRule="auto"/>
      <w:outlineLvl w:val="1"/>
    </w:pPr>
    <w:rPr>
      <w:rFonts w:ascii="Arial" w:hAnsi="Arial" w:eastAsia="黑体"/>
      <w:b/>
      <w:bCs/>
      <w:sz w:val="32"/>
      <w:szCs w:val="32"/>
    </w:rPr>
  </w:style>
  <w:style w:type="character" w:default="1" w:styleId="14">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2"/>
    <w:semiHidden/>
    <w:qFormat/>
    <w:uiPriority w:val="99"/>
    <w:rPr>
      <w:b/>
      <w:bCs/>
    </w:rPr>
  </w:style>
  <w:style w:type="paragraph" w:styleId="5">
    <w:name w:val="annotation text"/>
    <w:basedOn w:val="1"/>
    <w:link w:val="21"/>
    <w:semiHidden/>
    <w:qFormat/>
    <w:uiPriority w:val="99"/>
    <w:pPr>
      <w:jc w:val="left"/>
    </w:pPr>
  </w:style>
  <w:style w:type="paragraph" w:styleId="6">
    <w:name w:val="Body Text"/>
    <w:basedOn w:val="1"/>
    <w:link w:val="23"/>
    <w:qFormat/>
    <w:uiPriority w:val="99"/>
    <w:rPr>
      <w:rFonts w:ascii="仿宋_GB2312" w:eastAsia="仿宋_GB2312"/>
      <w:sz w:val="32"/>
    </w:rPr>
  </w:style>
  <w:style w:type="paragraph" w:styleId="7">
    <w:name w:val="Date"/>
    <w:basedOn w:val="1"/>
    <w:next w:val="1"/>
    <w:link w:val="24"/>
    <w:qFormat/>
    <w:uiPriority w:val="99"/>
    <w:pPr>
      <w:ind w:left="100" w:leftChars="2500"/>
    </w:pPr>
  </w:style>
  <w:style w:type="paragraph" w:styleId="8">
    <w:name w:val="Balloon Text"/>
    <w:basedOn w:val="1"/>
    <w:link w:val="25"/>
    <w:semiHidden/>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sz w:val="18"/>
      <w:szCs w:val="18"/>
    </w:rPr>
  </w:style>
  <w:style w:type="paragraph" w:styleId="10">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99"/>
  </w:style>
  <w:style w:type="paragraph" w:styleId="12">
    <w:name w:val="Body Text Indent 3"/>
    <w:basedOn w:val="1"/>
    <w:link w:val="28"/>
    <w:qFormat/>
    <w:uiPriority w:val="99"/>
    <w:pPr>
      <w:spacing w:after="120"/>
      <w:ind w:left="420" w:leftChars="200"/>
    </w:pPr>
    <w:rPr>
      <w:sz w:val="16"/>
      <w:szCs w:val="16"/>
    </w:rPr>
  </w:style>
  <w:style w:type="paragraph" w:styleId="13">
    <w:name w:val="toc 2"/>
    <w:basedOn w:val="1"/>
    <w:next w:val="1"/>
    <w:qFormat/>
    <w:uiPriority w:val="99"/>
    <w:pPr>
      <w:ind w:left="420" w:leftChars="200"/>
    </w:pPr>
  </w:style>
  <w:style w:type="character" w:styleId="15">
    <w:name w:val="page number"/>
    <w:basedOn w:val="14"/>
    <w:qFormat/>
    <w:uiPriority w:val="99"/>
    <w:rPr>
      <w:rFonts w:cs="Times New Roman"/>
    </w:rPr>
  </w:style>
  <w:style w:type="character" w:styleId="16">
    <w:name w:val="Hyperlink"/>
    <w:basedOn w:val="14"/>
    <w:qFormat/>
    <w:uiPriority w:val="99"/>
    <w:rPr>
      <w:rFonts w:cs="Times New Roman"/>
      <w:color w:val="0000FF"/>
      <w:u w:val="single"/>
    </w:rPr>
  </w:style>
  <w:style w:type="character" w:styleId="17">
    <w:name w:val="annotation reference"/>
    <w:basedOn w:val="14"/>
    <w:semiHidden/>
    <w:qFormat/>
    <w:uiPriority w:val="99"/>
    <w:rPr>
      <w:rFonts w:cs="Times New Roman"/>
      <w:sz w:val="21"/>
    </w:rPr>
  </w:style>
  <w:style w:type="character" w:customStyle="1" w:styleId="19">
    <w:name w:val="标题 1 Char"/>
    <w:basedOn w:val="14"/>
    <w:link w:val="2"/>
    <w:qFormat/>
    <w:uiPriority w:val="9"/>
    <w:rPr>
      <w:b/>
      <w:bCs/>
      <w:kern w:val="44"/>
      <w:sz w:val="44"/>
      <w:szCs w:val="44"/>
    </w:rPr>
  </w:style>
  <w:style w:type="character" w:customStyle="1" w:styleId="20">
    <w:name w:val="标题 2 Char"/>
    <w:basedOn w:val="14"/>
    <w:link w:val="3"/>
    <w:qFormat/>
    <w:locked/>
    <w:uiPriority w:val="99"/>
    <w:rPr>
      <w:rFonts w:ascii="Arial" w:hAnsi="Arial" w:eastAsia="黑体"/>
      <w:b/>
      <w:kern w:val="2"/>
      <w:sz w:val="32"/>
      <w:lang w:val="en-US" w:eastAsia="zh-CN"/>
    </w:rPr>
  </w:style>
  <w:style w:type="character" w:customStyle="1" w:styleId="21">
    <w:name w:val="批注文字 Char"/>
    <w:basedOn w:val="14"/>
    <w:link w:val="5"/>
    <w:semiHidden/>
    <w:qFormat/>
    <w:uiPriority w:val="99"/>
    <w:rPr>
      <w:szCs w:val="24"/>
    </w:rPr>
  </w:style>
  <w:style w:type="character" w:customStyle="1" w:styleId="22">
    <w:name w:val="批注主题 Char"/>
    <w:basedOn w:val="21"/>
    <w:link w:val="4"/>
    <w:semiHidden/>
    <w:qFormat/>
    <w:uiPriority w:val="99"/>
    <w:rPr>
      <w:b/>
      <w:bCs/>
    </w:rPr>
  </w:style>
  <w:style w:type="character" w:customStyle="1" w:styleId="23">
    <w:name w:val="正文文本 Char"/>
    <w:basedOn w:val="14"/>
    <w:link w:val="6"/>
    <w:semiHidden/>
    <w:qFormat/>
    <w:uiPriority w:val="99"/>
    <w:rPr>
      <w:szCs w:val="24"/>
    </w:rPr>
  </w:style>
  <w:style w:type="character" w:customStyle="1" w:styleId="24">
    <w:name w:val="日期 Char"/>
    <w:basedOn w:val="14"/>
    <w:link w:val="7"/>
    <w:semiHidden/>
    <w:qFormat/>
    <w:uiPriority w:val="99"/>
    <w:rPr>
      <w:szCs w:val="24"/>
    </w:rPr>
  </w:style>
  <w:style w:type="character" w:customStyle="1" w:styleId="25">
    <w:name w:val="批注框文本 Char"/>
    <w:basedOn w:val="14"/>
    <w:link w:val="8"/>
    <w:semiHidden/>
    <w:qFormat/>
    <w:uiPriority w:val="99"/>
    <w:rPr>
      <w:sz w:val="0"/>
      <w:szCs w:val="0"/>
    </w:rPr>
  </w:style>
  <w:style w:type="character" w:customStyle="1" w:styleId="26">
    <w:name w:val="页脚 Char"/>
    <w:basedOn w:val="14"/>
    <w:link w:val="9"/>
    <w:semiHidden/>
    <w:qFormat/>
    <w:uiPriority w:val="99"/>
    <w:rPr>
      <w:sz w:val="18"/>
      <w:szCs w:val="18"/>
    </w:rPr>
  </w:style>
  <w:style w:type="character" w:customStyle="1" w:styleId="27">
    <w:name w:val="页眉 Char"/>
    <w:basedOn w:val="14"/>
    <w:link w:val="10"/>
    <w:semiHidden/>
    <w:qFormat/>
    <w:uiPriority w:val="99"/>
    <w:rPr>
      <w:sz w:val="18"/>
      <w:szCs w:val="18"/>
    </w:rPr>
  </w:style>
  <w:style w:type="character" w:customStyle="1" w:styleId="28">
    <w:name w:val="正文文本缩进 3 Char"/>
    <w:basedOn w:val="14"/>
    <w:link w:val="12"/>
    <w:semiHidden/>
    <w:qFormat/>
    <w:uiPriority w:val="99"/>
    <w:rPr>
      <w:sz w:val="16"/>
      <w:szCs w:val="16"/>
    </w:rPr>
  </w:style>
  <w:style w:type="paragraph" w:customStyle="1" w:styleId="29">
    <w:name w:val="p0"/>
    <w:basedOn w:val="1"/>
    <w:qFormat/>
    <w:uiPriority w:val="99"/>
    <w:pPr>
      <w:widowControl/>
      <w:spacing w:line="365" w:lineRule="atLeast"/>
      <w:ind w:left="1"/>
      <w:textAlignment w:val="bottom"/>
    </w:pPr>
    <w:rPr>
      <w:kern w:val="0"/>
      <w:sz w:val="20"/>
      <w:szCs w:val="20"/>
    </w:rPr>
  </w:style>
  <w:style w:type="paragraph" w:customStyle="1" w:styleId="30">
    <w:name w:val="修订1"/>
    <w: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1284</Words>
  <Characters>7320</Characters>
  <Lines>61</Lines>
  <Paragraphs>17</Paragraphs>
  <TotalTime>0</TotalTime>
  <ScaleCrop>false</ScaleCrop>
  <LinksUpToDate>false</LinksUpToDate>
  <CharactersWithSpaces>8587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2015-12-09T07:48:00Z</dcterms:created>
  <dc:creator>推荐书</dc:creator>
  <cp:lastModifiedBy>高守良</cp:lastModifiedBy>
  <cp:lastPrinted>2018-01-31T01:10:00Z</cp:lastPrinted>
  <dcterms:modified xsi:type="dcterms:W3CDTF">2019-01-14T07:07:36Z</dcterms:modified>
  <cp:revision>298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