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val="en-US" w:eastAsia="zh-CN"/>
        </w:rPr>
      </w:pPr>
      <w:r>
        <w:rPr>
          <w:rFonts w:hint="eastAsia"/>
          <w:lang w:val="en-US" w:eastAsia="zh-CN"/>
        </w:rPr>
        <w:t xml:space="preserve">                                                                                                                                                                                                                                                                                                           </w:t>
      </w:r>
    </w:p>
    <w:p>
      <w:pPr>
        <w:widowControl w:val="0"/>
        <w:spacing w:line="747" w:lineRule="atLeast"/>
        <w:jc w:val="center"/>
        <w:rPr>
          <w:rFonts w:hint="eastAsia" w:ascii="Swis721 BT" w:hAnsi="Swis721 BT" w:eastAsia="穝灿砰"/>
          <w:b/>
          <w:spacing w:val="23"/>
          <w:sz w:val="52"/>
        </w:rPr>
      </w:pPr>
      <w:r>
        <w:rPr>
          <w:rFonts w:hint="eastAsia"/>
          <w:sz w:val="36"/>
        </w:rPr>
        <w:drawing>
          <wp:anchor distT="107950" distB="107950" distL="107950" distR="107950" simplePos="0" relativeHeight="251658240" behindDoc="0" locked="0" layoutInCell="1" allowOverlap="1">
            <wp:simplePos x="0" y="0"/>
            <wp:positionH relativeFrom="page">
              <wp:posOffset>2724150</wp:posOffset>
            </wp:positionH>
            <wp:positionV relativeFrom="page">
              <wp:posOffset>1202690</wp:posOffset>
            </wp:positionV>
            <wp:extent cx="2145665" cy="1799590"/>
            <wp:effectExtent l="0" t="0" r="6985" b="10160"/>
            <wp:wrapSquare wrapText="larges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2145665" cy="1799590"/>
                    </a:xfrm>
                    <a:prstGeom prst="rect">
                      <a:avLst/>
                    </a:prstGeom>
                    <a:noFill/>
                    <a:ln w="7200">
                      <a:noFill/>
                    </a:ln>
                  </pic:spPr>
                </pic:pic>
              </a:graphicData>
            </a:graphic>
          </wp:anchor>
        </w:drawing>
      </w:r>
    </w:p>
    <w:p>
      <w:pPr>
        <w:rPr>
          <w:rFonts w:hint="eastAsia" w:ascii="Swis721 BT" w:hAnsi="Swis721 BT" w:eastAsia="穝灿砰" w:cs="Times New Roman"/>
          <w:b/>
          <w:spacing w:val="23"/>
          <w:sz w:val="52"/>
        </w:rPr>
      </w:pPr>
    </w:p>
    <w:p>
      <w:pPr>
        <w:rPr>
          <w:rFonts w:hint="eastAsia" w:ascii="Swis721 BT" w:hAnsi="Swis721 BT" w:eastAsia="穝灿砰" w:cs="Times New Roman"/>
          <w:b/>
          <w:spacing w:val="23"/>
          <w:sz w:val="52"/>
        </w:rPr>
      </w:pPr>
    </w:p>
    <w:p>
      <w:pPr>
        <w:ind w:left="0" w:leftChars="0" w:firstLine="0" w:firstLineChars="0"/>
        <w:rPr>
          <w:rFonts w:hint="eastAsia" w:ascii="Swis721 BT" w:hAnsi="Swis721 BT" w:eastAsia="穝灿砰" w:cs="Times New Roman"/>
          <w:b/>
          <w:spacing w:val="23"/>
          <w:sz w:val="52"/>
        </w:rPr>
      </w:pPr>
    </w:p>
    <w:p>
      <w:pPr>
        <w:widowControl w:val="0"/>
        <w:ind w:left="0" w:leftChars="0" w:firstLine="0" w:firstLineChars="0"/>
        <w:jc w:val="center"/>
        <w:rPr>
          <w:rFonts w:hint="eastAsia" w:ascii="宋体" w:hAnsi="宋体" w:eastAsia="宋体" w:cs="宋体"/>
          <w:b/>
          <w:sz w:val="72"/>
          <w:szCs w:val="72"/>
        </w:rPr>
      </w:pPr>
      <w:r>
        <w:rPr>
          <w:rFonts w:hint="eastAsia" w:ascii="宋体" w:hAnsi="宋体" w:eastAsia="宋体" w:cs="宋体"/>
          <w:b/>
          <w:bCs w:val="0"/>
          <w:sz w:val="72"/>
          <w:szCs w:val="72"/>
        </w:rPr>
        <w:t>房</w:t>
      </w:r>
      <w:r>
        <w:rPr>
          <w:rFonts w:hint="eastAsia" w:ascii="宋体" w:hAnsi="宋体" w:cs="宋体"/>
          <w:b/>
          <w:bCs w:val="0"/>
          <w:sz w:val="72"/>
          <w:szCs w:val="72"/>
          <w:lang w:val="en-US" w:eastAsia="zh-CN"/>
        </w:rPr>
        <w:t xml:space="preserve"> </w:t>
      </w:r>
      <w:r>
        <w:rPr>
          <w:rFonts w:hint="eastAsia" w:ascii="宋体" w:hAnsi="宋体" w:eastAsia="宋体" w:cs="宋体"/>
          <w:b/>
          <w:bCs w:val="0"/>
          <w:sz w:val="72"/>
          <w:szCs w:val="72"/>
        </w:rPr>
        <w:t>地</w:t>
      </w:r>
      <w:r>
        <w:rPr>
          <w:rFonts w:hint="eastAsia" w:ascii="宋体" w:hAnsi="宋体" w:eastAsia="宋体" w:cs="宋体"/>
          <w:b/>
          <w:bCs w:val="0"/>
          <w:sz w:val="72"/>
          <w:szCs w:val="72"/>
          <w:lang w:val="en-US" w:eastAsia="zh-CN"/>
        </w:rPr>
        <w:t xml:space="preserve"> </w:t>
      </w:r>
      <w:r>
        <w:rPr>
          <w:rFonts w:hint="eastAsia" w:ascii="宋体" w:hAnsi="宋体" w:eastAsia="宋体" w:cs="宋体"/>
          <w:b/>
          <w:bCs w:val="0"/>
          <w:sz w:val="72"/>
          <w:szCs w:val="72"/>
        </w:rPr>
        <w:t>产</w:t>
      </w:r>
      <w:r>
        <w:rPr>
          <w:rFonts w:hint="eastAsia" w:ascii="宋体" w:hAnsi="宋体" w:cs="宋体"/>
          <w:b/>
          <w:bCs w:val="0"/>
          <w:sz w:val="72"/>
          <w:szCs w:val="72"/>
          <w:lang w:val="en-US" w:eastAsia="zh-CN"/>
        </w:rPr>
        <w:t xml:space="preserve"> </w:t>
      </w:r>
      <w:r>
        <w:rPr>
          <w:rFonts w:hint="eastAsia" w:ascii="宋体" w:hAnsi="宋体" w:eastAsia="宋体" w:cs="宋体"/>
          <w:b/>
          <w:bCs w:val="0"/>
          <w:sz w:val="72"/>
          <w:szCs w:val="72"/>
        </w:rPr>
        <w:t>估</w:t>
      </w:r>
      <w:r>
        <w:rPr>
          <w:rFonts w:hint="eastAsia" w:ascii="宋体" w:hAnsi="宋体" w:eastAsia="宋体" w:cs="宋体"/>
          <w:b/>
          <w:bCs w:val="0"/>
          <w:sz w:val="72"/>
          <w:szCs w:val="72"/>
          <w:lang w:val="en-US" w:eastAsia="zh-CN"/>
        </w:rPr>
        <w:t xml:space="preserve"> </w:t>
      </w:r>
      <w:r>
        <w:rPr>
          <w:rFonts w:hint="eastAsia" w:ascii="宋体" w:hAnsi="宋体" w:eastAsia="宋体" w:cs="宋体"/>
          <w:b/>
          <w:bCs w:val="0"/>
          <w:sz w:val="72"/>
          <w:szCs w:val="72"/>
        </w:rPr>
        <w:t>价</w:t>
      </w:r>
      <w:r>
        <w:rPr>
          <w:rFonts w:hint="eastAsia" w:ascii="宋体" w:hAnsi="宋体" w:eastAsia="宋体" w:cs="宋体"/>
          <w:b/>
          <w:bCs w:val="0"/>
          <w:sz w:val="72"/>
          <w:szCs w:val="72"/>
          <w:lang w:val="en-US" w:eastAsia="zh-CN"/>
        </w:rPr>
        <w:t xml:space="preserve"> </w:t>
      </w:r>
      <w:r>
        <w:rPr>
          <w:rFonts w:hint="eastAsia" w:ascii="宋体" w:hAnsi="宋体" w:eastAsia="宋体" w:cs="宋体"/>
          <w:b/>
          <w:bCs w:val="0"/>
          <w:sz w:val="72"/>
          <w:szCs w:val="72"/>
        </w:rPr>
        <w:t>报</w:t>
      </w:r>
      <w:r>
        <w:rPr>
          <w:rFonts w:hint="eastAsia" w:ascii="宋体" w:hAnsi="宋体" w:eastAsia="宋体" w:cs="宋体"/>
          <w:b/>
          <w:bCs w:val="0"/>
          <w:sz w:val="72"/>
          <w:szCs w:val="72"/>
          <w:lang w:val="en-US" w:eastAsia="zh-CN"/>
        </w:rPr>
        <w:t xml:space="preserve"> </w:t>
      </w:r>
      <w:r>
        <w:rPr>
          <w:rFonts w:hint="eastAsia" w:ascii="宋体" w:hAnsi="宋体" w:eastAsia="宋体" w:cs="宋体"/>
          <w:b/>
          <w:bCs w:val="0"/>
          <w:sz w:val="72"/>
          <w:szCs w:val="72"/>
        </w:rPr>
        <w:t>告</w:t>
      </w:r>
    </w:p>
    <w:p>
      <w:pPr>
        <w:widowControl w:val="0"/>
        <w:ind w:firstLine="0" w:firstLineChars="0"/>
        <w:jc w:val="center"/>
        <w:rPr>
          <w:rFonts w:hint="eastAsia" w:ascii="宋体" w:hAnsi="宋体" w:eastAsia="宋体" w:cs="宋体"/>
          <w:sz w:val="36"/>
        </w:rPr>
      </w:pPr>
      <w:r>
        <w:rPr>
          <w:rFonts w:hint="eastAsia" w:ascii="宋体" w:hAnsi="宋体" w:eastAsia="宋体" w:cs="宋体"/>
          <w:sz w:val="36"/>
        </w:rPr>
        <w:t>____________________________________________</w:t>
      </w:r>
    </w:p>
    <w:p>
      <w:pPr>
        <w:widowControl w:val="0"/>
        <w:ind w:left="0" w:leftChars="0" w:firstLine="0" w:firstLineChars="0"/>
        <w:rPr>
          <w:rFonts w:hint="eastAsia" w:ascii="宋体" w:hAnsi="宋体" w:eastAsia="宋体" w:cs="宋体"/>
          <w:sz w:val="28"/>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outlineLvl w:val="9"/>
        <w:rPr>
          <w:rFonts w:hint="eastAsia" w:ascii="宋体" w:hAnsi="宋体" w:eastAsia="宋体" w:cs="宋体"/>
          <w:b/>
          <w:bCs/>
          <w:spacing w:val="12"/>
          <w:sz w:val="32"/>
          <w:szCs w:val="32"/>
        </w:rPr>
      </w:pPr>
      <w:r>
        <w:rPr>
          <w:rFonts w:hint="eastAsia" w:ascii="宋体" w:hAnsi="宋体" w:eastAsia="宋体" w:cs="宋体"/>
          <w:b/>
          <w:bCs/>
          <w:sz w:val="32"/>
          <w:szCs w:val="32"/>
        </w:rPr>
        <w:t>估价报告编号</w:t>
      </w:r>
      <w:r>
        <w:rPr>
          <w:rFonts w:hint="eastAsia" w:ascii="宋体" w:hAnsi="宋体" w:eastAsia="宋体" w:cs="宋体"/>
          <w:b/>
          <w:bCs/>
          <w:sz w:val="32"/>
          <w:szCs w:val="32"/>
          <w:lang w:val="en-US" w:eastAsia="zh-CN"/>
        </w:rPr>
        <w:t>:</w:t>
      </w:r>
      <w:r>
        <w:rPr>
          <w:rFonts w:hint="eastAsia" w:ascii="宋体" w:hAnsi="宋体" w:eastAsia="宋体" w:cs="宋体"/>
          <w:b/>
          <w:bCs/>
          <w:spacing w:val="12"/>
          <w:sz w:val="32"/>
          <w:szCs w:val="32"/>
        </w:rPr>
        <w:t xml:space="preserve"> 聊中衡 【2018】</w:t>
      </w:r>
      <w:r>
        <w:rPr>
          <w:rFonts w:hint="eastAsia" w:ascii="宋体" w:hAnsi="宋体" w:eastAsia="宋体" w:cs="宋体"/>
          <w:b/>
          <w:bCs/>
          <w:spacing w:val="12"/>
          <w:sz w:val="32"/>
          <w:szCs w:val="32"/>
          <w:lang w:val="en-US" w:eastAsia="zh-CN"/>
        </w:rPr>
        <w:t>(</w:t>
      </w:r>
      <w:r>
        <w:rPr>
          <w:rFonts w:hint="eastAsia" w:ascii="宋体" w:hAnsi="宋体" w:cs="宋体"/>
          <w:b/>
          <w:bCs/>
          <w:spacing w:val="12"/>
          <w:sz w:val="32"/>
          <w:szCs w:val="32"/>
          <w:lang w:val="en-US" w:eastAsia="zh-CN"/>
        </w:rPr>
        <w:t>咨</w:t>
      </w:r>
      <w:r>
        <w:rPr>
          <w:rFonts w:hint="eastAsia" w:ascii="宋体" w:hAnsi="宋体" w:eastAsia="宋体" w:cs="宋体"/>
          <w:b/>
          <w:bCs/>
          <w:spacing w:val="12"/>
          <w:sz w:val="32"/>
          <w:szCs w:val="32"/>
          <w:lang w:val="en-US" w:eastAsia="zh-CN"/>
        </w:rPr>
        <w:t>)</w:t>
      </w:r>
      <w:r>
        <w:rPr>
          <w:rFonts w:hint="eastAsia" w:ascii="宋体" w:hAnsi="宋体" w:eastAsia="宋体" w:cs="宋体"/>
          <w:b/>
          <w:bCs/>
          <w:spacing w:val="12"/>
          <w:sz w:val="32"/>
          <w:szCs w:val="32"/>
        </w:rPr>
        <w:t>字（</w:t>
      </w:r>
      <w:r>
        <w:rPr>
          <w:rFonts w:hint="eastAsia" w:ascii="宋体" w:hAnsi="宋体" w:cs="宋体"/>
          <w:b/>
          <w:bCs/>
          <w:spacing w:val="12"/>
          <w:sz w:val="32"/>
          <w:szCs w:val="32"/>
          <w:lang w:val="en-US" w:eastAsia="zh-CN"/>
        </w:rPr>
        <w:t>60</w:t>
      </w:r>
      <w:r>
        <w:rPr>
          <w:rFonts w:hint="eastAsia" w:ascii="宋体" w:hAnsi="宋体" w:eastAsia="宋体" w:cs="宋体"/>
          <w:b/>
          <w:bCs/>
          <w:spacing w:val="12"/>
          <w:sz w:val="32"/>
          <w:szCs w:val="32"/>
        </w:rPr>
        <w:t xml:space="preserve">）号 </w:t>
      </w:r>
    </w:p>
    <w:p>
      <w:pPr>
        <w:keepNext w:val="0"/>
        <w:keepLines w:val="0"/>
        <w:pageBreakBefore w:val="0"/>
        <w:widowControl w:val="0"/>
        <w:kinsoku/>
        <w:wordWrap/>
        <w:overflowPunct/>
        <w:topLinePunct w:val="0"/>
        <w:autoSpaceDE/>
        <w:autoSpaceDN/>
        <w:bidi w:val="0"/>
        <w:adjustRightInd/>
        <w:snapToGrid/>
        <w:spacing w:line="480" w:lineRule="auto"/>
        <w:ind w:left="2411" w:leftChars="0" w:hanging="2411" w:hangingChars="809"/>
        <w:jc w:val="left"/>
        <w:textAlignment w:val="auto"/>
        <w:outlineLvl w:val="9"/>
        <w:rPr>
          <w:rFonts w:hint="eastAsia" w:ascii="宋体" w:hAnsi="宋体" w:eastAsia="宋体" w:cs="宋体"/>
          <w:b/>
          <w:bCs/>
          <w:sz w:val="32"/>
          <w:szCs w:val="32"/>
          <w:lang w:val="en-US"/>
        </w:rPr>
      </w:pPr>
      <w:r>
        <w:rPr>
          <w:rFonts w:hint="eastAsia" w:ascii="宋体" w:hAnsi="宋体" w:eastAsia="宋体" w:cs="宋体"/>
          <w:b/>
          <w:bCs/>
          <w:sz w:val="32"/>
          <w:szCs w:val="32"/>
        </w:rPr>
        <w:t>估价项目名称</w:t>
      </w:r>
      <w:r>
        <w:rPr>
          <w:rFonts w:hint="eastAsia" w:ascii="宋体" w:hAnsi="宋体" w:eastAsia="宋体" w:cs="宋体"/>
          <w:b/>
          <w:bCs/>
          <w:sz w:val="32"/>
          <w:szCs w:val="32"/>
          <w:lang w:val="en-US" w:eastAsia="zh-CN"/>
        </w:rPr>
        <w:t>:</w:t>
      </w:r>
      <w:r>
        <w:rPr>
          <w:rFonts w:hint="eastAsia" w:ascii="宋体" w:hAnsi="宋体" w:eastAsia="宋体" w:cs="宋体"/>
          <w:b/>
          <w:bCs/>
          <w:sz w:val="32"/>
          <w:szCs w:val="32"/>
        </w:rPr>
        <w:t xml:space="preserve"> </w:t>
      </w:r>
      <w:r>
        <w:rPr>
          <w:rFonts w:hint="eastAsia" w:ascii="宋体" w:hAnsi="宋体" w:cs="宋体"/>
          <w:b/>
          <w:bCs/>
          <w:sz w:val="32"/>
          <w:szCs w:val="32"/>
          <w:lang w:eastAsia="zh-CN"/>
        </w:rPr>
        <w:t>东昌府区阳光花园小区第</w:t>
      </w:r>
      <w:r>
        <w:rPr>
          <w:rFonts w:hint="eastAsia" w:ascii="宋体" w:hAnsi="宋体" w:cs="宋体"/>
          <w:b/>
          <w:bCs/>
          <w:sz w:val="32"/>
          <w:szCs w:val="32"/>
          <w:lang w:val="en-US" w:eastAsia="zh-CN"/>
        </w:rPr>
        <w:t>13幢1单元131室、1单元3#储藏室、1单元东1#车库</w:t>
      </w:r>
      <w:r>
        <w:rPr>
          <w:rFonts w:hint="eastAsia" w:ascii="宋体" w:hAnsi="宋体" w:eastAsia="宋体" w:cs="宋体"/>
          <w:b/>
          <w:bCs/>
          <w:sz w:val="32"/>
          <w:szCs w:val="32"/>
          <w:lang w:val="en-US" w:eastAsia="zh-CN"/>
        </w:rPr>
        <w:t>房地产</w:t>
      </w:r>
      <w:r>
        <w:rPr>
          <w:rFonts w:hint="eastAsia" w:ascii="宋体" w:hAnsi="宋体" w:cs="宋体"/>
          <w:b/>
          <w:bCs/>
          <w:sz w:val="32"/>
          <w:szCs w:val="32"/>
          <w:lang w:val="en-US" w:eastAsia="zh-CN"/>
        </w:rPr>
        <w:t>市场价值评估</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outlineLvl w:val="9"/>
        <w:rPr>
          <w:rFonts w:hint="eastAsia" w:ascii="宋体" w:hAnsi="宋体" w:eastAsia="宋体" w:cs="宋体"/>
          <w:b/>
          <w:bCs/>
          <w:sz w:val="32"/>
          <w:szCs w:val="32"/>
          <w:lang w:val="en-US"/>
        </w:rPr>
      </w:pPr>
      <w:r>
        <w:rPr>
          <w:rFonts w:hint="eastAsia" w:ascii="宋体" w:hAnsi="宋体" w:eastAsia="宋体" w:cs="宋体"/>
          <w:b/>
          <w:bCs/>
          <w:sz w:val="32"/>
          <w:szCs w:val="32"/>
        </w:rPr>
        <w:t xml:space="preserve">估价委托人 </w:t>
      </w:r>
      <w:r>
        <w:rPr>
          <w:rFonts w:hint="eastAsia" w:ascii="宋体" w:hAnsi="宋体" w:eastAsia="宋体" w:cs="宋体"/>
          <w:b/>
          <w:bCs/>
          <w:sz w:val="32"/>
          <w:szCs w:val="32"/>
          <w:lang w:val="en-US" w:eastAsia="zh-CN"/>
        </w:rPr>
        <w:t>:</w:t>
      </w:r>
      <w:r>
        <w:rPr>
          <w:rFonts w:hint="eastAsia" w:ascii="宋体" w:hAnsi="宋体" w:eastAsia="宋体" w:cs="宋体"/>
          <w:b/>
          <w:bCs/>
          <w:sz w:val="32"/>
          <w:szCs w:val="32"/>
        </w:rPr>
        <w:t xml:space="preserve">  </w:t>
      </w:r>
      <w:r>
        <w:rPr>
          <w:rFonts w:hint="eastAsia" w:ascii="宋体" w:hAnsi="宋体" w:eastAsia="宋体" w:cs="宋体"/>
          <w:b/>
          <w:bCs/>
          <w:sz w:val="32"/>
          <w:szCs w:val="32"/>
          <w:lang w:val="en-US" w:eastAsia="zh-CN"/>
        </w:rPr>
        <w:t>山东产权交易中心有限公司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房地产估价机构</w:t>
      </w:r>
      <w:r>
        <w:rPr>
          <w:rFonts w:hint="eastAsia" w:ascii="宋体" w:hAnsi="宋体" w:eastAsia="宋体" w:cs="宋体"/>
          <w:b/>
          <w:bCs/>
          <w:sz w:val="32"/>
          <w:szCs w:val="32"/>
          <w:lang w:val="en-US" w:eastAsia="zh-CN"/>
        </w:rPr>
        <w:t>:</w:t>
      </w:r>
      <w:r>
        <w:rPr>
          <w:rFonts w:hint="eastAsia" w:ascii="宋体" w:hAnsi="宋体" w:eastAsia="宋体" w:cs="宋体"/>
          <w:b/>
          <w:bCs/>
          <w:sz w:val="32"/>
          <w:szCs w:val="32"/>
        </w:rPr>
        <w:t xml:space="preserve"> </w:t>
      </w:r>
      <w:r>
        <w:rPr>
          <w:rFonts w:hint="eastAsia" w:ascii="宋体" w:hAnsi="宋体" w:eastAsia="宋体" w:cs="宋体"/>
          <w:b/>
          <w:bCs/>
          <w:spacing w:val="12"/>
          <w:sz w:val="32"/>
          <w:szCs w:val="32"/>
        </w:rPr>
        <w:t xml:space="preserve">聊城市中衡房地产评估有限公司 </w:t>
      </w:r>
      <w:r>
        <w:rPr>
          <w:rFonts w:hint="eastAsia" w:ascii="宋体" w:hAnsi="宋体" w:eastAsia="宋体" w:cs="宋体"/>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outlineLvl w:val="9"/>
        <w:rPr>
          <w:rFonts w:hint="eastAsia" w:ascii="宋体" w:hAnsi="宋体" w:eastAsia="宋体" w:cs="宋体"/>
          <w:b/>
          <w:bCs/>
          <w:spacing w:val="12"/>
          <w:sz w:val="32"/>
          <w:szCs w:val="32"/>
        </w:rPr>
      </w:pPr>
      <w:r>
        <w:rPr>
          <w:rFonts w:hint="eastAsia" w:ascii="宋体" w:hAnsi="宋体" w:eastAsia="宋体" w:cs="宋体"/>
          <w:b/>
          <w:bCs/>
          <w:sz w:val="32"/>
          <w:szCs w:val="32"/>
        </w:rPr>
        <w:t>注册房地产估价师</w:t>
      </w:r>
      <w:r>
        <w:rPr>
          <w:rFonts w:hint="eastAsia" w:ascii="宋体" w:hAnsi="宋体" w:eastAsia="宋体" w:cs="宋体"/>
          <w:b/>
          <w:bCs/>
          <w:sz w:val="32"/>
          <w:szCs w:val="32"/>
          <w:lang w:val="en-US" w:eastAsia="zh-CN"/>
        </w:rPr>
        <w:t>:</w:t>
      </w:r>
      <w:r>
        <w:rPr>
          <w:rFonts w:hint="eastAsia" w:ascii="宋体" w:hAnsi="宋体" w:eastAsia="宋体" w:cs="宋体"/>
          <w:b/>
          <w:bCs/>
          <w:spacing w:val="12"/>
          <w:sz w:val="32"/>
          <w:szCs w:val="32"/>
        </w:rPr>
        <w:t xml:space="preserve">   </w:t>
      </w:r>
      <w:r>
        <w:rPr>
          <w:rFonts w:hint="eastAsia" w:ascii="宋体" w:hAnsi="宋体" w:eastAsia="宋体" w:cs="宋体"/>
          <w:b/>
          <w:bCs/>
          <w:spacing w:val="12"/>
          <w:sz w:val="32"/>
          <w:szCs w:val="32"/>
          <w:lang w:eastAsia="zh-CN"/>
        </w:rPr>
        <w:t>刘洪林</w:t>
      </w:r>
      <w:r>
        <w:rPr>
          <w:rFonts w:hint="eastAsia" w:ascii="宋体" w:hAnsi="宋体" w:eastAsia="宋体" w:cs="宋体"/>
          <w:b/>
          <w:bCs/>
          <w:spacing w:val="12"/>
          <w:sz w:val="32"/>
          <w:szCs w:val="32"/>
        </w:rPr>
        <w:t xml:space="preserve">  </w:t>
      </w:r>
      <w:r>
        <w:rPr>
          <w:rFonts w:hint="eastAsia" w:ascii="宋体" w:hAnsi="宋体" w:eastAsia="宋体" w:cs="宋体"/>
          <w:b/>
          <w:bCs/>
          <w:spacing w:val="12"/>
          <w:sz w:val="32"/>
          <w:szCs w:val="32"/>
          <w:lang w:val="en-US" w:eastAsia="zh-CN"/>
        </w:rPr>
        <w:t>(</w:t>
      </w:r>
      <w:r>
        <w:rPr>
          <w:rFonts w:hint="eastAsia" w:ascii="宋体" w:hAnsi="宋体" w:eastAsia="宋体" w:cs="宋体"/>
          <w:b/>
          <w:bCs/>
          <w:spacing w:val="12"/>
          <w:sz w:val="32"/>
          <w:szCs w:val="32"/>
        </w:rPr>
        <w:t>注册号3720</w:t>
      </w:r>
      <w:r>
        <w:rPr>
          <w:rFonts w:hint="eastAsia" w:ascii="宋体" w:hAnsi="宋体" w:eastAsia="宋体" w:cs="宋体"/>
          <w:b/>
          <w:bCs/>
          <w:spacing w:val="12"/>
          <w:sz w:val="32"/>
          <w:szCs w:val="32"/>
          <w:lang w:val="en-US" w:eastAsia="zh-CN"/>
        </w:rPr>
        <w:t>160221)</w:t>
      </w:r>
      <w:r>
        <w:rPr>
          <w:rFonts w:hint="eastAsia" w:ascii="宋体" w:hAnsi="宋体" w:eastAsia="宋体" w:cs="宋体"/>
          <w:b/>
          <w:bCs/>
          <w:spacing w:val="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outlineLvl w:val="9"/>
        <w:rPr>
          <w:rFonts w:hint="eastAsia" w:ascii="宋体" w:hAnsi="宋体" w:eastAsia="宋体" w:cs="宋体"/>
          <w:b/>
          <w:bCs/>
          <w:spacing w:val="12"/>
          <w:sz w:val="32"/>
          <w:szCs w:val="32"/>
          <w:lang w:val="en-US" w:eastAsia="zh-CN"/>
        </w:rPr>
      </w:pPr>
      <w:r>
        <w:rPr>
          <w:rFonts w:hint="eastAsia" w:ascii="宋体" w:hAnsi="宋体" w:eastAsia="宋体" w:cs="宋体"/>
          <w:b/>
          <w:bCs/>
          <w:spacing w:val="12"/>
          <w:sz w:val="32"/>
          <w:szCs w:val="32"/>
        </w:rPr>
        <w:t xml:space="preserve">                 </w:t>
      </w:r>
      <w:r>
        <w:rPr>
          <w:rFonts w:hint="eastAsia" w:ascii="宋体" w:hAnsi="宋体" w:eastAsia="宋体" w:cs="宋体"/>
          <w:b/>
          <w:bCs/>
          <w:spacing w:val="12"/>
          <w:sz w:val="32"/>
          <w:szCs w:val="32"/>
          <w:lang w:val="en-US" w:eastAsia="zh-CN"/>
        </w:rPr>
        <w:t xml:space="preserve"> </w:t>
      </w:r>
      <w:r>
        <w:rPr>
          <w:rFonts w:hint="eastAsia" w:ascii="宋体" w:hAnsi="宋体" w:eastAsia="宋体" w:cs="宋体"/>
          <w:b/>
          <w:bCs/>
          <w:spacing w:val="12"/>
          <w:sz w:val="32"/>
          <w:szCs w:val="32"/>
        </w:rPr>
        <w:t xml:space="preserve">刘莹莹  </w:t>
      </w:r>
      <w:r>
        <w:rPr>
          <w:rFonts w:hint="eastAsia" w:ascii="宋体" w:hAnsi="宋体" w:eastAsia="宋体" w:cs="宋体"/>
          <w:b/>
          <w:bCs/>
          <w:spacing w:val="12"/>
          <w:sz w:val="32"/>
          <w:szCs w:val="32"/>
          <w:lang w:val="en-US" w:eastAsia="zh-CN"/>
        </w:rPr>
        <w:t>(</w:t>
      </w:r>
      <w:r>
        <w:rPr>
          <w:rFonts w:hint="eastAsia" w:ascii="宋体" w:hAnsi="宋体" w:eastAsia="宋体" w:cs="宋体"/>
          <w:b/>
          <w:bCs/>
          <w:spacing w:val="12"/>
          <w:sz w:val="32"/>
          <w:szCs w:val="32"/>
        </w:rPr>
        <w:t>注册号3720160126</w:t>
      </w:r>
      <w:r>
        <w:rPr>
          <w:rFonts w:hint="eastAsia" w:ascii="宋体" w:hAnsi="宋体" w:eastAsia="宋体" w:cs="宋体"/>
          <w:b/>
          <w:bCs/>
          <w:spacing w:val="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left"/>
        <w:textAlignment w:val="auto"/>
        <w:outlineLvl w:val="9"/>
        <w:rPr>
          <w:rFonts w:hint="eastAsia" w:ascii="仿宋" w:hAnsi="仿宋" w:eastAsia="仿宋" w:cs="仿宋"/>
          <w:b/>
          <w:sz w:val="32"/>
          <w:szCs w:val="32"/>
        </w:rPr>
      </w:pPr>
      <w:r>
        <w:rPr>
          <w:rFonts w:hint="eastAsia" w:ascii="宋体" w:hAnsi="宋体" w:eastAsia="宋体" w:cs="宋体"/>
          <w:b/>
          <w:bCs/>
          <w:spacing w:val="23"/>
          <w:sz w:val="32"/>
          <w:szCs w:val="32"/>
          <w:lang w:eastAsia="zh-CN"/>
        </w:rPr>
        <w:t>估价报告出具</w:t>
      </w:r>
      <w:r>
        <w:rPr>
          <w:rFonts w:hint="eastAsia" w:ascii="宋体" w:hAnsi="宋体" w:eastAsia="宋体" w:cs="宋体"/>
          <w:b/>
          <w:bCs/>
          <w:spacing w:val="23"/>
          <w:sz w:val="32"/>
          <w:szCs w:val="32"/>
          <w:lang w:val="en-US" w:eastAsia="zh-CN"/>
        </w:rPr>
        <w:t>日期</w:t>
      </w:r>
      <w:r>
        <w:rPr>
          <w:rFonts w:hint="eastAsia" w:ascii="宋体" w:hAnsi="宋体" w:eastAsia="宋体" w:cs="宋体"/>
          <w:b/>
          <w:bCs/>
          <w:spacing w:val="23"/>
          <w:sz w:val="32"/>
          <w:szCs w:val="32"/>
          <w:lang w:eastAsia="zh-CN"/>
        </w:rPr>
        <w:t>：</w:t>
      </w:r>
      <w:r>
        <w:rPr>
          <w:rFonts w:hint="eastAsia" w:ascii="宋体" w:hAnsi="宋体" w:cs="宋体"/>
          <w:b/>
          <w:bCs/>
          <w:spacing w:val="23"/>
          <w:sz w:val="32"/>
          <w:szCs w:val="32"/>
          <w:lang w:val="en-US" w:eastAsia="zh-CN"/>
        </w:rPr>
        <w:t>2018年11月30日</w:t>
      </w:r>
    </w:p>
    <w:p>
      <w:pPr>
        <w:widowControl w:val="0"/>
        <w:spacing w:line="777" w:lineRule="atLeast"/>
        <w:ind w:left="0" w:leftChars="0" w:firstLine="0" w:firstLineChars="0"/>
        <w:jc w:val="center"/>
        <w:rPr>
          <w:rFonts w:hint="eastAsia" w:ascii="仿宋" w:hAnsi="仿宋" w:eastAsia="仿宋" w:cs="仿宋"/>
          <w:b/>
          <w:sz w:val="32"/>
          <w:szCs w:val="32"/>
        </w:rPr>
      </w:pPr>
      <w:r>
        <w:rPr>
          <w:rFonts w:hint="eastAsia" w:ascii="仿宋" w:hAnsi="仿宋" w:eastAsia="仿宋" w:cs="仿宋"/>
          <w:b/>
          <w:sz w:val="32"/>
          <w:szCs w:val="32"/>
        </w:rPr>
        <w:t>致估价委托人函</w:t>
      </w:r>
    </w:p>
    <w:p>
      <w:pPr>
        <w:widowControl w:val="0"/>
        <w:spacing w:line="568" w:lineRule="atLeast"/>
        <w:ind w:left="0" w:leftChars="0" w:firstLine="0" w:firstLineChars="0"/>
        <w:jc w:val="left"/>
        <w:rPr>
          <w:rFonts w:hint="eastAsia" w:ascii="仿宋" w:hAnsi="仿宋" w:eastAsia="仿宋" w:cs="仿宋"/>
          <w:sz w:val="28"/>
          <w:szCs w:val="28"/>
        </w:rPr>
      </w:pPr>
      <w:r>
        <w:rPr>
          <w:rFonts w:hint="eastAsia" w:ascii="仿宋" w:hAnsi="仿宋" w:eastAsia="仿宋" w:cs="仿宋"/>
          <w:sz w:val="28"/>
          <w:szCs w:val="28"/>
          <w:lang w:val="en-US" w:eastAsia="zh-CN"/>
        </w:rPr>
        <w:t>山东产权交易中心有限公司</w:t>
      </w:r>
      <w:r>
        <w:rPr>
          <w:rFonts w:hint="eastAsia" w:ascii="仿宋" w:hAnsi="仿宋" w:eastAsia="仿宋" w:cs="仿宋"/>
          <w:sz w:val="28"/>
          <w:szCs w:val="28"/>
        </w:rPr>
        <w:t>：</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受</w:t>
      </w:r>
      <w:r>
        <w:rPr>
          <w:rFonts w:hint="eastAsia" w:ascii="仿宋" w:hAnsi="仿宋" w:eastAsia="仿宋" w:cs="仿宋"/>
          <w:sz w:val="28"/>
          <w:szCs w:val="28"/>
          <w:lang w:eastAsia="zh-CN"/>
        </w:rPr>
        <w:t>贵单位</w:t>
      </w:r>
      <w:r>
        <w:rPr>
          <w:rFonts w:hint="eastAsia" w:ascii="仿宋" w:hAnsi="仿宋" w:eastAsia="仿宋" w:cs="仿宋"/>
          <w:sz w:val="28"/>
          <w:szCs w:val="28"/>
        </w:rPr>
        <w:t>委托，我公司本乘着独立、客观、公正的原则，</w:t>
      </w:r>
      <w:r>
        <w:rPr>
          <w:rFonts w:hint="eastAsia" w:ascii="仿宋" w:hAnsi="仿宋" w:eastAsia="仿宋" w:cs="仿宋"/>
          <w:sz w:val="28"/>
          <w:szCs w:val="28"/>
          <w:lang w:eastAsia="zh-CN"/>
        </w:rPr>
        <w:t>注册房地产估价师刘洪林、刘莹莹</w:t>
      </w:r>
      <w:r>
        <w:rPr>
          <w:rFonts w:hint="eastAsia" w:ascii="仿宋" w:hAnsi="仿宋" w:eastAsia="仿宋" w:cs="仿宋"/>
          <w:sz w:val="28"/>
          <w:szCs w:val="28"/>
        </w:rPr>
        <w:t>于</w:t>
      </w:r>
      <w:r>
        <w:rPr>
          <w:rFonts w:hint="eastAsia" w:ascii="仿宋" w:hAnsi="仿宋" w:eastAsia="仿宋" w:cs="仿宋"/>
          <w:sz w:val="28"/>
          <w:szCs w:val="28"/>
          <w:lang w:eastAsia="zh-CN"/>
        </w:rPr>
        <w:t>2018年11月2</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日，</w:t>
      </w:r>
      <w:r>
        <w:rPr>
          <w:rFonts w:hint="eastAsia" w:ascii="仿宋" w:hAnsi="仿宋" w:eastAsia="仿宋" w:cs="仿宋"/>
          <w:sz w:val="28"/>
          <w:szCs w:val="28"/>
        </w:rPr>
        <w:t>对</w:t>
      </w:r>
      <w:r>
        <w:rPr>
          <w:rFonts w:hint="eastAsia" w:ascii="仿宋" w:hAnsi="仿宋" w:eastAsia="仿宋" w:cs="仿宋"/>
          <w:sz w:val="28"/>
          <w:szCs w:val="28"/>
          <w:lang w:eastAsia="zh-CN"/>
        </w:rPr>
        <w:t>贵单位</w:t>
      </w:r>
      <w:r>
        <w:rPr>
          <w:rFonts w:hint="eastAsia" w:ascii="仿宋" w:hAnsi="仿宋" w:eastAsia="仿宋" w:cs="仿宋"/>
          <w:sz w:val="28"/>
          <w:szCs w:val="28"/>
        </w:rPr>
        <w:t>委托的</w:t>
      </w:r>
      <w:r>
        <w:rPr>
          <w:rFonts w:hint="eastAsia" w:ascii="仿宋" w:hAnsi="仿宋" w:eastAsia="仿宋" w:cs="仿宋"/>
          <w:sz w:val="28"/>
          <w:szCs w:val="28"/>
          <w:lang w:eastAsia="zh-CN"/>
        </w:rPr>
        <w:t>东昌府区阳光花园小区第</w:t>
      </w:r>
      <w:r>
        <w:rPr>
          <w:rFonts w:hint="eastAsia" w:ascii="仿宋" w:hAnsi="仿宋" w:eastAsia="仿宋" w:cs="仿宋"/>
          <w:sz w:val="28"/>
          <w:szCs w:val="28"/>
          <w:lang w:val="en-US" w:eastAsia="zh-CN"/>
        </w:rPr>
        <w:t>13幢1单元131室、1单元东3#储藏室、1单元东1#车库（房屋建筑面积：149.07平方米，储藏室建筑面积：12.14平方米，车库建筑面积：25.75平方米），</w:t>
      </w:r>
      <w:r>
        <w:rPr>
          <w:rFonts w:hint="eastAsia" w:ascii="仿宋" w:hAnsi="仿宋" w:eastAsia="仿宋" w:cs="仿宋"/>
          <w:sz w:val="28"/>
          <w:szCs w:val="28"/>
        </w:rPr>
        <w:t>进行了实地查勘、市场调查和测算，并将此日期作为上述房地产的价值时点，将以下评估结果为</w:t>
      </w:r>
      <w:r>
        <w:rPr>
          <w:rFonts w:hint="eastAsia" w:ascii="仿宋" w:hAnsi="仿宋" w:eastAsia="仿宋" w:cs="仿宋"/>
          <w:sz w:val="28"/>
          <w:szCs w:val="28"/>
          <w:lang w:eastAsia="zh-CN"/>
        </w:rPr>
        <w:t>贵单位</w:t>
      </w:r>
      <w:r>
        <w:rPr>
          <w:rFonts w:hint="eastAsia" w:ascii="仿宋" w:hAnsi="仿宋" w:eastAsia="仿宋" w:cs="仿宋"/>
          <w:sz w:val="28"/>
          <w:szCs w:val="28"/>
        </w:rPr>
        <w:t>办理案件提供市场价值参考依据。</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估价目的：为委托方依法处置该估价对象提供价值参考而评估该房地产的市场价值。</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估价对象：位于</w:t>
      </w:r>
      <w:r>
        <w:rPr>
          <w:rFonts w:hint="eastAsia" w:ascii="仿宋" w:hAnsi="仿宋" w:eastAsia="仿宋" w:cs="仿宋"/>
          <w:sz w:val="28"/>
          <w:szCs w:val="28"/>
          <w:lang w:eastAsia="zh-CN"/>
        </w:rPr>
        <w:t>东昌府区阳光花园小区第</w:t>
      </w:r>
      <w:r>
        <w:rPr>
          <w:rFonts w:hint="eastAsia" w:ascii="仿宋" w:hAnsi="仿宋" w:eastAsia="仿宋" w:cs="仿宋"/>
          <w:sz w:val="28"/>
          <w:szCs w:val="28"/>
          <w:lang w:val="en-US" w:eastAsia="zh-CN"/>
        </w:rPr>
        <w:t>13幢1单元131室、1单元东3#储藏室、1单元东1#车库（房屋建筑面积：149.07平方米，储藏室建筑面积：12.14平方米，车库建筑面积：25.75平方米）</w:t>
      </w:r>
      <w:r>
        <w:rPr>
          <w:rFonts w:hint="eastAsia" w:ascii="仿宋" w:hAnsi="仿宋" w:eastAsia="仿宋" w:cs="仿宋"/>
          <w:sz w:val="28"/>
          <w:szCs w:val="28"/>
        </w:rPr>
        <w:t>，</w:t>
      </w:r>
      <w:r>
        <w:rPr>
          <w:rFonts w:hint="eastAsia" w:ascii="仿宋" w:hAnsi="仿宋" w:eastAsia="仿宋" w:cs="仿宋"/>
          <w:sz w:val="28"/>
          <w:szCs w:val="28"/>
          <w:highlight w:val="none"/>
          <w:lang w:eastAsia="zh-CN"/>
        </w:rPr>
        <w:t>建成年份：</w:t>
      </w:r>
      <w:r>
        <w:rPr>
          <w:rFonts w:hint="eastAsia" w:ascii="仿宋" w:hAnsi="仿宋" w:eastAsia="仿宋" w:cs="仿宋"/>
          <w:sz w:val="28"/>
          <w:szCs w:val="28"/>
          <w:highlight w:val="none"/>
          <w:lang w:val="en-US" w:eastAsia="zh-CN"/>
        </w:rPr>
        <w:t>2006年，</w:t>
      </w:r>
      <w:r>
        <w:rPr>
          <w:rFonts w:hint="eastAsia" w:ascii="仿宋" w:hAnsi="仿宋" w:eastAsia="仿宋" w:cs="仿宋"/>
          <w:sz w:val="28"/>
          <w:szCs w:val="28"/>
          <w:lang w:val="en-US" w:eastAsia="zh-CN"/>
        </w:rPr>
        <w:t>建筑结构：砖混，规划用途：住宅，实际用途：住宅。</w:t>
      </w:r>
      <w:r>
        <w:rPr>
          <w:rFonts w:hint="eastAsia" w:ascii="仿宋" w:hAnsi="仿宋" w:eastAsia="仿宋" w:cs="仿宋"/>
          <w:sz w:val="28"/>
          <w:szCs w:val="28"/>
        </w:rPr>
        <w:t>估价对象归</w:t>
      </w:r>
      <w:r>
        <w:rPr>
          <w:rFonts w:hint="eastAsia" w:ascii="仿宋" w:hAnsi="仿宋" w:eastAsia="仿宋" w:cs="仿宋"/>
          <w:sz w:val="28"/>
          <w:szCs w:val="28"/>
          <w:lang w:eastAsia="zh-CN"/>
        </w:rPr>
        <w:t>董锁林</w:t>
      </w:r>
      <w:r>
        <w:rPr>
          <w:rFonts w:hint="eastAsia" w:ascii="仿宋" w:hAnsi="仿宋" w:eastAsia="仿宋" w:cs="仿宋"/>
          <w:sz w:val="28"/>
          <w:szCs w:val="28"/>
        </w:rPr>
        <w:t>单独所有。本次评估财产范围为“纯粹”的房地产范围，不包含非房产成分（如室内家具、家电等），不带有其他债权债务。</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价值时点：</w:t>
      </w:r>
      <w:r>
        <w:rPr>
          <w:rFonts w:hint="eastAsia" w:ascii="仿宋" w:hAnsi="仿宋" w:eastAsia="仿宋" w:cs="仿宋"/>
          <w:sz w:val="28"/>
          <w:szCs w:val="28"/>
          <w:lang w:eastAsia="zh-CN"/>
        </w:rPr>
        <w:t>2018年11月2</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日（现场查勘之日）</w:t>
      </w:r>
      <w:r>
        <w:rPr>
          <w:rFonts w:hint="eastAsia" w:ascii="仿宋" w:hAnsi="仿宋" w:eastAsia="仿宋" w:cs="仿宋"/>
          <w:sz w:val="28"/>
          <w:szCs w:val="28"/>
        </w:rPr>
        <w:t>。</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价值类型：公开市场价值，估价对象经适当营销后，由熟悉情况，谨慎行事且不受强迫的交易双方，以公平交易方式在价值时点自愿进行交易的金额。</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估价方法：比较法</w:t>
      </w:r>
      <w:r>
        <w:rPr>
          <w:rFonts w:hint="eastAsia" w:ascii="仿宋" w:hAnsi="仿宋" w:eastAsia="仿宋" w:cs="仿宋"/>
          <w:sz w:val="28"/>
          <w:szCs w:val="28"/>
          <w:lang w:eastAsia="zh-CN"/>
        </w:rPr>
        <w:t>和收益法</w:t>
      </w:r>
      <w:r>
        <w:rPr>
          <w:rFonts w:hint="eastAsia" w:ascii="仿宋" w:hAnsi="仿宋" w:eastAsia="仿宋" w:cs="仿宋"/>
          <w:sz w:val="28"/>
          <w:szCs w:val="28"/>
        </w:rPr>
        <w:t>。</w:t>
      </w:r>
    </w:p>
    <w:p>
      <w:pPr>
        <w:widowControl w:val="0"/>
        <w:spacing w:line="568" w:lineRule="atLeast"/>
        <w:ind w:left="0" w:leftChars="0" w:firstLine="782" w:firstLineChars="303"/>
        <w:jc w:val="left"/>
        <w:rPr>
          <w:rFonts w:hint="eastAsia" w:ascii="仿宋" w:hAnsi="仿宋" w:eastAsia="仿宋" w:cs="仿宋"/>
          <w:sz w:val="28"/>
          <w:szCs w:val="28"/>
        </w:rPr>
      </w:pPr>
    </w:p>
    <w:p>
      <w:pPr>
        <w:widowControl w:val="0"/>
        <w:spacing w:line="568" w:lineRule="atLeast"/>
        <w:ind w:left="0" w:leftChars="0" w:firstLine="782" w:firstLineChars="303"/>
        <w:jc w:val="left"/>
        <w:rPr>
          <w:rFonts w:hint="eastAsia" w:ascii="仿宋" w:hAnsi="仿宋" w:eastAsia="仿宋" w:cs="仿宋"/>
          <w:sz w:val="28"/>
          <w:szCs w:val="28"/>
        </w:rPr>
      </w:pPr>
    </w:p>
    <w:p>
      <w:pPr>
        <w:widowControl w:val="0"/>
        <w:spacing w:line="568" w:lineRule="atLeast"/>
        <w:ind w:left="0" w:leftChars="0" w:firstLine="782" w:firstLineChars="303"/>
        <w:jc w:val="left"/>
        <w:rPr>
          <w:rFonts w:hint="eastAsia" w:ascii="仿宋" w:hAnsi="仿宋" w:eastAsia="仿宋" w:cs="仿宋"/>
          <w:sz w:val="28"/>
          <w:szCs w:val="28"/>
        </w:rPr>
      </w:pPr>
    </w:p>
    <w:p>
      <w:pPr>
        <w:widowControl w:val="0"/>
        <w:spacing w:line="568" w:lineRule="atLeast"/>
        <w:ind w:left="0" w:leftChars="0" w:firstLine="782" w:firstLineChars="303"/>
        <w:jc w:val="left"/>
        <w:rPr>
          <w:rFonts w:hint="eastAsia" w:ascii="仿宋" w:hAnsi="仿宋" w:eastAsia="仿宋" w:cs="仿宋"/>
          <w:sz w:val="28"/>
          <w:szCs w:val="28"/>
        </w:rPr>
      </w:pPr>
    </w:p>
    <w:p>
      <w:pPr>
        <w:widowControl w:val="0"/>
        <w:spacing w:line="568" w:lineRule="atLeast"/>
        <w:ind w:left="0" w:leftChars="0" w:firstLine="782" w:firstLineChars="303"/>
        <w:jc w:val="left"/>
        <w:rPr>
          <w:rFonts w:hint="eastAsia" w:ascii="仿宋" w:hAnsi="仿宋" w:eastAsia="仿宋" w:cs="仿宋"/>
          <w:sz w:val="28"/>
          <w:szCs w:val="28"/>
        </w:rPr>
      </w:pPr>
      <w:r>
        <w:rPr>
          <w:rFonts w:hint="eastAsia" w:ascii="仿宋" w:hAnsi="仿宋" w:eastAsia="仿宋" w:cs="仿宋"/>
          <w:sz w:val="28"/>
          <w:szCs w:val="28"/>
        </w:rPr>
        <w:t>估价结果：</w:t>
      </w:r>
      <w:r>
        <w:rPr>
          <w:rFonts w:hint="eastAsia" w:ascii="仿宋" w:hAnsi="仿宋" w:eastAsia="仿宋" w:cs="仿宋"/>
          <w:sz w:val="28"/>
          <w:szCs w:val="28"/>
          <w:lang w:val="en-US" w:eastAsia="zh-CN"/>
        </w:rPr>
        <w:t xml:space="preserve">                                 </w:t>
      </w:r>
      <w:r>
        <w:rPr>
          <w:rFonts w:hint="eastAsia" w:ascii="仿宋" w:hAnsi="仿宋" w:eastAsia="仿宋" w:cs="仿宋"/>
          <w:sz w:val="24"/>
          <w:szCs w:val="24"/>
          <w:lang w:eastAsia="zh-CN"/>
        </w:rPr>
        <w:t>币种：人民币</w:t>
      </w:r>
    </w:p>
    <w:tbl>
      <w:tblPr>
        <w:tblStyle w:val="16"/>
        <w:tblpPr w:leftFromText="180" w:rightFromText="180" w:vertAnchor="text" w:horzAnchor="page" w:tblpX="1507" w:tblpY="541"/>
        <w:tblOverlap w:val="never"/>
        <w:tblW w:w="9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18"/>
        <w:gridCol w:w="1565"/>
        <w:gridCol w:w="1330"/>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估价对象</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面积㎡</w:t>
            </w:r>
          </w:p>
        </w:tc>
        <w:tc>
          <w:tcPr>
            <w:tcW w:w="1565"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单价（元）</w:t>
            </w:r>
          </w:p>
        </w:tc>
        <w:tc>
          <w:tcPr>
            <w:tcW w:w="133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价值（元）</w:t>
            </w:r>
          </w:p>
        </w:tc>
        <w:tc>
          <w:tcPr>
            <w:tcW w:w="326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房屋</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149.07平方米</w:t>
            </w:r>
          </w:p>
        </w:tc>
        <w:tc>
          <w:tcPr>
            <w:tcW w:w="1565"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9780/平方米</w:t>
            </w:r>
          </w:p>
        </w:tc>
        <w:tc>
          <w:tcPr>
            <w:tcW w:w="133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1457905</w:t>
            </w:r>
          </w:p>
        </w:tc>
        <w:tc>
          <w:tcPr>
            <w:tcW w:w="326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壹佰肆拾伍万柒仟玖佰零伍元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车库</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25.75平方米</w:t>
            </w:r>
          </w:p>
        </w:tc>
        <w:tc>
          <w:tcPr>
            <w:tcW w:w="1565"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120000元/个</w:t>
            </w:r>
          </w:p>
        </w:tc>
        <w:tc>
          <w:tcPr>
            <w:tcW w:w="133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120000</w:t>
            </w:r>
          </w:p>
        </w:tc>
        <w:tc>
          <w:tcPr>
            <w:tcW w:w="326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壹拾贰万元整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储藏室</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12.14平方米</w:t>
            </w:r>
          </w:p>
        </w:tc>
        <w:tc>
          <w:tcPr>
            <w:tcW w:w="1565"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2500/平方米</w:t>
            </w:r>
          </w:p>
        </w:tc>
        <w:tc>
          <w:tcPr>
            <w:tcW w:w="133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30350</w:t>
            </w:r>
          </w:p>
        </w:tc>
        <w:tc>
          <w:tcPr>
            <w:tcW w:w="326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叁万零叁佰伍拾元整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合计</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p>
        </w:tc>
        <w:tc>
          <w:tcPr>
            <w:tcW w:w="1565"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p>
        </w:tc>
        <w:tc>
          <w:tcPr>
            <w:tcW w:w="1330" w:type="dxa"/>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1608255</w:t>
            </w:r>
          </w:p>
        </w:tc>
        <w:tc>
          <w:tcPr>
            <w:tcW w:w="326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壹佰陆拾万捌仟贰佰伍拾伍元</w:t>
            </w:r>
          </w:p>
        </w:tc>
      </w:tr>
    </w:tbl>
    <w:p>
      <w:pPr>
        <w:widowControl w:val="0"/>
        <w:spacing w:line="568" w:lineRule="atLeast"/>
        <w:ind w:left="0" w:leftChars="0" w:firstLine="782" w:firstLineChars="303"/>
        <w:jc w:val="left"/>
        <w:rPr>
          <w:rFonts w:hint="eastAsia" w:ascii="仿宋" w:hAnsi="仿宋" w:eastAsia="仿宋" w:cs="仿宋"/>
          <w:sz w:val="28"/>
          <w:szCs w:val="28"/>
        </w:rPr>
      </w:pP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特别提示：本估价报告及估价结果严格按照“估价假设和限制条件”的限制使用。</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估价报告使用期限：</w:t>
      </w:r>
      <w:r>
        <w:rPr>
          <w:rFonts w:hint="eastAsia" w:ascii="仿宋" w:hAnsi="仿宋" w:eastAsia="仿宋" w:cs="仿宋"/>
          <w:sz w:val="28"/>
          <w:szCs w:val="28"/>
          <w:lang w:val="en-US" w:eastAsia="zh-CN"/>
        </w:rPr>
        <w:t>2018年11月30日至2019年11月29日</w:t>
      </w:r>
      <w:r>
        <w:rPr>
          <w:rFonts w:hint="eastAsia" w:ascii="仿宋" w:hAnsi="仿宋" w:eastAsia="仿宋" w:cs="仿宋"/>
          <w:sz w:val="28"/>
          <w:szCs w:val="28"/>
        </w:rPr>
        <w:t>。</w:t>
      </w:r>
    </w:p>
    <w:p>
      <w:pPr>
        <w:widowControl w:val="0"/>
        <w:spacing w:line="568" w:lineRule="atLeast"/>
        <w:ind w:left="0" w:leftChars="0" w:firstLine="521" w:firstLineChars="202"/>
        <w:jc w:val="left"/>
        <w:rPr>
          <w:rFonts w:hint="eastAsia" w:ascii="仿宋" w:hAnsi="仿宋" w:eastAsia="仿宋" w:cs="仿宋"/>
          <w:sz w:val="28"/>
          <w:szCs w:val="28"/>
        </w:rPr>
      </w:pPr>
      <w:r>
        <w:rPr>
          <w:rFonts w:hint="eastAsia" w:ascii="仿宋" w:hAnsi="仿宋" w:eastAsia="仿宋" w:cs="仿宋"/>
          <w:sz w:val="28"/>
          <w:szCs w:val="28"/>
        </w:rPr>
        <w:t>如对报告有异议，请自签收报告之日起10日内向我公司书面提出</w:t>
      </w:r>
      <w:r>
        <w:rPr>
          <w:rFonts w:hint="eastAsia" w:ascii="仿宋" w:hAnsi="仿宋" w:eastAsia="仿宋" w:cs="仿宋"/>
          <w:sz w:val="28"/>
          <w:szCs w:val="28"/>
          <w:lang w:eastAsia="zh-CN"/>
        </w:rPr>
        <w:t>。</w:t>
      </w:r>
      <w:r>
        <w:rPr>
          <w:rFonts w:hint="eastAsia" w:ascii="仿宋" w:hAnsi="仿宋" w:eastAsia="仿宋" w:cs="仿宋"/>
          <w:sz w:val="28"/>
          <w:szCs w:val="28"/>
        </w:rPr>
        <w:t xml:space="preserve">报告使用人在使用本报告之前必须对报告全文，特别是“估价的假设和限制条件”认真阅读，以免使用不当，造成损失！         </w:t>
      </w:r>
    </w:p>
    <w:p>
      <w:pPr>
        <w:widowControl w:val="0"/>
        <w:spacing w:line="568" w:lineRule="atLeast"/>
        <w:ind w:left="0" w:leftChars="0" w:firstLine="521" w:firstLineChars="202"/>
        <w:jc w:val="center"/>
        <w:rPr>
          <w:rFonts w:hint="eastAsia" w:ascii="仿宋" w:hAnsi="仿宋" w:eastAsia="仿宋" w:cs="仿宋"/>
          <w:sz w:val="28"/>
          <w:szCs w:val="28"/>
        </w:rPr>
      </w:pPr>
    </w:p>
    <w:p>
      <w:pPr>
        <w:widowControl w:val="0"/>
        <w:spacing w:line="568" w:lineRule="atLeast"/>
        <w:ind w:left="0" w:leftChars="0" w:firstLine="521" w:firstLineChars="202"/>
        <w:jc w:val="center"/>
        <w:rPr>
          <w:rFonts w:hint="eastAsia" w:ascii="仿宋" w:hAnsi="仿宋" w:eastAsia="仿宋" w:cs="仿宋"/>
          <w:sz w:val="28"/>
          <w:szCs w:val="28"/>
        </w:rPr>
      </w:pPr>
    </w:p>
    <w:p>
      <w:pPr>
        <w:widowControl w:val="0"/>
        <w:spacing w:line="568" w:lineRule="atLeast"/>
        <w:ind w:left="0" w:leftChars="0" w:firstLine="0" w:firstLineChars="0"/>
        <w:jc w:val="both"/>
        <w:rPr>
          <w:rFonts w:hint="eastAsia" w:ascii="仿宋" w:hAnsi="仿宋" w:eastAsia="仿宋" w:cs="仿宋"/>
          <w:sz w:val="28"/>
          <w:szCs w:val="28"/>
        </w:rPr>
      </w:pPr>
    </w:p>
    <w:p>
      <w:pPr>
        <w:widowControl w:val="0"/>
        <w:spacing w:line="568" w:lineRule="atLeast"/>
        <w:ind w:left="0" w:leftChars="0" w:firstLine="782" w:firstLineChars="303"/>
        <w:jc w:val="center"/>
        <w:rPr>
          <w:rFonts w:hint="eastAsia" w:ascii="仿宋" w:hAnsi="仿宋" w:eastAsia="仿宋" w:cs="仿宋"/>
          <w:sz w:val="28"/>
          <w:szCs w:val="28"/>
        </w:rPr>
      </w:pPr>
      <w:r>
        <w:rPr>
          <w:rFonts w:hint="eastAsia" w:ascii="仿宋" w:hAnsi="仿宋" w:eastAsia="仿宋" w:cs="仿宋"/>
          <w:sz w:val="28"/>
          <w:szCs w:val="28"/>
        </w:rPr>
        <w:t>法定代表人</w:t>
      </w:r>
      <w:r>
        <w:rPr>
          <w:rFonts w:hint="eastAsia" w:ascii="仿宋" w:hAnsi="仿宋" w:eastAsia="仿宋" w:cs="仿宋"/>
          <w:sz w:val="28"/>
          <w:szCs w:val="28"/>
          <w:lang w:eastAsia="zh-CN"/>
        </w:rPr>
        <w:t>（</w:t>
      </w:r>
      <w:r>
        <w:rPr>
          <w:rFonts w:hint="eastAsia" w:ascii="仿宋" w:hAnsi="仿宋" w:eastAsia="仿宋" w:cs="仿宋"/>
          <w:sz w:val="28"/>
          <w:szCs w:val="28"/>
        </w:rPr>
        <w:t>签字</w:t>
      </w:r>
      <w:r>
        <w:rPr>
          <w:rFonts w:hint="eastAsia" w:ascii="仿宋" w:hAnsi="仿宋" w:eastAsia="仿宋" w:cs="仿宋"/>
          <w:sz w:val="28"/>
          <w:szCs w:val="28"/>
          <w:lang w:eastAsia="zh-CN"/>
        </w:rPr>
        <w:t>或</w:t>
      </w:r>
      <w:r>
        <w:rPr>
          <w:rFonts w:hint="eastAsia" w:ascii="仿宋" w:hAnsi="仿宋" w:eastAsia="仿宋" w:cs="仿宋"/>
          <w:sz w:val="28"/>
          <w:szCs w:val="28"/>
        </w:rPr>
        <w:t>盖章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widowControl w:val="0"/>
        <w:spacing w:line="568" w:lineRule="atLeast"/>
        <w:ind w:left="0" w:leftChars="0" w:firstLine="782" w:firstLineChars="303"/>
        <w:jc w:val="center"/>
        <w:rPr>
          <w:rFonts w:hint="eastAsia" w:ascii="仿宋" w:hAnsi="仿宋" w:eastAsia="仿宋" w:cs="仿宋"/>
          <w:sz w:val="28"/>
          <w:szCs w:val="28"/>
        </w:rPr>
      </w:pPr>
      <w:r>
        <w:rPr>
          <w:rFonts w:hint="eastAsia" w:ascii="仿宋" w:hAnsi="仿宋" w:eastAsia="仿宋" w:cs="仿宋"/>
          <w:sz w:val="28"/>
          <w:szCs w:val="28"/>
        </w:rPr>
        <w:t xml:space="preserve">                               </w:t>
      </w:r>
    </w:p>
    <w:p>
      <w:pPr>
        <w:widowControl w:val="0"/>
        <w:spacing w:line="568" w:lineRule="atLeast"/>
        <w:ind w:left="0" w:leftChars="0" w:firstLine="782" w:firstLineChars="303"/>
        <w:jc w:val="right"/>
        <w:rPr>
          <w:rFonts w:hint="eastAsia" w:ascii="仿宋" w:hAnsi="仿宋" w:eastAsia="仿宋" w:cs="仿宋"/>
          <w:sz w:val="28"/>
          <w:szCs w:val="28"/>
        </w:rPr>
      </w:pPr>
    </w:p>
    <w:p>
      <w:pPr>
        <w:widowControl w:val="0"/>
        <w:spacing w:line="568" w:lineRule="atLeast"/>
        <w:ind w:left="0" w:leftChars="0" w:firstLine="782" w:firstLineChars="303"/>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聊城市中衡房地产评估有限公司</w:t>
      </w:r>
    </w:p>
    <w:p>
      <w:pPr>
        <w:widowControl w:val="0"/>
        <w:spacing w:line="568" w:lineRule="atLeast"/>
        <w:ind w:left="0" w:leftChars="0" w:firstLine="782" w:firstLineChars="303"/>
        <w:jc w:val="center"/>
        <w:rPr>
          <w:rFonts w:hint="eastAsia" w:ascii="仿宋" w:hAnsi="仿宋" w:eastAsia="仿宋" w:cs="仿宋"/>
          <w:spacing w:val="12"/>
          <w:sz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二○一八年十一月三十日</w:t>
      </w:r>
    </w:p>
    <w:p>
      <w:pPr>
        <w:pStyle w:val="11"/>
        <w:tabs>
          <w:tab w:val="right" w:leader="dot" w:pos="9212"/>
        </w:tabs>
        <w:jc w:val="center"/>
        <w:rPr>
          <w:rFonts w:hint="eastAsia" w:ascii="仿宋" w:hAnsi="仿宋" w:eastAsia="仿宋" w:cs="仿宋"/>
          <w:b/>
          <w:bCs w:val="0"/>
          <w:sz w:val="48"/>
          <w:szCs w:val="48"/>
          <w:lang w:val="en-US" w:eastAsia="zh-CN"/>
        </w:rPr>
      </w:pPr>
      <w:r>
        <w:rPr>
          <w:rFonts w:hint="eastAsia" w:ascii="仿宋" w:hAnsi="仿宋" w:eastAsia="仿宋" w:cs="仿宋"/>
          <w:b/>
          <w:bCs w:val="0"/>
          <w:sz w:val="48"/>
          <w:szCs w:val="48"/>
          <w:lang w:val="en-US" w:eastAsia="zh-CN"/>
        </w:rPr>
        <w:t>目录</w:t>
      </w:r>
    </w:p>
    <w:p>
      <w:pPr>
        <w:pStyle w:val="11"/>
        <w:keepNext w:val="0"/>
        <w:keepLines w:val="0"/>
        <w:pageBreakBefore w:val="0"/>
        <w:widowControl/>
        <w:tabs>
          <w:tab w:val="right" w:leader="dot" w:pos="9212"/>
        </w:tabs>
        <w:kinsoku/>
        <w:wordWrap/>
        <w:overflowPunct/>
        <w:topLinePunct w:val="0"/>
        <w:autoSpaceDE/>
        <w:autoSpaceDN/>
        <w:bidi w:val="0"/>
        <w:adjustRightInd/>
        <w:snapToGrid/>
        <w:spacing w:line="240" w:lineRule="auto"/>
        <w:ind w:firstLine="596"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TOC \o "1-3" \h \z \u </w:instrText>
      </w:r>
      <w:r>
        <w:rPr>
          <w:rFonts w:hint="eastAsia" w:ascii="仿宋" w:hAnsi="仿宋" w:eastAsia="仿宋" w:cs="仿宋"/>
          <w:b w:val="0"/>
          <w:bCs/>
          <w:sz w:val="32"/>
          <w:szCs w:val="32"/>
        </w:rPr>
        <w:fldChar w:fldCharType="separate"/>
      </w:r>
      <w:r>
        <w:rPr>
          <w:rFonts w:hint="eastAsia" w:ascii="仿宋" w:hAnsi="仿宋" w:eastAsia="仿宋" w:cs="仿宋"/>
          <w:b/>
          <w:bCs w:val="0"/>
          <w:sz w:val="28"/>
          <w:szCs w:val="28"/>
        </w:rPr>
        <w:fldChar w:fldCharType="begin"/>
      </w:r>
      <w:r>
        <w:rPr>
          <w:rFonts w:hint="eastAsia" w:ascii="仿宋" w:hAnsi="仿宋" w:eastAsia="仿宋" w:cs="仿宋"/>
          <w:b/>
          <w:bCs w:val="0"/>
          <w:sz w:val="28"/>
          <w:szCs w:val="28"/>
        </w:rPr>
        <w:instrText xml:space="preserve"> HYPERLINK \l _Toc15506 </w:instrText>
      </w:r>
      <w:r>
        <w:rPr>
          <w:rFonts w:hint="eastAsia" w:ascii="仿宋" w:hAnsi="仿宋" w:eastAsia="仿宋" w:cs="仿宋"/>
          <w:b/>
          <w:bCs w:val="0"/>
          <w:sz w:val="28"/>
          <w:szCs w:val="28"/>
        </w:rPr>
        <w:fldChar w:fldCharType="separate"/>
      </w:r>
      <w:r>
        <w:rPr>
          <w:rFonts w:hint="eastAsia" w:ascii="仿宋" w:hAnsi="仿宋" w:eastAsia="仿宋" w:cs="仿宋"/>
          <w:b/>
          <w:bCs w:val="0"/>
          <w:sz w:val="28"/>
          <w:szCs w:val="28"/>
          <w:lang w:eastAsia="zh-CN"/>
        </w:rPr>
        <w:t>注册</w:t>
      </w:r>
      <w:r>
        <w:rPr>
          <w:rFonts w:hint="eastAsia" w:ascii="仿宋" w:hAnsi="仿宋" w:eastAsia="仿宋" w:cs="仿宋"/>
          <w:b/>
          <w:bCs w:val="0"/>
          <w:sz w:val="28"/>
          <w:szCs w:val="28"/>
        </w:rPr>
        <w:t>房地产估价师声明</w:t>
      </w:r>
      <w:r>
        <w:rPr>
          <w:rFonts w:hint="eastAsia" w:ascii="仿宋" w:hAnsi="仿宋" w:eastAsia="仿宋" w:cs="仿宋"/>
          <w:b/>
          <w:bCs w:val="0"/>
          <w:sz w:val="28"/>
          <w:szCs w:val="28"/>
        </w:rPr>
        <w:tab/>
      </w:r>
      <w:r>
        <w:rPr>
          <w:rFonts w:hint="eastAsia" w:ascii="仿宋" w:hAnsi="仿宋" w:eastAsia="仿宋" w:cs="仿宋"/>
          <w:b/>
          <w:bCs w:val="0"/>
          <w:sz w:val="28"/>
          <w:szCs w:val="28"/>
        </w:rPr>
        <w:fldChar w:fldCharType="begin"/>
      </w:r>
      <w:r>
        <w:rPr>
          <w:rFonts w:hint="eastAsia" w:ascii="仿宋" w:hAnsi="仿宋" w:eastAsia="仿宋" w:cs="仿宋"/>
          <w:b/>
          <w:bCs w:val="0"/>
          <w:sz w:val="28"/>
          <w:szCs w:val="28"/>
        </w:rPr>
        <w:instrText xml:space="preserve"> PAGEREF _Toc15506 </w:instrText>
      </w:r>
      <w:r>
        <w:rPr>
          <w:rFonts w:hint="eastAsia" w:ascii="仿宋" w:hAnsi="仿宋" w:eastAsia="仿宋" w:cs="仿宋"/>
          <w:b/>
          <w:bCs w:val="0"/>
          <w:sz w:val="28"/>
          <w:szCs w:val="28"/>
        </w:rPr>
        <w:fldChar w:fldCharType="separate"/>
      </w:r>
      <w:r>
        <w:rPr>
          <w:rFonts w:hint="eastAsia" w:ascii="仿宋" w:hAnsi="仿宋" w:eastAsia="仿宋" w:cs="仿宋"/>
          <w:b/>
          <w:bCs w:val="0"/>
          <w:sz w:val="28"/>
          <w:szCs w:val="28"/>
        </w:rPr>
        <w:t>5</w:t>
      </w:r>
      <w:r>
        <w:rPr>
          <w:rFonts w:hint="eastAsia" w:ascii="仿宋" w:hAnsi="仿宋" w:eastAsia="仿宋" w:cs="仿宋"/>
          <w:b/>
          <w:bCs w:val="0"/>
          <w:sz w:val="28"/>
          <w:szCs w:val="28"/>
        </w:rPr>
        <w:fldChar w:fldCharType="end"/>
      </w:r>
      <w:r>
        <w:rPr>
          <w:rFonts w:hint="eastAsia" w:ascii="仿宋" w:hAnsi="仿宋" w:eastAsia="仿宋" w:cs="仿宋"/>
          <w:b/>
          <w:bCs w:val="0"/>
          <w:sz w:val="28"/>
          <w:szCs w:val="28"/>
        </w:rPr>
        <w:fldChar w:fldCharType="end"/>
      </w:r>
    </w:p>
    <w:p>
      <w:pPr>
        <w:pStyle w:val="11"/>
        <w:tabs>
          <w:tab w:val="right" w:leader="dot" w:pos="9212"/>
        </w:tabs>
        <w:spacing w:line="240" w:lineRule="auto"/>
        <w:ind w:left="0" w:leftChars="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_Toc15838 </w:instrText>
      </w:r>
      <w:r>
        <w:rPr>
          <w:rFonts w:hint="eastAsia" w:ascii="仿宋" w:hAnsi="仿宋" w:eastAsia="仿宋" w:cs="仿宋"/>
          <w:b w:val="0"/>
          <w:bCs/>
          <w:sz w:val="28"/>
          <w:szCs w:val="28"/>
        </w:rPr>
        <w:fldChar w:fldCharType="separate"/>
      </w:r>
      <w:r>
        <w:rPr>
          <w:rFonts w:hint="eastAsia" w:ascii="仿宋" w:hAnsi="仿宋" w:eastAsia="仿宋" w:cs="仿宋"/>
          <w:b/>
          <w:bCs w:val="0"/>
          <w:sz w:val="28"/>
          <w:szCs w:val="28"/>
        </w:rPr>
        <w:t>估价假设和限制条件</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_Toc15838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6</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_Toc18448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（一）、估价假设</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_Toc18448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6</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_Toc29674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（二）、估价报告使用限制</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_Toc29674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7</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_Toc29437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（三）、需要说明的其他事项</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_Toc29437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7</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1"/>
        <w:tabs>
          <w:tab w:val="right" w:leader="dot" w:pos="9212"/>
        </w:tabs>
        <w:spacing w:line="240" w:lineRule="auto"/>
        <w:ind w:left="0" w:leftChars="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_Toc2064 </w:instrText>
      </w:r>
      <w:r>
        <w:rPr>
          <w:rFonts w:hint="eastAsia" w:ascii="仿宋" w:hAnsi="仿宋" w:eastAsia="仿宋" w:cs="仿宋"/>
          <w:b w:val="0"/>
          <w:bCs/>
          <w:sz w:val="28"/>
          <w:szCs w:val="28"/>
        </w:rPr>
        <w:fldChar w:fldCharType="separate"/>
      </w:r>
      <w:r>
        <w:rPr>
          <w:rFonts w:hint="eastAsia" w:ascii="仿宋" w:hAnsi="仿宋" w:eastAsia="仿宋" w:cs="仿宋"/>
          <w:b/>
          <w:bCs w:val="0"/>
          <w:sz w:val="28"/>
          <w:szCs w:val="28"/>
        </w:rPr>
        <w:t>估价结果报告</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_Toc2064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9</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_Toc863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一、估价委托人：</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_Toc863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9</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_Toc19853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二、估价机构：</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_Toc19853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9</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_Toc14244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三、估价目的：</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_Toc14244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9</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_Toc26796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四、估价对象：</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_Toc26796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9</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_Toc27673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五、价值时点：</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_Toc27673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10</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_Toc12532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六、价值类型：</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_Toc12532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10</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_Toc31982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七、估价原则：</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_Toc31982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10</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_Toc29069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八、估价依据：</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_Toc29069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11</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_Toc20860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九、估价方法：</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_Toc20860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11</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_Toc25076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十、估价结果 ：</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_Toc25076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13</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_Toc8882 </w:instrText>
      </w:r>
      <w:r>
        <w:rPr>
          <w:rFonts w:hint="eastAsia" w:ascii="仿宋" w:hAnsi="仿宋" w:eastAsia="仿宋" w:cs="仿宋"/>
          <w:b w:val="0"/>
          <w:bCs/>
          <w:sz w:val="28"/>
          <w:szCs w:val="28"/>
        </w:rPr>
        <w:fldChar w:fldCharType="separate"/>
      </w:r>
      <w:r>
        <w:rPr>
          <w:rFonts w:hint="eastAsia" w:ascii="仿宋" w:hAnsi="仿宋" w:eastAsia="仿宋" w:cs="仿宋"/>
          <w:b w:val="0"/>
          <w:bCs/>
          <w:spacing w:val="14"/>
          <w:sz w:val="28"/>
          <w:szCs w:val="28"/>
        </w:rPr>
        <w:t>十一、</w:t>
      </w:r>
      <w:r>
        <w:rPr>
          <w:rFonts w:hint="eastAsia" w:ascii="仿宋" w:hAnsi="仿宋" w:eastAsia="仿宋" w:cs="仿宋"/>
          <w:b w:val="0"/>
          <w:bCs/>
          <w:sz w:val="28"/>
          <w:szCs w:val="28"/>
        </w:rPr>
        <w:t>注册房地产估价师</w:t>
      </w:r>
      <w:r>
        <w:rPr>
          <w:rFonts w:hint="eastAsia" w:ascii="仿宋" w:hAnsi="仿宋" w:eastAsia="仿宋" w:cs="仿宋"/>
          <w:b w:val="0"/>
          <w:bCs/>
          <w:sz w:val="28"/>
          <w:szCs w:val="28"/>
        </w:rPr>
        <w:tab/>
      </w:r>
      <w:r>
        <w:rPr>
          <w:rFonts w:hint="eastAsia" w:ascii="仿宋" w:hAnsi="仿宋" w:eastAsia="仿宋" w:cs="仿宋"/>
          <w:b w:val="0"/>
          <w:bCs/>
          <w:sz w:val="28"/>
          <w:szCs w:val="28"/>
          <w:lang w:val="en-US" w:eastAsia="zh-CN"/>
        </w:rPr>
        <w:t>1</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lang w:val="en-US" w:eastAsia="zh-CN"/>
        </w:rPr>
        <w:t>0</w:t>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_Toc16699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lang w:eastAsia="zh-CN"/>
        </w:rPr>
        <w:t>十二、</w:t>
      </w:r>
      <w:r>
        <w:rPr>
          <w:rFonts w:hint="eastAsia" w:ascii="仿宋" w:hAnsi="仿宋" w:eastAsia="仿宋" w:cs="仿宋"/>
          <w:b w:val="0"/>
          <w:bCs/>
          <w:sz w:val="28"/>
          <w:szCs w:val="28"/>
        </w:rPr>
        <w:t>实地查勘期</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_Toc16699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14</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4"/>
        <w:tabs>
          <w:tab w:val="right" w:leader="dot" w:pos="9212"/>
        </w:tabs>
        <w:spacing w:line="240" w:lineRule="auto"/>
        <w:ind w:left="356" w:leftChars="200" w:firstLine="516" w:firstLineChars="200"/>
        <w:jc w:val="both"/>
        <w:rPr>
          <w:rFonts w:hint="eastAsia" w:ascii="仿宋" w:hAnsi="仿宋" w:eastAsia="仿宋" w:cs="仿宋"/>
          <w:b w:val="0"/>
          <w:bCs/>
          <w:sz w:val="28"/>
          <w:szCs w:val="28"/>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_Toc24004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十三、估价作业期：</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_Toc24004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14</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pStyle w:val="11"/>
        <w:tabs>
          <w:tab w:val="right" w:leader="dot" w:pos="9212"/>
        </w:tabs>
        <w:spacing w:line="240" w:lineRule="auto"/>
        <w:ind w:left="0" w:leftChars="0" w:firstLine="516" w:firstLineChars="200"/>
        <w:jc w:val="both"/>
        <w:rPr>
          <w:rFonts w:hint="eastAsia" w:ascii="仿宋" w:hAnsi="仿宋" w:eastAsia="仿宋" w:cs="仿宋"/>
          <w:b w:val="0"/>
          <w:bCs/>
          <w:sz w:val="32"/>
          <w:szCs w:val="32"/>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_Toc4203 </w:instrText>
      </w:r>
      <w:r>
        <w:rPr>
          <w:rFonts w:hint="eastAsia" w:ascii="仿宋" w:hAnsi="仿宋" w:eastAsia="仿宋" w:cs="仿宋"/>
          <w:b w:val="0"/>
          <w:bCs/>
          <w:sz w:val="28"/>
          <w:szCs w:val="28"/>
        </w:rPr>
        <w:fldChar w:fldCharType="separate"/>
      </w:r>
      <w:r>
        <w:rPr>
          <w:rFonts w:hint="eastAsia" w:ascii="仿宋" w:hAnsi="仿宋" w:eastAsia="仿宋" w:cs="仿宋"/>
          <w:b/>
          <w:bCs w:val="0"/>
          <w:sz w:val="28"/>
          <w:szCs w:val="28"/>
          <w:lang w:val="en-US" w:eastAsia="zh-CN"/>
        </w:rPr>
        <w:t>附页</w:t>
      </w:r>
      <w:r>
        <w:rPr>
          <w:rFonts w:hint="eastAsia" w:ascii="仿宋" w:hAnsi="仿宋" w:eastAsia="仿宋" w:cs="仿宋"/>
          <w:b w:val="0"/>
          <w:bCs/>
          <w:sz w:val="28"/>
          <w:szCs w:val="28"/>
        </w:rPr>
        <w:tab/>
      </w: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PAGEREF _Toc4203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15</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rPr>
        <w:fldChar w:fldCharType="end"/>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sz w:val="32"/>
          <w:szCs w:val="32"/>
        </w:rPr>
        <w:fldChar w:fldCharType="end"/>
      </w:r>
      <w:r>
        <w:rPr>
          <w:rFonts w:hint="eastAsia" w:ascii="仿宋" w:hAnsi="仿宋" w:eastAsia="仿宋" w:cs="仿宋"/>
          <w:b w:val="0"/>
          <w:bCs w:val="0"/>
          <w:sz w:val="24"/>
          <w:szCs w:val="24"/>
          <w:lang w:val="en-US" w:eastAsia="zh-CN"/>
        </w:rPr>
        <w:t>1.估价对象位置示意图</w:t>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2.估价对象内外部照片</w:t>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3.山东省聊城市中级人民法院司法询价委托函（2018）鲁15执223号复印件</w:t>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4.估价机构营业执照复印件</w:t>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5.估价资质复印件</w:t>
      </w:r>
    </w:p>
    <w:p>
      <w:pPr>
        <w:keepNext w:val="0"/>
        <w:keepLines w:val="0"/>
        <w:pageBreakBefore w:val="0"/>
        <w:widowControl w:val="0"/>
        <w:kinsoku/>
        <w:wordWrap/>
        <w:overflowPunct/>
        <w:topLinePunct w:val="0"/>
        <w:autoSpaceDE/>
        <w:autoSpaceDN/>
        <w:bidi w:val="0"/>
        <w:adjustRightInd/>
        <w:snapToGrid/>
        <w:spacing w:line="288" w:lineRule="auto"/>
        <w:ind w:left="8" w:leftChars="0" w:firstLine="532" w:firstLineChars="0"/>
        <w:jc w:val="left"/>
        <w:textAlignment w:val="auto"/>
        <w:outlineLvl w:val="9"/>
        <w:rPr>
          <w:rFonts w:hint="eastAsia" w:eastAsia="宋体"/>
          <w:lang w:eastAsia="zh-CN"/>
        </w:rPr>
        <w:sectPr>
          <w:headerReference r:id="rId3" w:type="default"/>
          <w:footerReference r:id="rId4" w:type="default"/>
          <w:pgSz w:w="11906" w:h="16838"/>
          <w:pgMar w:top="1418" w:right="1134" w:bottom="1418" w:left="993" w:header="851" w:footer="828" w:gutter="567"/>
          <w:pgBorders>
            <w:top w:val="none" w:sz="0" w:space="0"/>
            <w:left w:val="none" w:sz="0" w:space="0"/>
            <w:bottom w:val="none" w:sz="0" w:space="0"/>
            <w:right w:val="none" w:sz="0" w:space="0"/>
          </w:pgBorders>
          <w:pgNumType w:fmt="decimal" w:start="1"/>
          <w:cols w:space="720" w:num="1"/>
          <w:titlePg/>
          <w:docGrid w:type="linesAndChars" w:linePitch="388" w:charSpace="-4574"/>
        </w:sectPr>
      </w:pPr>
      <w:r>
        <w:rPr>
          <w:rFonts w:hint="eastAsia" w:ascii="仿宋" w:hAnsi="仿宋" w:eastAsia="仿宋" w:cs="仿宋"/>
          <w:b w:val="0"/>
          <w:bCs w:val="0"/>
          <w:sz w:val="24"/>
          <w:szCs w:val="24"/>
          <w:lang w:val="en-US" w:eastAsia="zh-CN"/>
        </w:rPr>
        <w:t>6.估价师执业证书复印件</w:t>
      </w:r>
    </w:p>
    <w:p>
      <w:pPr>
        <w:pStyle w:val="2"/>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rPr>
      </w:pPr>
      <w:bookmarkStart w:id="0" w:name="_Toc15506"/>
      <w:r>
        <w:rPr>
          <w:rFonts w:hint="eastAsia"/>
          <w:lang w:eastAsia="zh-CN"/>
        </w:rPr>
        <w:t>注册</w:t>
      </w:r>
      <w:r>
        <w:rPr>
          <w:rFonts w:hint="eastAsia"/>
        </w:rPr>
        <w:t>房地产估价师声明</w:t>
      </w:r>
      <w:bookmarkEnd w:id="0"/>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仿宋" w:hAnsi="仿宋" w:eastAsia="仿宋" w:cs="仿宋"/>
          <w:b/>
          <w:spacing w:val="23"/>
          <w:sz w:val="28"/>
          <w:szCs w:val="28"/>
          <w:u w:val="single"/>
        </w:rPr>
      </w:pP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我们根据自己的专业知识和职业道德，在此郑重声明：</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jc w:val="left"/>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1、我们在本估价报告中陈述的事实是真实的和准确的，没有虚假记载，误导性陈述和重大纰漏。</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jc w:val="left"/>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2、本估价报告中的分析、意见和结论是我们自己独立、客观、公正的专业分析、意见和结论，但受本估价报告中已说明的假设和限制条件的限制。</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jc w:val="left"/>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3、我们与本估价报告中的估价对象没有现实或潜在的利益，与估价委托人及估价利害关系人没有利害关系，也对估价对象、估价委托人及估价利害关系人没有偏见。</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4、我们依照《中华人民共和国</w:t>
      </w:r>
      <w:r>
        <w:rPr>
          <w:rFonts w:hint="eastAsia" w:ascii="仿宋" w:hAnsi="仿宋" w:eastAsia="仿宋" w:cs="仿宋"/>
          <w:spacing w:val="14"/>
          <w:sz w:val="28"/>
          <w:szCs w:val="28"/>
          <w:lang w:eastAsia="zh-CN"/>
        </w:rPr>
        <w:t>资产评估法</w:t>
      </w:r>
      <w:r>
        <w:rPr>
          <w:rFonts w:hint="eastAsia" w:ascii="仿宋" w:hAnsi="仿宋" w:eastAsia="仿宋" w:cs="仿宋"/>
          <w:spacing w:val="14"/>
          <w:sz w:val="28"/>
          <w:szCs w:val="28"/>
        </w:rPr>
        <w:t>》、中华人民共和国国家标准GB/T50291-</w:t>
      </w:r>
      <w:r>
        <w:rPr>
          <w:rFonts w:hint="eastAsia" w:ascii="仿宋" w:hAnsi="仿宋" w:eastAsia="仿宋" w:cs="仿宋"/>
          <w:spacing w:val="14"/>
          <w:sz w:val="28"/>
          <w:szCs w:val="28"/>
          <w:lang w:eastAsia="zh-CN"/>
        </w:rPr>
        <w:t>2011</w:t>
      </w:r>
      <w:r>
        <w:rPr>
          <w:rFonts w:hint="eastAsia" w:ascii="仿宋" w:hAnsi="仿宋" w:eastAsia="仿宋" w:cs="仿宋"/>
          <w:spacing w:val="14"/>
          <w:sz w:val="28"/>
          <w:szCs w:val="28"/>
        </w:rPr>
        <w:t>《房地产估价规范》、中华人民共和国国家标准GB/T50899-2013《房地产估价基本术语标准》进行分析，形成意见和结论，撰写本估价报告。</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5、本估价报告依据了委托方提供的相关资料，委托方对资料的真实性负责。因资料失实造成估价结果有误的，估价机构和估价人员不承担相应的责任。</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6、 注册房地产估价师</w:t>
      </w:r>
      <w:r>
        <w:rPr>
          <w:rFonts w:hint="eastAsia" w:ascii="仿宋" w:hAnsi="仿宋" w:eastAsia="仿宋" w:cs="仿宋"/>
          <w:spacing w:val="14"/>
          <w:sz w:val="28"/>
          <w:szCs w:val="28"/>
          <w:lang w:eastAsia="zh-CN"/>
        </w:rPr>
        <w:t>刘洪林</w:t>
      </w:r>
      <w:r>
        <w:rPr>
          <w:rFonts w:hint="eastAsia" w:ascii="仿宋" w:hAnsi="仿宋" w:eastAsia="仿宋" w:cs="仿宋"/>
          <w:spacing w:val="14"/>
          <w:sz w:val="28"/>
          <w:szCs w:val="28"/>
        </w:rPr>
        <w:t>、刘莹莹已于价值时点对本估价报告中的估价对象进行了实地查勘并进行记录,注册房地产估价师只对估价对象房屋进行一般性查看，未接受进行结构、设施品质的检测要求，不能确定该建筑物是否存在质量缺陷或安全隐患等方面的问题。</w:t>
      </w:r>
    </w:p>
    <w:p>
      <w:pPr>
        <w:keepNext w:val="0"/>
        <w:keepLines w:val="0"/>
        <w:pageBreakBefore w:val="0"/>
        <w:widowControl w:val="0"/>
        <w:kinsoku/>
        <w:wordWrap/>
        <w:overflowPunct/>
        <w:topLinePunct w:val="0"/>
        <w:autoSpaceDE/>
        <w:autoSpaceDN/>
        <w:bidi w:val="0"/>
        <w:adjustRightInd/>
        <w:snapToGrid/>
        <w:spacing w:line="288" w:lineRule="auto"/>
        <w:ind w:left="0" w:leftChars="0" w:firstLine="397" w:firstLineChars="129"/>
        <w:textAlignment w:val="auto"/>
        <w:outlineLvl w:val="9"/>
        <w:rPr>
          <w:rFonts w:hint="eastAsia" w:ascii="仿宋" w:hAnsi="仿宋" w:eastAsia="仿宋" w:cs="仿宋"/>
          <w:spacing w:val="14"/>
          <w:sz w:val="28"/>
          <w:szCs w:val="28"/>
        </w:rPr>
      </w:pPr>
      <w:r>
        <w:rPr>
          <w:rFonts w:hint="eastAsia" w:ascii="仿宋" w:hAnsi="仿宋" w:eastAsia="仿宋" w:cs="仿宋"/>
          <w:spacing w:val="14"/>
          <w:sz w:val="28"/>
          <w:szCs w:val="28"/>
        </w:rPr>
        <w:t>7、没有人对本估价报告提供重要专业帮助。</w:t>
      </w:r>
    </w:p>
    <w:tbl>
      <w:tblPr>
        <w:tblStyle w:val="17"/>
        <w:tblpPr w:leftFromText="180" w:rightFromText="180" w:vertAnchor="text" w:horzAnchor="page" w:tblpX="1594" w:tblpY="638"/>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668"/>
        <w:gridCol w:w="2474"/>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姓名</w:t>
            </w:r>
          </w:p>
        </w:tc>
        <w:tc>
          <w:tcPr>
            <w:tcW w:w="266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注册号</w:t>
            </w:r>
          </w:p>
        </w:tc>
        <w:tc>
          <w:tcPr>
            <w:tcW w:w="247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签字</w:t>
            </w:r>
          </w:p>
        </w:tc>
        <w:tc>
          <w:tcPr>
            <w:tcW w:w="245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刘洪林</w:t>
            </w:r>
          </w:p>
        </w:tc>
        <w:tc>
          <w:tcPr>
            <w:tcW w:w="266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val="en-US" w:eastAsia="zh-CN"/>
              </w:rPr>
            </w:pPr>
            <w:r>
              <w:rPr>
                <w:rFonts w:hint="eastAsia" w:ascii="仿宋" w:hAnsi="仿宋" w:eastAsia="仿宋" w:cs="仿宋"/>
                <w:spacing w:val="13"/>
                <w:sz w:val="24"/>
                <w:szCs w:val="24"/>
                <w:lang w:val="en-US" w:eastAsia="zh-CN"/>
              </w:rPr>
              <w:t>3720160221</w:t>
            </w:r>
          </w:p>
        </w:tc>
        <w:tc>
          <w:tcPr>
            <w:tcW w:w="247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834"/>
              <w:jc w:val="center"/>
              <w:textAlignment w:val="auto"/>
              <w:rPr>
                <w:rFonts w:hint="eastAsia" w:ascii="仿宋" w:hAnsi="仿宋" w:eastAsia="仿宋" w:cs="仿宋"/>
                <w:spacing w:val="13"/>
                <w:sz w:val="24"/>
                <w:szCs w:val="24"/>
              </w:rPr>
            </w:pPr>
          </w:p>
        </w:tc>
        <w:tc>
          <w:tcPr>
            <w:tcW w:w="245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val="en-US" w:eastAsia="zh-CN"/>
              </w:rPr>
              <w:t>2018年11月30日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eastAsia="zh-CN"/>
              </w:rPr>
              <w:t>刘莹莹</w:t>
            </w:r>
          </w:p>
        </w:tc>
        <w:tc>
          <w:tcPr>
            <w:tcW w:w="266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val="en-US" w:eastAsia="zh-CN"/>
              </w:rPr>
            </w:pPr>
            <w:r>
              <w:rPr>
                <w:rFonts w:hint="eastAsia" w:ascii="仿宋" w:hAnsi="仿宋" w:eastAsia="仿宋" w:cs="仿宋"/>
                <w:spacing w:val="13"/>
                <w:sz w:val="24"/>
                <w:szCs w:val="24"/>
                <w:lang w:val="en-US" w:eastAsia="zh-CN"/>
              </w:rPr>
              <w:t>3720160126</w:t>
            </w:r>
          </w:p>
        </w:tc>
        <w:tc>
          <w:tcPr>
            <w:tcW w:w="247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834"/>
              <w:jc w:val="center"/>
              <w:textAlignment w:val="auto"/>
              <w:rPr>
                <w:rFonts w:hint="eastAsia" w:ascii="仿宋" w:hAnsi="仿宋" w:eastAsia="仿宋" w:cs="仿宋"/>
                <w:spacing w:val="13"/>
                <w:sz w:val="24"/>
                <w:szCs w:val="24"/>
              </w:rPr>
            </w:pPr>
          </w:p>
        </w:tc>
        <w:tc>
          <w:tcPr>
            <w:tcW w:w="2454"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rPr>
                <w:rFonts w:hint="eastAsia" w:ascii="仿宋" w:hAnsi="仿宋" w:eastAsia="仿宋" w:cs="仿宋"/>
                <w:spacing w:val="13"/>
                <w:sz w:val="24"/>
                <w:szCs w:val="24"/>
                <w:lang w:eastAsia="zh-CN"/>
              </w:rPr>
            </w:pPr>
            <w:r>
              <w:rPr>
                <w:rFonts w:hint="eastAsia" w:ascii="仿宋" w:hAnsi="仿宋" w:eastAsia="仿宋" w:cs="仿宋"/>
                <w:spacing w:val="13"/>
                <w:sz w:val="24"/>
                <w:szCs w:val="24"/>
                <w:lang w:val="en-US" w:eastAsia="zh-CN"/>
              </w:rPr>
              <w:t>2018年11月30日</w:t>
            </w:r>
          </w:p>
        </w:tc>
      </w:tr>
    </w:tbl>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b/>
          <w:spacing w:val="14"/>
          <w:sz w:val="28"/>
          <w:szCs w:val="28"/>
        </w:rPr>
      </w:pPr>
      <w:r>
        <w:rPr>
          <w:rFonts w:hint="eastAsia" w:ascii="仿宋" w:hAnsi="仿宋" w:eastAsia="仿宋" w:cs="仿宋"/>
          <w:b/>
          <w:spacing w:val="14"/>
          <w:sz w:val="28"/>
          <w:szCs w:val="28"/>
        </w:rPr>
        <w:t>注册房地产估价师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 w:name="_Toc15838"/>
      <w:r>
        <w:rPr>
          <w:rFonts w:hint="eastAsia"/>
        </w:rPr>
        <w:t>估价假设和限制条件</w:t>
      </w:r>
      <w:bookmarkEnd w:id="1"/>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2" w:name="_Toc18448"/>
      <w:bookmarkStart w:id="3" w:name="_Toc278702604"/>
      <w:bookmarkStart w:id="4" w:name="_Toc279155552"/>
      <w:r>
        <w:rPr>
          <w:rFonts w:hint="eastAsia"/>
        </w:rPr>
        <w:t>（一）、估价假设</w:t>
      </w:r>
      <w:bookmarkEnd w:id="2"/>
      <w:bookmarkEnd w:id="3"/>
      <w:bookmarkEnd w:id="4"/>
    </w:p>
    <w:p>
      <w:pPr>
        <w:keepNext w:val="0"/>
        <w:keepLines w:val="0"/>
        <w:pageBreakBefore w:val="0"/>
        <w:widowControl w:val="0"/>
        <w:kinsoku/>
        <w:wordWrap/>
        <w:overflowPunct/>
        <w:topLinePunct w:val="0"/>
        <w:autoSpaceDE/>
        <w:autoSpaceDN/>
        <w:bidi w:val="0"/>
        <w:adjustRightInd/>
        <w:snapToGrid/>
        <w:spacing w:line="288" w:lineRule="auto"/>
        <w:ind w:firstLine="593" w:firstLineChars="212"/>
        <w:jc w:val="left"/>
        <w:textAlignment w:val="auto"/>
        <w:rPr>
          <w:rFonts w:hint="eastAsia" w:ascii="仿宋" w:hAnsi="仿宋" w:eastAsia="仿宋" w:cs="仿宋"/>
          <w:sz w:val="28"/>
          <w:szCs w:val="28"/>
        </w:rPr>
      </w:pPr>
      <w:r>
        <w:rPr>
          <w:rFonts w:hint="eastAsia" w:ascii="仿宋" w:hAnsi="仿宋" w:eastAsia="仿宋" w:cs="仿宋"/>
          <w:sz w:val="28"/>
          <w:szCs w:val="28"/>
        </w:rPr>
        <w:t>1、一般假设</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本次估价所依据的估价对象的权属、面积、用途等资料由估价委托人提供，我们对估价委托人提供的资料进行了检查，在无理由怀疑其合法性、真实性、准确性和完整性且未予以核实的情况下：假设委托人提供的估价对象有关证件资料是真实有效的，估价对象应缴纳的各种税费，已按国家、省、市法律、法规、规章缴纳完毕，并取得相应的产权依据和法律保护；假设估价对象权益完整，不存在任何产权纠纷和他项权利，亦不存在司法和行政机关依法裁决查封和其他限制该估价对象权利的情形，至价值时点，估价对象不存在相关的债权债务情况，可在公开市场上自由转让。</w:t>
      </w:r>
    </w:p>
    <w:p>
      <w:pPr>
        <w:keepNext w:val="0"/>
        <w:keepLines w:val="0"/>
        <w:pageBreakBefore w:val="0"/>
        <w:widowControl w:val="0"/>
        <w:kinsoku/>
        <w:wordWrap/>
        <w:overflowPunct/>
        <w:topLinePunct w:val="0"/>
        <w:autoSpaceDE/>
        <w:autoSpaceDN/>
        <w:bidi w:val="0"/>
        <w:adjustRightInd/>
        <w:snapToGrid/>
        <w:spacing w:line="288" w:lineRule="auto"/>
        <w:ind w:firstLine="593" w:firstLineChars="212"/>
        <w:jc w:val="left"/>
        <w:textAlignment w:val="auto"/>
        <w:rPr>
          <w:rFonts w:hint="eastAsia" w:ascii="仿宋" w:hAnsi="仿宋" w:eastAsia="仿宋" w:cs="仿宋"/>
          <w:sz w:val="28"/>
          <w:szCs w:val="28"/>
        </w:rPr>
      </w:pPr>
      <w:r>
        <w:rPr>
          <w:rFonts w:hint="eastAsia" w:ascii="仿宋" w:hAnsi="仿宋" w:eastAsia="仿宋" w:cs="仿宋"/>
          <w:sz w:val="28"/>
          <w:szCs w:val="28"/>
        </w:rPr>
        <w:t>（2）我们对房屋安全、环境污染等影响估价对象价值或价格的重大因素给予了关注，在无理由怀疑估价对象存在安全隐患且无相应的专业机构进行鉴定、检测的情况下，假设估价对象不存在基础、结构等难以直观体现的内在质量问题及安全隐患，外观体现即为估价对象真实状况；假设没有对估价对象价值或价格造成影响的环境污染。</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（3）假设交易双方具有完全市场信息，有一段合理的洽谈时间，可以通盘考虑房地产性质和市场情形进行议价。不存在特殊买家的附加出价情况。</w:t>
      </w:r>
    </w:p>
    <w:p>
      <w:pPr>
        <w:keepNext w:val="0"/>
        <w:keepLines w:val="0"/>
        <w:pageBreakBefore w:val="0"/>
        <w:widowControl w:val="0"/>
        <w:kinsoku/>
        <w:wordWrap/>
        <w:overflowPunct/>
        <w:topLinePunct w:val="0"/>
        <w:autoSpaceDE/>
        <w:autoSpaceDN/>
        <w:bidi w:val="0"/>
        <w:adjustRightInd/>
        <w:snapToGrid/>
        <w:spacing w:line="288" w:lineRule="auto"/>
        <w:ind w:firstLine="570"/>
        <w:jc w:val="left"/>
        <w:textAlignment w:val="auto"/>
        <w:rPr>
          <w:rFonts w:hint="eastAsia" w:ascii="仿宋" w:hAnsi="仿宋" w:eastAsia="仿宋" w:cs="仿宋"/>
          <w:sz w:val="28"/>
          <w:szCs w:val="28"/>
        </w:rPr>
      </w:pPr>
      <w:r>
        <w:rPr>
          <w:rFonts w:hint="eastAsia" w:ascii="仿宋" w:hAnsi="仿宋" w:eastAsia="仿宋" w:cs="仿宋"/>
          <w:sz w:val="28"/>
          <w:szCs w:val="28"/>
        </w:rPr>
        <w:t>2、未定事项假设</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（1）假设估价对象土地用途、容积率、绿化率等符合规划条件。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（2）假设在估价期间国家宏观政策不发生重大变化，无自然灾害等不可抗力及其他不可预见性状况对房地产价值产生影响。</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（3）假设估价对象证载用途符合最高最佳使用要求，在估价对象法定存续期内不改变用途且能持续正常使用。</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（4）假设在价值时点的房地产市场为公开、公平、自愿的交易市场，市场供应关系、市场结构保持稳定，不存在过度的投机行为或其他因素导致房地产市场价格的大幅度起伏。</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rPr>
        <w:t>3、背离事实假设</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rPr>
        <w:t>无背离事实假设。</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rPr>
        <w:t>4、依据不足假设</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无</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rPr>
        <w:t>5、不相一致假设</w:t>
      </w:r>
    </w:p>
    <w:p>
      <w:pPr>
        <w:keepNext w:val="0"/>
        <w:keepLines w:val="0"/>
        <w:pageBreakBefore w:val="0"/>
        <w:widowControl w:val="0"/>
        <w:kinsoku/>
        <w:wordWrap/>
        <w:overflowPunct/>
        <w:topLinePunct w:val="0"/>
        <w:autoSpaceDE/>
        <w:autoSpaceDN/>
        <w:bidi w:val="0"/>
        <w:adjustRightInd/>
        <w:snapToGrid/>
        <w:spacing w:line="288" w:lineRule="auto"/>
        <w:ind w:firstLine="700" w:firstLineChars="250"/>
        <w:jc w:val="left"/>
        <w:textAlignment w:val="auto"/>
        <w:rPr>
          <w:rFonts w:hint="eastAsia" w:ascii="仿宋" w:hAnsi="仿宋" w:eastAsia="仿宋" w:cs="仿宋"/>
          <w:sz w:val="28"/>
          <w:szCs w:val="28"/>
        </w:rPr>
      </w:pPr>
      <w:r>
        <w:rPr>
          <w:rFonts w:hint="eastAsia" w:ascii="仿宋" w:hAnsi="仿宋" w:eastAsia="仿宋" w:cs="仿宋"/>
          <w:sz w:val="28"/>
          <w:szCs w:val="28"/>
        </w:rPr>
        <w:t>无不相一致假设。</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5" w:name="_Toc29674"/>
      <w:r>
        <w:rPr>
          <w:rFonts w:hint="eastAsia"/>
        </w:rPr>
        <w:t>（二）、估价报告使用限制</w:t>
      </w:r>
      <w:bookmarkEnd w:id="5"/>
    </w:p>
    <w:p>
      <w:pPr>
        <w:keepNext w:val="0"/>
        <w:keepLines w:val="0"/>
        <w:pageBreakBefore w:val="0"/>
        <w:widowControl w:val="0"/>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（1）本估价报告的使用必须以估价对象的合法使用、合法处分为前提，任何有关估价对象的运作方式、程序符合国家、地方的相关法律法规。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    （2）本报告估价结果是根据本次估价目的，于价值时点对估价对象在保持现有状态下做出的，仅为估价报告使用者依法处置该估价对象提供价格参考依据而评估其市场价值，如改变估价目的或用于其他用途，须另行评估。</w:t>
      </w:r>
    </w:p>
    <w:p>
      <w:pPr>
        <w:keepNext w:val="0"/>
        <w:keepLines w:val="0"/>
        <w:pageBreakBefore w:val="0"/>
        <w:widowControl w:val="0"/>
        <w:kinsoku/>
        <w:wordWrap/>
        <w:overflowPunct/>
        <w:topLinePunct w:val="0"/>
        <w:autoSpaceDE/>
        <w:autoSpaceDN/>
        <w:bidi w:val="0"/>
        <w:adjustRightInd/>
        <w:snapToGrid/>
        <w:spacing w:line="288"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本估价报告有效期，根据《房地产估价规范》的要求，确定为自估价报告出具之日起一年内有效，如在有效期内国家经济形势、城市规划、房地产税费政策、金融政策等发生重大变化，导致房地产市场严重波动，或估价对象本身发生重大变化，对估价结果产生明显影响时，委托人应及时聘请房地产评估机构对估价结果做出相应调整直至重新评估。</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（4）估价报告须经估价机构加盖公章并由估价师签字盖章后方为有效，提供给委托人的估价结果报告为一整体，不可分割使用，因使用不当造成的损失，估价方不承担责任。</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6" w:name="_Toc29437"/>
      <w:r>
        <w:rPr>
          <w:rFonts w:hint="eastAsia"/>
        </w:rPr>
        <w:t>（三）、需要说明的其他事项</w:t>
      </w:r>
      <w:bookmarkEnd w:id="6"/>
    </w:p>
    <w:p>
      <w:pPr>
        <w:keepNext w:val="0"/>
        <w:keepLines w:val="0"/>
        <w:pageBreakBefore w:val="0"/>
        <w:widowControl w:val="0"/>
        <w:kinsoku/>
        <w:wordWrap/>
        <w:overflowPunct/>
        <w:topLinePunct w:val="0"/>
        <w:autoSpaceDE/>
        <w:autoSpaceDN/>
        <w:bidi w:val="0"/>
        <w:adjustRightInd/>
        <w:snapToGrid/>
        <w:spacing w:line="288" w:lineRule="auto"/>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（1）若发现本报告内文字或数字因校印或其他原因出现错误时，请委托人及时通知本公司进行更正，否则，报告误差部分及影响部分视为无效。</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（2）本估价报告依据了委托人提供的相关资料，委托人对资料的真实性负责。因资料失实造成估价结果有误的，估价机构和估价人员不承担相应的责任。</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（3）本报告确定的房地产价格为在假设公开市场条件下的模拟市场价格，不能替代市场定价，本报告所提供的分析和数据仅作为价格意见而不能视作任何价格保证。</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（4）本报告只限用于在估价对象现状、估价目的、价值时点及满足全部假设与限制条件下的价值。</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（5）本估价报告分为估价结果报告和估价技术报告两种形式，根据协议估价结果报告供委托人使用，估价技术报告只供评估报告审核单位使用及估价机构存档备案。</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（6）本报告不可作为任何形式的产权证明文件。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（7）未经我公司授权或许可，估价报告的全部或部分内容不得发表于任何公开媒体上，估价报告的相关资料亦不得在任何公开发表的文件、通告或声明中引用。本报告的最终解释权归本公司所有。</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r>
        <w:rPr>
          <w:rFonts w:hint="eastAsia" w:ascii="仿宋" w:hAnsi="仿宋" w:eastAsia="仿宋" w:cs="仿宋"/>
          <w:sz w:val="28"/>
          <w:szCs w:val="28"/>
        </w:rPr>
        <w:t>（8）本次估价未考虑房地产过户所应缴纳的各种税费和特殊交易方式对评估结论的影响，提请报告使用者注意。</w:t>
      </w:r>
    </w:p>
    <w:p>
      <w:pPr>
        <w:keepNext w:val="0"/>
        <w:keepLines w:val="0"/>
        <w:pageBreakBefore w:val="0"/>
        <w:widowControl w:val="0"/>
        <w:kinsoku/>
        <w:wordWrap/>
        <w:overflowPunct/>
        <w:topLinePunct w:val="0"/>
        <w:autoSpaceDE/>
        <w:autoSpaceDN/>
        <w:bidi w:val="0"/>
        <w:adjustRightInd/>
        <w:snapToGrid/>
        <w:spacing w:line="288" w:lineRule="auto"/>
        <w:ind w:firstLine="420" w:firstLineChars="150"/>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both"/>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both"/>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both"/>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聊城市中衡房地产评估有限公司</w:t>
      </w:r>
    </w:p>
    <w:p>
      <w:pPr>
        <w:keepNext w:val="0"/>
        <w:keepLines w:val="0"/>
        <w:pageBreakBefore w:val="0"/>
        <w:widowControl w:val="0"/>
        <w:kinsoku/>
        <w:wordWrap/>
        <w:overflowPunct/>
        <w:topLinePunct w:val="0"/>
        <w:autoSpaceDE/>
        <w:autoSpaceDN/>
        <w:bidi w:val="0"/>
        <w:adjustRightInd/>
        <w:snapToGrid/>
        <w:spacing w:line="288" w:lineRule="auto"/>
        <w:ind w:firstLine="834"/>
        <w:jc w:val="center"/>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rPr>
        <w:t xml:space="preserve">                        </w:t>
      </w:r>
      <w:r>
        <w:rPr>
          <w:rFonts w:hint="eastAsia" w:ascii="仿宋" w:hAnsi="仿宋" w:eastAsia="仿宋" w:cs="仿宋"/>
          <w:spacing w:val="14"/>
          <w:sz w:val="28"/>
          <w:szCs w:val="28"/>
          <w:lang w:eastAsia="zh-CN"/>
        </w:rPr>
        <w:t>二○一八年十一月三十日</w:t>
      </w:r>
    </w:p>
    <w:p>
      <w:pPr>
        <w:pStyle w:val="2"/>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b/>
          <w:bCs/>
          <w:u w:val="singl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u w:val="singl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u w:val="singl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u w:val="singl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u w:val="singl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7" w:name="_Toc2064"/>
      <w:r>
        <w:rPr>
          <w:rFonts w:hint="eastAsia"/>
        </w:rPr>
        <w:t>估价结果报告</w:t>
      </w:r>
      <w:bookmarkEnd w:id="7"/>
    </w:p>
    <w:p>
      <w:pPr>
        <w:pStyle w:val="3"/>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hint="eastAsia"/>
        </w:rPr>
      </w:pPr>
      <w:bookmarkStart w:id="8" w:name="_Toc863"/>
      <w:r>
        <w:rPr>
          <w:rFonts w:hint="eastAsia"/>
        </w:rPr>
        <w:t>估价委托人：</w:t>
      </w:r>
      <w:bookmarkEnd w:id="8"/>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山东产权交易中心有限公司</w:t>
      </w:r>
      <w:r>
        <w:rPr>
          <w:rFonts w:hint="eastAsia" w:ascii="仿宋" w:hAnsi="仿宋" w:eastAsia="仿宋" w:cs="仿宋"/>
          <w:sz w:val="28"/>
          <w:szCs w:val="28"/>
        </w:rPr>
        <w:t xml:space="preserve">     </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9" w:name="_Toc19853"/>
      <w:r>
        <w:rPr>
          <w:rFonts w:hint="eastAsia"/>
        </w:rPr>
        <w:t>二、估价机构：</w:t>
      </w:r>
      <w:bookmarkEnd w:id="9"/>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聊城市中衡房地产评估有限公司</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法 定 代 表 人：刘振霞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估价资质等级：贰级</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资质证书编号：鲁评152002</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住        所：聊城市聚源巷2号</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0" w:name="_Toc14244"/>
      <w:r>
        <w:rPr>
          <w:rFonts w:hint="eastAsia"/>
        </w:rPr>
        <w:t>三、估价目的：</w:t>
      </w:r>
      <w:bookmarkEnd w:id="10"/>
    </w:p>
    <w:p>
      <w:pPr>
        <w:widowControl w:val="0"/>
        <w:spacing w:line="568" w:lineRule="atLeast"/>
        <w:ind w:left="0" w:leftChars="0" w:firstLine="1122" w:firstLineChars="401"/>
        <w:jc w:val="left"/>
        <w:rPr>
          <w:rFonts w:hint="eastAsia" w:ascii="仿宋" w:hAnsi="仿宋" w:eastAsia="仿宋" w:cs="仿宋"/>
          <w:spacing w:val="14"/>
          <w:sz w:val="28"/>
          <w:szCs w:val="28"/>
        </w:rPr>
      </w:pPr>
      <w:r>
        <w:rPr>
          <w:rFonts w:hint="eastAsia" w:ascii="仿宋" w:hAnsi="仿宋" w:eastAsia="仿宋" w:cs="仿宋"/>
          <w:sz w:val="28"/>
          <w:szCs w:val="28"/>
        </w:rPr>
        <w:t>为委托方依法处置该估价对象提供价值参考而评估该房地产的市场价值。</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1" w:name="_Toc26796"/>
      <w:r>
        <w:rPr>
          <w:rFonts w:hint="eastAsia"/>
        </w:rPr>
        <w:t>四、估价对象：</w:t>
      </w:r>
      <w:bookmarkEnd w:id="11"/>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（一）估价对象实物状况描述与分析</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pacing w:val="14"/>
          <w:sz w:val="28"/>
          <w:szCs w:val="28"/>
        </w:rPr>
      </w:pPr>
      <w:r>
        <w:rPr>
          <w:rFonts w:hint="eastAsia" w:ascii="仿宋" w:hAnsi="仿宋" w:eastAsia="仿宋" w:cs="仿宋"/>
          <w:sz w:val="28"/>
          <w:szCs w:val="28"/>
        </w:rPr>
        <w:t>估价对象位于</w:t>
      </w:r>
      <w:r>
        <w:rPr>
          <w:rFonts w:hint="eastAsia" w:ascii="仿宋" w:hAnsi="仿宋" w:eastAsia="仿宋" w:cs="仿宋"/>
          <w:sz w:val="28"/>
          <w:szCs w:val="28"/>
          <w:lang w:eastAsia="zh-CN"/>
        </w:rPr>
        <w:t>东昌府区阳光花园小区第</w:t>
      </w:r>
      <w:r>
        <w:rPr>
          <w:rFonts w:hint="eastAsia" w:ascii="仿宋" w:hAnsi="仿宋" w:eastAsia="仿宋" w:cs="仿宋"/>
          <w:sz w:val="28"/>
          <w:szCs w:val="28"/>
          <w:lang w:val="en-US" w:eastAsia="zh-CN"/>
        </w:rPr>
        <w:t>13幢1单元131室、1单元东3#储藏室、1单元东1#车库（房屋建筑面积：149.07平方米，储藏室建筑面积：12.14平方米，车库建筑面积：25.75平方米）</w:t>
      </w:r>
      <w:r>
        <w:rPr>
          <w:rFonts w:hint="eastAsia" w:ascii="仿宋" w:hAnsi="仿宋" w:eastAsia="仿宋" w:cs="仿宋"/>
          <w:sz w:val="28"/>
          <w:szCs w:val="28"/>
        </w:rPr>
        <w:t>，</w:t>
      </w:r>
      <w:r>
        <w:rPr>
          <w:rFonts w:hint="eastAsia" w:ascii="仿宋" w:hAnsi="仿宋" w:eastAsia="仿宋" w:cs="仿宋"/>
          <w:sz w:val="28"/>
          <w:szCs w:val="28"/>
          <w:lang w:eastAsia="zh-CN"/>
        </w:rPr>
        <w:t>地块四面临小区道路。</w:t>
      </w:r>
      <w:r>
        <w:rPr>
          <w:rFonts w:hint="eastAsia" w:ascii="仿宋" w:hAnsi="仿宋" w:eastAsia="仿宋" w:cs="仿宋"/>
          <w:spacing w:val="14"/>
          <w:sz w:val="28"/>
          <w:szCs w:val="28"/>
          <w:lang w:eastAsia="zh-CN"/>
        </w:rPr>
        <w:t>住宅</w:t>
      </w:r>
      <w:r>
        <w:rPr>
          <w:rFonts w:hint="eastAsia" w:ascii="仿宋" w:hAnsi="仿宋" w:eastAsia="仿宋" w:cs="仿宋"/>
          <w:sz w:val="28"/>
          <w:szCs w:val="28"/>
        </w:rPr>
        <w:t>层次</w:t>
      </w:r>
      <w:r>
        <w:rPr>
          <w:rFonts w:hint="eastAsia" w:ascii="仿宋" w:hAnsi="仿宋" w:eastAsia="仿宋" w:cs="仿宋"/>
          <w:sz w:val="28"/>
          <w:szCs w:val="28"/>
          <w:lang w:val="en-US" w:eastAsia="zh-CN"/>
        </w:rPr>
        <w:t>3/6</w:t>
      </w:r>
      <w:r>
        <w:rPr>
          <w:rFonts w:hint="eastAsia" w:ascii="仿宋" w:hAnsi="仿宋" w:eastAsia="仿宋" w:cs="仿宋"/>
          <w:sz w:val="28"/>
          <w:szCs w:val="28"/>
        </w:rPr>
        <w:t>，</w:t>
      </w:r>
      <w:r>
        <w:rPr>
          <w:rFonts w:hint="eastAsia" w:ascii="仿宋" w:hAnsi="仿宋" w:eastAsia="仿宋" w:cs="仿宋"/>
          <w:sz w:val="28"/>
          <w:szCs w:val="28"/>
          <w:lang w:val="en-US" w:eastAsia="zh-CN"/>
        </w:rPr>
        <w:t xml:space="preserve"> </w:t>
      </w:r>
      <w:r>
        <w:rPr>
          <w:rFonts w:hint="eastAsia" w:ascii="仿宋" w:hAnsi="仿宋" w:eastAsia="仿宋" w:cs="仿宋"/>
          <w:spacing w:val="14"/>
          <w:sz w:val="28"/>
          <w:szCs w:val="28"/>
          <w:lang w:eastAsia="zh-CN"/>
        </w:rPr>
        <w:t>砖混</w:t>
      </w:r>
      <w:r>
        <w:rPr>
          <w:rFonts w:hint="eastAsia" w:ascii="仿宋" w:hAnsi="仿宋" w:eastAsia="仿宋" w:cs="仿宋"/>
          <w:spacing w:val="14"/>
          <w:sz w:val="28"/>
          <w:szCs w:val="28"/>
        </w:rPr>
        <w:t>结构，</w:t>
      </w:r>
      <w:r>
        <w:rPr>
          <w:rFonts w:hint="eastAsia" w:ascii="仿宋" w:hAnsi="仿宋" w:eastAsia="仿宋" w:cs="仿宋"/>
          <w:spacing w:val="14"/>
          <w:sz w:val="28"/>
          <w:szCs w:val="28"/>
          <w:lang w:val="en-US" w:eastAsia="zh-CN"/>
        </w:rPr>
        <w:t>2006</w:t>
      </w:r>
      <w:r>
        <w:rPr>
          <w:rFonts w:hint="eastAsia" w:ascii="仿宋" w:hAnsi="仿宋" w:eastAsia="仿宋" w:cs="仿宋"/>
          <w:spacing w:val="14"/>
          <w:sz w:val="28"/>
          <w:szCs w:val="28"/>
        </w:rPr>
        <w:t>年建成，空间布局合理。用途为</w:t>
      </w:r>
      <w:r>
        <w:rPr>
          <w:rFonts w:hint="eastAsia" w:ascii="仿宋" w:hAnsi="仿宋" w:eastAsia="仿宋" w:cs="仿宋"/>
          <w:spacing w:val="14"/>
          <w:sz w:val="28"/>
          <w:szCs w:val="28"/>
          <w:lang w:eastAsia="zh-CN"/>
        </w:rPr>
        <w:t>住宅</w:t>
      </w:r>
      <w:r>
        <w:rPr>
          <w:rFonts w:hint="eastAsia" w:ascii="仿宋" w:hAnsi="仿宋" w:eastAsia="仿宋" w:cs="仿宋"/>
          <w:spacing w:val="14"/>
          <w:sz w:val="28"/>
          <w:szCs w:val="28"/>
        </w:rPr>
        <w:t>。</w:t>
      </w:r>
      <w:r>
        <w:rPr>
          <w:rFonts w:hint="eastAsia" w:ascii="仿宋" w:hAnsi="仿宋" w:eastAsia="仿宋" w:cs="仿宋"/>
          <w:sz w:val="28"/>
          <w:szCs w:val="28"/>
        </w:rPr>
        <w:t>墙体材料为</w:t>
      </w:r>
      <w:r>
        <w:rPr>
          <w:rFonts w:hint="eastAsia" w:ascii="仿宋" w:hAnsi="仿宋" w:eastAsia="仿宋" w:cs="仿宋"/>
          <w:sz w:val="28"/>
          <w:szCs w:val="28"/>
          <w:lang w:eastAsia="zh-CN"/>
        </w:rPr>
        <w:t>砌体砖</w:t>
      </w:r>
      <w:r>
        <w:rPr>
          <w:rFonts w:hint="eastAsia" w:ascii="仿宋" w:hAnsi="仿宋" w:eastAsia="仿宋" w:cs="仿宋"/>
          <w:sz w:val="28"/>
          <w:szCs w:val="28"/>
        </w:rPr>
        <w:t>，入户防盗门</w:t>
      </w:r>
      <w:r>
        <w:rPr>
          <w:rFonts w:hint="eastAsia" w:ascii="仿宋" w:hAnsi="仿宋" w:eastAsia="仿宋" w:cs="仿宋"/>
          <w:sz w:val="28"/>
          <w:szCs w:val="28"/>
          <w:lang w:val="en-US" w:eastAsia="zh-CN"/>
        </w:rPr>
        <w:t>、</w:t>
      </w:r>
      <w:r>
        <w:rPr>
          <w:rFonts w:hint="eastAsia" w:ascii="仿宋" w:hAnsi="仿宋" w:eastAsia="仿宋" w:cs="仿宋"/>
          <w:sz w:val="28"/>
          <w:szCs w:val="28"/>
        </w:rPr>
        <w:t>外窗为塑钢玻璃推拉窗。</w:t>
      </w:r>
      <w:r>
        <w:rPr>
          <w:rFonts w:hint="eastAsia" w:ascii="仿宋" w:hAnsi="仿宋" w:eastAsia="仿宋" w:cs="仿宋"/>
          <w:spacing w:val="14"/>
          <w:sz w:val="28"/>
          <w:szCs w:val="28"/>
        </w:rPr>
        <w:t>室外：外墙为</w:t>
      </w:r>
      <w:r>
        <w:rPr>
          <w:rFonts w:hint="eastAsia" w:ascii="仿宋" w:hAnsi="仿宋" w:eastAsia="仿宋" w:cs="仿宋"/>
          <w:spacing w:val="14"/>
          <w:sz w:val="28"/>
          <w:szCs w:val="28"/>
          <w:lang w:eastAsia="zh-CN"/>
        </w:rPr>
        <w:t>防水涂料</w:t>
      </w:r>
      <w:r>
        <w:rPr>
          <w:rFonts w:hint="eastAsia" w:ascii="仿宋" w:hAnsi="仿宋" w:eastAsia="仿宋" w:cs="仿宋"/>
          <w:spacing w:val="14"/>
          <w:sz w:val="28"/>
          <w:szCs w:val="28"/>
        </w:rPr>
        <w:t>；</w:t>
      </w:r>
      <w:r>
        <w:rPr>
          <w:rFonts w:hint="eastAsia" w:ascii="仿宋" w:hAnsi="仿宋" w:eastAsia="仿宋" w:cs="仿宋"/>
          <w:spacing w:val="14"/>
          <w:sz w:val="28"/>
          <w:szCs w:val="28"/>
          <w:lang w:val="en-US" w:eastAsia="zh-CN"/>
        </w:rPr>
        <w:t>一</w:t>
      </w:r>
      <w:r>
        <w:rPr>
          <w:rFonts w:hint="eastAsia" w:ascii="仿宋" w:hAnsi="仿宋" w:eastAsia="仿宋" w:cs="仿宋"/>
          <w:spacing w:val="14"/>
          <w:sz w:val="28"/>
          <w:szCs w:val="28"/>
          <w:lang w:eastAsia="zh-CN"/>
        </w:rPr>
        <w:t>梯</w:t>
      </w:r>
      <w:r>
        <w:rPr>
          <w:rFonts w:hint="eastAsia" w:ascii="仿宋" w:hAnsi="仿宋" w:eastAsia="仿宋" w:cs="仿宋"/>
          <w:spacing w:val="14"/>
          <w:sz w:val="28"/>
          <w:szCs w:val="28"/>
          <w:lang w:val="en-US" w:eastAsia="zh-CN"/>
        </w:rPr>
        <w:t>两</w:t>
      </w:r>
      <w:r>
        <w:rPr>
          <w:rFonts w:hint="eastAsia" w:ascii="仿宋" w:hAnsi="仿宋" w:eastAsia="仿宋" w:cs="仿宋"/>
          <w:spacing w:val="14"/>
          <w:sz w:val="28"/>
          <w:szCs w:val="28"/>
          <w:lang w:eastAsia="zh-CN"/>
        </w:rPr>
        <w:t>户，</w:t>
      </w:r>
      <w:r>
        <w:rPr>
          <w:rFonts w:hint="eastAsia" w:ascii="仿宋" w:hAnsi="仿宋" w:eastAsia="仿宋" w:cs="仿宋"/>
          <w:spacing w:val="14"/>
          <w:sz w:val="28"/>
          <w:szCs w:val="28"/>
        </w:rPr>
        <w:t>步梯一部</w:t>
      </w:r>
      <w:r>
        <w:rPr>
          <w:rFonts w:hint="eastAsia" w:ascii="仿宋" w:hAnsi="仿宋" w:eastAsia="仿宋" w:cs="仿宋"/>
          <w:sz w:val="28"/>
          <w:szCs w:val="28"/>
        </w:rPr>
        <w:t>，</w:t>
      </w:r>
      <w:r>
        <w:rPr>
          <w:rFonts w:hint="eastAsia" w:ascii="仿宋" w:hAnsi="仿宋" w:eastAsia="仿宋" w:cs="仿宋"/>
          <w:sz w:val="28"/>
          <w:szCs w:val="28"/>
          <w:lang w:eastAsia="zh-CN"/>
        </w:rPr>
        <w:t>大理石地</w:t>
      </w:r>
      <w:r>
        <w:rPr>
          <w:rFonts w:hint="eastAsia" w:ascii="仿宋" w:hAnsi="仿宋" w:eastAsia="仿宋" w:cs="仿宋"/>
          <w:sz w:val="28"/>
          <w:szCs w:val="28"/>
          <w:lang w:val="en-US" w:eastAsia="zh-CN"/>
        </w:rPr>
        <w:t>面</w:t>
      </w:r>
      <w:r>
        <w:rPr>
          <w:rFonts w:hint="eastAsia" w:ascii="仿宋" w:hAnsi="仿宋" w:eastAsia="仿宋" w:cs="仿宋"/>
          <w:sz w:val="28"/>
          <w:szCs w:val="28"/>
        </w:rPr>
        <w:t>踏步，</w:t>
      </w:r>
      <w:r>
        <w:rPr>
          <w:rFonts w:hint="eastAsia" w:ascii="仿宋" w:hAnsi="仿宋" w:eastAsia="仿宋" w:cs="仿宋"/>
          <w:sz w:val="28"/>
          <w:szCs w:val="28"/>
          <w:lang w:eastAsia="zh-CN"/>
        </w:rPr>
        <w:t>不锈钢</w:t>
      </w:r>
      <w:r>
        <w:rPr>
          <w:rFonts w:hint="eastAsia" w:ascii="仿宋" w:hAnsi="仿宋" w:eastAsia="仿宋" w:cs="仿宋"/>
          <w:sz w:val="28"/>
          <w:szCs w:val="28"/>
        </w:rPr>
        <w:t>扶手，</w:t>
      </w:r>
      <w:r>
        <w:rPr>
          <w:rFonts w:hint="eastAsia" w:ascii="仿宋" w:hAnsi="仿宋" w:eastAsia="仿宋" w:cs="仿宋"/>
          <w:sz w:val="28"/>
          <w:szCs w:val="28"/>
          <w:lang w:eastAsia="zh-CN"/>
        </w:rPr>
        <w:t>不锈钢</w:t>
      </w:r>
      <w:r>
        <w:rPr>
          <w:rFonts w:hint="eastAsia" w:ascii="仿宋" w:hAnsi="仿宋" w:eastAsia="仿宋" w:cs="仿宋"/>
          <w:sz w:val="28"/>
          <w:szCs w:val="28"/>
        </w:rPr>
        <w:t>栏杆，</w:t>
      </w:r>
      <w:r>
        <w:rPr>
          <w:rFonts w:hint="eastAsia" w:ascii="仿宋" w:hAnsi="仿宋" w:eastAsia="仿宋" w:cs="仿宋"/>
          <w:sz w:val="28"/>
          <w:szCs w:val="28"/>
          <w:lang w:eastAsia="zh-CN"/>
        </w:rPr>
        <w:t>室外</w:t>
      </w:r>
      <w:r>
        <w:rPr>
          <w:rFonts w:hint="eastAsia" w:ascii="仿宋" w:hAnsi="仿宋" w:eastAsia="仿宋" w:cs="仿宋"/>
          <w:sz w:val="28"/>
          <w:szCs w:val="28"/>
        </w:rPr>
        <w:t>地面为</w:t>
      </w:r>
      <w:r>
        <w:rPr>
          <w:rFonts w:hint="eastAsia" w:ascii="仿宋" w:hAnsi="仿宋" w:eastAsia="仿宋" w:cs="仿宋"/>
          <w:sz w:val="28"/>
          <w:szCs w:val="28"/>
          <w:lang w:eastAsia="zh-CN"/>
        </w:rPr>
        <w:t>花砖铺地</w:t>
      </w:r>
      <w:r>
        <w:rPr>
          <w:rFonts w:hint="eastAsia" w:ascii="仿宋" w:hAnsi="仿宋" w:eastAsia="仿宋" w:cs="仿宋"/>
          <w:sz w:val="28"/>
          <w:szCs w:val="28"/>
        </w:rPr>
        <w:t>，暗线照明。</w:t>
      </w:r>
      <w:r>
        <w:rPr>
          <w:rFonts w:hint="eastAsia" w:ascii="仿宋" w:hAnsi="仿宋" w:eastAsia="仿宋" w:cs="仿宋"/>
          <w:spacing w:val="14"/>
          <w:sz w:val="28"/>
          <w:szCs w:val="28"/>
        </w:rPr>
        <w:t>该建筑物建筑质量较好，平面布局较为合理。</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pacing w:val="14"/>
          <w:sz w:val="28"/>
          <w:szCs w:val="28"/>
        </w:rPr>
        <w:t>（二）</w:t>
      </w:r>
      <w:r>
        <w:rPr>
          <w:rFonts w:hint="eastAsia" w:ascii="仿宋" w:hAnsi="仿宋" w:eastAsia="仿宋" w:cs="仿宋"/>
          <w:sz w:val="28"/>
          <w:szCs w:val="28"/>
        </w:rPr>
        <w:t>估价对象权益状况描述与分析</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估价对象</w:t>
      </w:r>
      <w:r>
        <w:rPr>
          <w:rFonts w:hint="eastAsia" w:ascii="仿宋" w:hAnsi="仿宋" w:eastAsia="仿宋" w:cs="仿宋"/>
          <w:sz w:val="28"/>
          <w:szCs w:val="28"/>
          <w:lang w:val="en-US" w:eastAsia="zh-CN"/>
        </w:rPr>
        <w:t>所有权人</w:t>
      </w:r>
      <w:r>
        <w:rPr>
          <w:rFonts w:hint="eastAsia" w:ascii="仿宋" w:hAnsi="仿宋" w:eastAsia="仿宋" w:cs="仿宋"/>
          <w:sz w:val="28"/>
          <w:szCs w:val="28"/>
        </w:rPr>
        <w:t>为</w:t>
      </w:r>
      <w:r>
        <w:rPr>
          <w:rFonts w:hint="eastAsia" w:ascii="仿宋" w:hAnsi="仿宋" w:eastAsia="仿宋" w:cs="仿宋"/>
          <w:sz w:val="28"/>
          <w:szCs w:val="28"/>
          <w:lang w:eastAsia="zh-CN"/>
        </w:rPr>
        <w:t>董锁林</w:t>
      </w:r>
      <w:r>
        <w:rPr>
          <w:rFonts w:hint="eastAsia" w:ascii="仿宋" w:hAnsi="仿宋" w:eastAsia="仿宋" w:cs="仿宋"/>
          <w:spacing w:val="14"/>
          <w:sz w:val="28"/>
          <w:szCs w:val="28"/>
        </w:rPr>
        <w:t>，</w:t>
      </w:r>
      <w:r>
        <w:rPr>
          <w:rFonts w:hint="eastAsia" w:ascii="仿宋" w:hAnsi="仿宋" w:eastAsia="仿宋" w:cs="仿宋"/>
          <w:sz w:val="28"/>
          <w:szCs w:val="28"/>
        </w:rPr>
        <w:t>用途为住宅，</w:t>
      </w:r>
      <w:r>
        <w:rPr>
          <w:rFonts w:hint="eastAsia" w:ascii="仿宋" w:hAnsi="仿宋" w:eastAsia="仿宋" w:cs="仿宋"/>
          <w:sz w:val="28"/>
          <w:szCs w:val="28"/>
          <w:lang w:eastAsia="zh-CN"/>
        </w:rPr>
        <w:t>商品房买卖合同编号：</w:t>
      </w:r>
      <w:r>
        <w:rPr>
          <w:rFonts w:hint="eastAsia" w:ascii="仿宋" w:hAnsi="仿宋" w:eastAsia="仿宋" w:cs="仿宋"/>
          <w:sz w:val="28"/>
          <w:szCs w:val="28"/>
          <w:lang w:val="en-US" w:eastAsia="zh-CN"/>
        </w:rPr>
        <w:t>GF-2000-0171</w:t>
      </w:r>
      <w:r>
        <w:rPr>
          <w:rFonts w:hint="eastAsia" w:ascii="仿宋" w:hAnsi="仿宋" w:eastAsia="仿宋" w:cs="仿宋"/>
          <w:sz w:val="28"/>
          <w:szCs w:val="28"/>
        </w:rPr>
        <w:t>，</w:t>
      </w:r>
      <w:r>
        <w:rPr>
          <w:rFonts w:hint="eastAsia" w:ascii="仿宋" w:hAnsi="仿宋" w:eastAsia="仿宋" w:cs="仿宋"/>
          <w:sz w:val="28"/>
          <w:szCs w:val="28"/>
          <w:lang w:val="en-US" w:eastAsia="zh-CN"/>
        </w:rPr>
        <w:t>共有情况：单独所有，</w:t>
      </w:r>
      <w:r>
        <w:rPr>
          <w:rFonts w:hint="eastAsia" w:ascii="仿宋" w:hAnsi="仿宋" w:eastAsia="仿宋" w:cs="仿宋"/>
          <w:sz w:val="28"/>
          <w:szCs w:val="28"/>
        </w:rPr>
        <w:t>房屋性质：商品房，未发现他项权利设立。</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（三）估价对象区位状况描述与分析</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位置：</w:t>
      </w:r>
      <w:r>
        <w:rPr>
          <w:rFonts w:hint="eastAsia" w:ascii="仿宋" w:hAnsi="仿宋" w:eastAsia="仿宋" w:cs="仿宋"/>
          <w:sz w:val="28"/>
          <w:szCs w:val="28"/>
          <w:lang w:eastAsia="zh-CN"/>
        </w:rPr>
        <w:t>东昌府区阳光花园小区第</w:t>
      </w:r>
      <w:r>
        <w:rPr>
          <w:rFonts w:hint="eastAsia" w:ascii="仿宋" w:hAnsi="仿宋" w:eastAsia="仿宋" w:cs="仿宋"/>
          <w:sz w:val="28"/>
          <w:szCs w:val="28"/>
          <w:lang w:val="en-US" w:eastAsia="zh-CN"/>
        </w:rPr>
        <w:t>13幢1单元131室、1单元东3#储藏室、1单元东1#车库（房屋建筑面积为149.07平方米，储藏室建筑面积为12.14平方米，车库建筑面积为25.75平方米）</w:t>
      </w:r>
      <w:r>
        <w:rPr>
          <w:rFonts w:hint="eastAsia" w:ascii="仿宋" w:hAnsi="仿宋" w:eastAsia="仿宋" w:cs="仿宋"/>
          <w:sz w:val="28"/>
          <w:szCs w:val="28"/>
        </w:rPr>
        <w:t>；估价对象所在楼宇总层数为</w:t>
      </w:r>
      <w:r>
        <w:rPr>
          <w:rFonts w:hint="eastAsia" w:ascii="仿宋" w:hAnsi="仿宋" w:eastAsia="仿宋" w:cs="仿宋"/>
          <w:sz w:val="28"/>
          <w:szCs w:val="28"/>
          <w:lang w:val="en-US" w:eastAsia="zh-CN"/>
        </w:rPr>
        <w:t>6</w:t>
      </w:r>
      <w:r>
        <w:rPr>
          <w:rFonts w:hint="eastAsia" w:ascii="仿宋" w:hAnsi="仿宋" w:eastAsia="仿宋" w:cs="仿宋"/>
          <w:sz w:val="28"/>
          <w:szCs w:val="28"/>
        </w:rPr>
        <w:t>层，估价对象</w:t>
      </w:r>
      <w:r>
        <w:rPr>
          <w:rFonts w:hint="eastAsia" w:ascii="仿宋" w:hAnsi="仿宋" w:eastAsia="仿宋" w:cs="仿宋"/>
          <w:sz w:val="28"/>
          <w:szCs w:val="28"/>
          <w:lang w:eastAsia="zh-CN"/>
        </w:rPr>
        <w:t>住宅</w:t>
      </w:r>
      <w:r>
        <w:rPr>
          <w:rFonts w:hint="eastAsia" w:ascii="仿宋" w:hAnsi="仿宋" w:eastAsia="仿宋" w:cs="仿宋"/>
          <w:sz w:val="28"/>
          <w:szCs w:val="28"/>
        </w:rPr>
        <w:t>位于</w:t>
      </w:r>
      <w:r>
        <w:rPr>
          <w:rFonts w:hint="eastAsia" w:ascii="仿宋" w:hAnsi="仿宋" w:eastAsia="仿宋" w:cs="仿宋"/>
          <w:sz w:val="28"/>
          <w:szCs w:val="28"/>
          <w:lang w:val="en-US" w:eastAsia="zh-CN"/>
        </w:rPr>
        <w:t>3</w:t>
      </w:r>
      <w:r>
        <w:rPr>
          <w:rFonts w:hint="eastAsia" w:ascii="仿宋" w:hAnsi="仿宋" w:eastAsia="仿宋" w:cs="仿宋"/>
          <w:sz w:val="28"/>
          <w:szCs w:val="28"/>
        </w:rPr>
        <w:t>层。</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交通：估价对象所在的位置</w:t>
      </w:r>
      <w:r>
        <w:rPr>
          <w:rFonts w:hint="eastAsia" w:ascii="仿宋" w:hAnsi="仿宋" w:eastAsia="仿宋" w:cs="仿宋"/>
          <w:sz w:val="28"/>
          <w:szCs w:val="28"/>
          <w:lang w:eastAsia="zh-CN"/>
        </w:rPr>
        <w:t>西</w:t>
      </w:r>
      <w:r>
        <w:rPr>
          <w:rFonts w:hint="eastAsia" w:ascii="仿宋" w:hAnsi="仿宋" w:eastAsia="仿宋" w:cs="仿宋"/>
          <w:sz w:val="28"/>
          <w:szCs w:val="28"/>
        </w:rPr>
        <w:t>临</w:t>
      </w:r>
      <w:r>
        <w:rPr>
          <w:rFonts w:hint="eastAsia" w:ascii="仿宋" w:hAnsi="仿宋" w:eastAsia="仿宋" w:cs="仿宋"/>
          <w:sz w:val="28"/>
          <w:szCs w:val="28"/>
          <w:lang w:eastAsia="zh-CN"/>
        </w:rPr>
        <w:t>柳园北路</w:t>
      </w:r>
      <w:r>
        <w:rPr>
          <w:rFonts w:hint="eastAsia" w:ascii="仿宋" w:hAnsi="仿宋" w:eastAsia="仿宋" w:cs="仿宋"/>
          <w:sz w:val="28"/>
          <w:szCs w:val="28"/>
          <w:lang w:val="en-US" w:eastAsia="zh-CN"/>
        </w:rPr>
        <w:t>、北临建设路</w:t>
      </w:r>
      <w:r>
        <w:rPr>
          <w:rFonts w:hint="eastAsia" w:ascii="仿宋" w:hAnsi="仿宋" w:eastAsia="仿宋" w:cs="仿宋"/>
          <w:sz w:val="28"/>
          <w:szCs w:val="28"/>
        </w:rPr>
        <w:t>；道路通达性较高；该楼宇院内场地宽阔，停车能满足使用需要。</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 xml:space="preserve">繁华程度：估价对象所处位置人流量较大，商业繁华程度较高。 </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环境：该区域人文环境较好；附近多为商铺住宅。</w:t>
      </w: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z w:val="28"/>
          <w:szCs w:val="28"/>
        </w:rPr>
      </w:pPr>
      <w:r>
        <w:rPr>
          <w:rFonts w:hint="eastAsia" w:ascii="仿宋" w:hAnsi="仿宋" w:eastAsia="仿宋" w:cs="仿宋"/>
          <w:sz w:val="28"/>
          <w:szCs w:val="28"/>
        </w:rPr>
        <w:t>外部配套设施：估价对象区域内外均已实现七通一平，周边有</w:t>
      </w:r>
      <w:r>
        <w:rPr>
          <w:rFonts w:hint="eastAsia" w:ascii="仿宋" w:hAnsi="仿宋" w:eastAsia="仿宋" w:cs="仿宋"/>
          <w:sz w:val="28"/>
          <w:szCs w:val="28"/>
          <w:lang w:val="en-US" w:eastAsia="zh-CN"/>
        </w:rPr>
        <w:t>聊城市汽车总站</w:t>
      </w:r>
      <w:r>
        <w:rPr>
          <w:rFonts w:hint="eastAsia" w:ascii="仿宋" w:hAnsi="仿宋" w:eastAsia="仿宋" w:cs="仿宋"/>
          <w:sz w:val="28"/>
          <w:szCs w:val="28"/>
        </w:rPr>
        <w:t>、</w:t>
      </w:r>
      <w:r>
        <w:rPr>
          <w:rFonts w:hint="eastAsia" w:ascii="仿宋" w:hAnsi="仿宋" w:eastAsia="仿宋" w:cs="仿宋"/>
          <w:sz w:val="28"/>
          <w:szCs w:val="28"/>
          <w:lang w:val="en-US" w:eastAsia="zh-CN"/>
        </w:rPr>
        <w:t>聊城市工业学校、农商银行</w:t>
      </w:r>
      <w:r>
        <w:rPr>
          <w:rFonts w:hint="eastAsia" w:ascii="仿宋" w:hAnsi="仿宋" w:eastAsia="仿宋" w:cs="仿宋"/>
          <w:sz w:val="28"/>
          <w:szCs w:val="28"/>
        </w:rPr>
        <w:t>、</w:t>
      </w:r>
      <w:r>
        <w:rPr>
          <w:rFonts w:hint="eastAsia" w:ascii="仿宋" w:hAnsi="仿宋" w:eastAsia="仿宋" w:cs="仿宋"/>
          <w:sz w:val="28"/>
          <w:szCs w:val="28"/>
          <w:lang w:eastAsia="zh-CN"/>
        </w:rPr>
        <w:t>宾馆、振华</w:t>
      </w:r>
      <w:r>
        <w:rPr>
          <w:rFonts w:hint="eastAsia" w:ascii="仿宋" w:hAnsi="仿宋" w:eastAsia="仿宋" w:cs="仿宋"/>
          <w:sz w:val="28"/>
          <w:szCs w:val="28"/>
        </w:rPr>
        <w:t>超市等，配套设施相对完备</w:t>
      </w:r>
      <w:r>
        <w:rPr>
          <w:rFonts w:hint="eastAsia" w:ascii="仿宋" w:hAnsi="仿宋" w:eastAsia="仿宋" w:cs="仿宋"/>
          <w:sz w:val="28"/>
          <w:szCs w:val="28"/>
          <w:lang w:eastAsia="zh-CN"/>
        </w:rPr>
        <w:t>，</w:t>
      </w:r>
      <w:r>
        <w:rPr>
          <w:rFonts w:hint="eastAsia" w:ascii="仿宋" w:hAnsi="仿宋" w:eastAsia="仿宋" w:cs="仿宋"/>
          <w:sz w:val="28"/>
          <w:szCs w:val="28"/>
        </w:rPr>
        <w:t>基础设施较为完备。</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2" w:name="_Toc27673"/>
      <w:r>
        <w:rPr>
          <w:rFonts w:hint="eastAsia"/>
        </w:rPr>
        <w:t>五、价值时点：</w:t>
      </w:r>
      <w:bookmarkEnd w:id="12"/>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lang w:eastAsia="zh-CN"/>
        </w:rPr>
        <w:t>2018年11月2</w:t>
      </w:r>
      <w:r>
        <w:rPr>
          <w:rFonts w:hint="eastAsia" w:ascii="仿宋" w:hAnsi="仿宋" w:eastAsia="仿宋" w:cs="仿宋"/>
          <w:spacing w:val="14"/>
          <w:sz w:val="28"/>
          <w:szCs w:val="28"/>
          <w:lang w:val="en-US" w:eastAsia="zh-CN"/>
        </w:rPr>
        <w:t>9</w:t>
      </w:r>
      <w:r>
        <w:rPr>
          <w:rFonts w:hint="eastAsia" w:ascii="仿宋" w:hAnsi="仿宋" w:eastAsia="仿宋" w:cs="仿宋"/>
          <w:spacing w:val="14"/>
          <w:sz w:val="28"/>
          <w:szCs w:val="28"/>
          <w:lang w:eastAsia="zh-CN"/>
        </w:rPr>
        <w:t>日（实地查勘之日）</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3" w:name="_Toc12532"/>
      <w:r>
        <w:rPr>
          <w:rFonts w:hint="eastAsia"/>
        </w:rPr>
        <w:t>六、价值类型：</w:t>
      </w:r>
      <w:bookmarkEnd w:id="13"/>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rPr>
          <w:rStyle w:val="19"/>
          <w:rFonts w:hint="eastAsia"/>
        </w:rPr>
      </w:pPr>
      <w:r>
        <w:rPr>
          <w:rFonts w:hint="eastAsia" w:ascii="仿宋" w:hAnsi="仿宋" w:eastAsia="仿宋" w:cs="仿宋"/>
          <w:spacing w:val="14"/>
          <w:sz w:val="28"/>
          <w:szCs w:val="28"/>
        </w:rPr>
        <w:t>本次评估采用市场价值标准，即估价对象经适当营销后，由熟悉情况、谨慎行事且不受强迫的交易双方，以公平交易方式在估价时点自愿进行交易的金额。</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4" w:name="_Toc31982"/>
      <w:r>
        <w:rPr>
          <w:rFonts w:hint="eastAsia"/>
        </w:rPr>
        <w:t>七、估价原则：</w:t>
      </w:r>
      <w:bookmarkEnd w:id="14"/>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本估价报告在遵循独立、客观、公正、合法的原则下，结合估价目的对估价对象进行估价。具体依据如下原则：</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1、独立、客观、公正原则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独立、客观、公正原则要求房地产估价师站在中立的立场上， 评估价值应为对各方利害关系人均是公平合理的价值或价格。</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2、合法原则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合法原则要求房地产估价应以估价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如土地使用权出让合同）等允许的处分方式为依据；在其他方面，如估价除出的价格必须符合国家的价格政策。</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3、最高最佳利用原则</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所谓最高最佳利用是估价对象一种最可能的使用，这种最可能的使用是法律上允许、技术上可能、财务上可行经过充分合理的论证，并能给予估价对象带来最高价值的使用。它的一种具体表现，是以能使估价对象获利最多的用途和开发强度来衡量。这是因为在房地产市场中，每位房地产拥有者在主观上都试图充分的发挥房地产的潜力，采用最高最佳利用方式，取得最大的利益。</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4、价值时点原则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房地产市场是不断变化的，房地产价格具有很强的时间性，它是某一时点上的价格。在不同时点，同一宗房地产往往会有不同的价格。价值时点原则是指求取某一时点上的价格，所以在估价一宗房地产的价格时，必须假定市场停止在价值时点上，同时估价对象房地产的状况通常也是以其在该时点时的状况为准。</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5、替代原则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的。房地产价格也同样遵循替代规律，受其它具有相同使用价值的房地产，即同类型具有替代可能的房地产价格所牵制。换言之，具有相同使用价值、替代可能的房地产之间，会相互影响和竞争，使价格相互牵制而趋于一致。</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5" w:name="_Toc29069"/>
      <w:r>
        <w:rPr>
          <w:rFonts w:hint="eastAsia"/>
        </w:rPr>
        <w:t>八、估价依据：</w:t>
      </w:r>
      <w:bookmarkEnd w:id="15"/>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1、《中华人民共和国城市房地产管理法》 </w:t>
      </w:r>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2、《中华人民共和国土地管理法》</w:t>
      </w:r>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lang w:val="en-US" w:eastAsia="zh-CN"/>
        </w:rPr>
        <w:t>3</w:t>
      </w:r>
      <w:r>
        <w:rPr>
          <w:rFonts w:hint="eastAsia" w:ascii="仿宋" w:hAnsi="仿宋" w:eastAsia="仿宋" w:cs="仿宋"/>
          <w:spacing w:val="14"/>
          <w:sz w:val="28"/>
          <w:szCs w:val="28"/>
        </w:rPr>
        <w:t>、《中华人民共和国</w:t>
      </w:r>
      <w:r>
        <w:rPr>
          <w:rFonts w:hint="eastAsia" w:ascii="仿宋" w:hAnsi="仿宋" w:eastAsia="仿宋" w:cs="仿宋"/>
          <w:spacing w:val="14"/>
          <w:sz w:val="28"/>
          <w:szCs w:val="28"/>
          <w:lang w:eastAsia="zh-CN"/>
        </w:rPr>
        <w:t>资产评估法</w:t>
      </w:r>
      <w:r>
        <w:rPr>
          <w:rFonts w:hint="eastAsia" w:ascii="仿宋" w:hAnsi="仿宋" w:eastAsia="仿宋" w:cs="仿宋"/>
          <w:spacing w:val="14"/>
          <w:sz w:val="28"/>
          <w:szCs w:val="28"/>
        </w:rPr>
        <w:t>》</w:t>
      </w:r>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4、中华人民共和国国家标准：</w:t>
      </w:r>
      <w:r>
        <w:rPr>
          <w:rFonts w:hint="eastAsia" w:ascii="仿宋" w:hAnsi="仿宋" w:eastAsia="仿宋" w:cs="仿宋"/>
          <w:b/>
          <w:spacing w:val="14"/>
          <w:sz w:val="28"/>
          <w:szCs w:val="28"/>
        </w:rPr>
        <w:t>GB/T50291-</w:t>
      </w:r>
      <w:r>
        <w:rPr>
          <w:rFonts w:hint="eastAsia" w:ascii="仿宋" w:hAnsi="仿宋" w:eastAsia="仿宋" w:cs="仿宋"/>
          <w:b/>
          <w:spacing w:val="14"/>
          <w:sz w:val="28"/>
          <w:szCs w:val="28"/>
          <w:lang w:eastAsia="zh-CN"/>
        </w:rPr>
        <w:t>2011</w:t>
      </w:r>
      <w:r>
        <w:rPr>
          <w:rFonts w:hint="eastAsia" w:ascii="仿宋" w:hAnsi="仿宋" w:eastAsia="仿宋" w:cs="仿宋"/>
          <w:spacing w:val="14"/>
          <w:sz w:val="28"/>
          <w:szCs w:val="28"/>
        </w:rPr>
        <w:t xml:space="preserve">《房地产估价规范》 </w:t>
      </w:r>
    </w:p>
    <w:p>
      <w:pPr>
        <w:keepNext w:val="0"/>
        <w:keepLines w:val="0"/>
        <w:pageBreakBefore w:val="0"/>
        <w:widowControl w:val="0"/>
        <w:kinsoku/>
        <w:wordWrap/>
        <w:overflowPunct/>
        <w:topLinePunct w:val="0"/>
        <w:autoSpaceDE/>
        <w:autoSpaceDN/>
        <w:bidi w:val="0"/>
        <w:adjustRightInd/>
        <w:snapToGrid/>
        <w:spacing w:line="288" w:lineRule="auto"/>
        <w:ind w:left="894" w:leftChars="139" w:hanging="616" w:hangingChars="2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5、中华人民共和国国家标准：</w:t>
      </w:r>
      <w:r>
        <w:rPr>
          <w:rFonts w:hint="eastAsia" w:ascii="仿宋" w:hAnsi="仿宋" w:eastAsia="仿宋" w:cs="仿宋"/>
          <w:b/>
          <w:spacing w:val="14"/>
          <w:sz w:val="28"/>
          <w:szCs w:val="28"/>
        </w:rPr>
        <w:t>GB/T50899-2013</w:t>
      </w:r>
      <w:r>
        <w:rPr>
          <w:rFonts w:hint="eastAsia" w:ascii="仿宋" w:hAnsi="仿宋" w:eastAsia="仿宋" w:cs="仿宋"/>
          <w:spacing w:val="14"/>
          <w:sz w:val="28"/>
          <w:szCs w:val="28"/>
        </w:rPr>
        <w:t xml:space="preserve">《房地产估价基本术语标准》 </w:t>
      </w:r>
    </w:p>
    <w:p>
      <w:pPr>
        <w:keepNext w:val="0"/>
        <w:keepLines w:val="0"/>
        <w:pageBreakBefore w:val="0"/>
        <w:widowControl w:val="0"/>
        <w:kinsoku/>
        <w:wordWrap/>
        <w:overflowPunct/>
        <w:topLinePunct w:val="0"/>
        <w:autoSpaceDE/>
        <w:autoSpaceDN/>
        <w:bidi w:val="0"/>
        <w:adjustRightInd/>
        <w:snapToGrid/>
        <w:spacing w:line="288" w:lineRule="auto"/>
        <w:ind w:left="894" w:leftChars="139" w:hanging="616" w:hangingChars="200"/>
        <w:textAlignment w:val="auto"/>
        <w:rPr>
          <w:rFonts w:hint="eastAsia" w:ascii="仿宋" w:hAnsi="仿宋" w:eastAsia="仿宋" w:cs="仿宋"/>
          <w:spacing w:val="14"/>
          <w:sz w:val="28"/>
          <w:szCs w:val="28"/>
          <w:lang w:val="en-US" w:eastAsia="zh-CN"/>
        </w:rPr>
      </w:pPr>
      <w:r>
        <w:rPr>
          <w:rFonts w:hint="eastAsia" w:ascii="仿宋" w:hAnsi="仿宋" w:eastAsia="仿宋" w:cs="仿宋"/>
          <w:spacing w:val="14"/>
          <w:sz w:val="28"/>
          <w:szCs w:val="28"/>
        </w:rPr>
        <w:t xml:space="preserve">6、 </w:t>
      </w:r>
      <w:r>
        <w:rPr>
          <w:rFonts w:hint="eastAsia" w:ascii="仿宋" w:hAnsi="仿宋" w:eastAsia="仿宋" w:cs="仿宋"/>
          <w:spacing w:val="14"/>
          <w:sz w:val="28"/>
          <w:szCs w:val="28"/>
          <w:lang w:val="en-US" w:eastAsia="zh-CN"/>
        </w:rPr>
        <w:t>山东省聊城市中级人民法院司法询价委托函（2018）鲁15执223号复印件</w:t>
      </w:r>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7、估价对象现场查勘记录</w:t>
      </w:r>
    </w:p>
    <w:p>
      <w:pPr>
        <w:keepNext w:val="0"/>
        <w:keepLines w:val="0"/>
        <w:pageBreakBefore w:val="0"/>
        <w:widowControl w:val="0"/>
        <w:kinsoku/>
        <w:wordWrap/>
        <w:overflowPunct/>
        <w:topLinePunct w:val="0"/>
        <w:autoSpaceDE/>
        <w:autoSpaceDN/>
        <w:bidi w:val="0"/>
        <w:adjustRightInd/>
        <w:snapToGrid/>
        <w:spacing w:line="288" w:lineRule="auto"/>
        <w:ind w:left="894" w:leftChars="139" w:hanging="616" w:hangingChars="200"/>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rPr>
        <w:t>8、委托方提供的</w:t>
      </w:r>
      <w:r>
        <w:rPr>
          <w:rFonts w:hint="eastAsia" w:ascii="仿宋" w:hAnsi="仿宋" w:eastAsia="仿宋" w:cs="仿宋"/>
          <w:spacing w:val="14"/>
          <w:sz w:val="28"/>
          <w:szCs w:val="28"/>
          <w:lang w:val="en-US" w:eastAsia="zh-CN"/>
        </w:rPr>
        <w:t>房地产权登记信息</w:t>
      </w:r>
      <w:r>
        <w:rPr>
          <w:rFonts w:hint="eastAsia" w:ascii="仿宋" w:hAnsi="仿宋" w:eastAsia="仿宋" w:cs="仿宋"/>
          <w:spacing w:val="14"/>
          <w:sz w:val="28"/>
          <w:szCs w:val="28"/>
        </w:rPr>
        <w:t>等资料</w:t>
      </w:r>
      <w:r>
        <w:rPr>
          <w:rFonts w:hint="eastAsia" w:ascii="仿宋" w:hAnsi="仿宋" w:eastAsia="仿宋" w:cs="仿宋"/>
          <w:spacing w:val="14"/>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8" w:lineRule="auto"/>
        <w:ind w:firstLine="308" w:firstLineChars="10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9、本估价机构掌握和调查搜集的其他资料</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6" w:name="_Toc20860"/>
      <w:r>
        <w:rPr>
          <w:rFonts w:hint="eastAsia"/>
        </w:rPr>
        <w:t>九、估价方法：</w:t>
      </w:r>
      <w:bookmarkEnd w:id="16"/>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b/>
          <w:spacing w:val="14"/>
          <w:sz w:val="28"/>
          <w:szCs w:val="28"/>
        </w:rPr>
        <w:t xml:space="preserve">  </w:t>
      </w:r>
      <w:r>
        <w:rPr>
          <w:rFonts w:hint="eastAsia" w:ascii="仿宋" w:hAnsi="仿宋" w:eastAsia="仿宋" w:cs="仿宋"/>
          <w:spacing w:val="14"/>
          <w:sz w:val="28"/>
          <w:szCs w:val="28"/>
        </w:rPr>
        <w:t xml:space="preserve">  目前通常使用的估价方法主要有比较法、收益法、成本法、假设开发法。</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（1）估价对象为住宅用房，近期同类类似房地产存在较多交易，可比实例信息量较多，能够充分反映房地产市场情况，适合选用比较法估算估价对象的客观合理价格。</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（2）估价对象为住宅用房，住宅市场也有大量租赁案例，存在潜在收益，根据《房地产估价规范》，收益性房地产的估价，适合选用收益法作为估价方法。</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（3）现实的住宅房地产价格与成本关联性较弱，房地产的开发成本不能够客观、准确反映房地产的合理价格，故不适宜采用成本法作为评估方法。</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（4）估价对象为住宅用房，已建成并投入使用，非待开发建设物业，不产生后续开发成本，根据最佳使用原则，不适合采用假设开发法估算估价对象的客观合理价格。</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    综上所述，</w:t>
      </w:r>
      <w:r>
        <w:rPr>
          <w:rFonts w:hint="eastAsia" w:ascii="仿宋" w:hAnsi="仿宋" w:eastAsia="仿宋" w:cs="仿宋"/>
          <w:spacing w:val="14"/>
          <w:sz w:val="28"/>
          <w:szCs w:val="28"/>
        </w:rPr>
        <w:t>根据GB/T 50291-</w:t>
      </w:r>
      <w:r>
        <w:rPr>
          <w:rFonts w:hint="eastAsia" w:ascii="仿宋" w:hAnsi="仿宋" w:eastAsia="仿宋" w:cs="仿宋"/>
          <w:spacing w:val="14"/>
          <w:sz w:val="28"/>
          <w:szCs w:val="28"/>
          <w:lang w:eastAsia="zh-CN"/>
        </w:rPr>
        <w:t>2011</w:t>
      </w:r>
      <w:r>
        <w:rPr>
          <w:rFonts w:hint="eastAsia" w:ascii="仿宋" w:hAnsi="仿宋" w:eastAsia="仿宋" w:cs="仿宋"/>
          <w:spacing w:val="14"/>
          <w:sz w:val="28"/>
          <w:szCs w:val="28"/>
        </w:rPr>
        <w:t>《房地产估价规范》4.1.3和《中华人民共和国资产评估法》第二十六条，</w:t>
      </w:r>
      <w:r>
        <w:rPr>
          <w:rFonts w:hint="eastAsia" w:ascii="仿宋" w:hAnsi="仿宋" w:eastAsia="仿宋" w:cs="仿宋"/>
          <w:sz w:val="28"/>
          <w:szCs w:val="28"/>
        </w:rPr>
        <w:t>同时结合本次估价背景，考虑方法的适宜性和可操作性，估价人员在认真分析所掌握的资料，进行了实地查勘，结合估价对象的实际情况，并对邻近地段和区域同类性质的房地产市场情况进行调查之后，我们认为适宜采用比较法和收益法进行估价。</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z w:val="28"/>
          <w:szCs w:val="28"/>
        </w:rPr>
      </w:pPr>
      <w:r>
        <w:rPr>
          <w:rFonts w:hint="eastAsia" w:ascii="仿宋" w:hAnsi="仿宋" w:eastAsia="仿宋" w:cs="仿宋"/>
          <w:sz w:val="28"/>
          <w:szCs w:val="28"/>
        </w:rPr>
        <w:t>计算过程说明</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pacing w:val="14"/>
          <w:sz w:val="28"/>
          <w:szCs w:val="28"/>
        </w:rPr>
        <w:t xml:space="preserve">   （1）</w:t>
      </w:r>
      <w:r>
        <w:rPr>
          <w:rFonts w:hint="eastAsia" w:ascii="仿宋" w:hAnsi="仿宋" w:eastAsia="仿宋" w:cs="仿宋"/>
          <w:sz w:val="28"/>
          <w:szCs w:val="28"/>
        </w:rPr>
        <w:t>市场比较法是选取一定数量的可比实例，将它们与估价对象进行比较，根据其间的差异对可比实例成交价格进行处理后得到估价对象价值或价格的方法。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z w:val="28"/>
          <w:szCs w:val="28"/>
        </w:rPr>
        <w:t>比较法计算公式：估价对象比较价值单价</w:t>
      </w:r>
      <w:r>
        <w:rPr>
          <w:rFonts w:hint="eastAsia" w:ascii="仿宋" w:hAnsi="仿宋" w:eastAsia="仿宋" w:cs="仿宋"/>
          <w:spacing w:val="14"/>
          <w:sz w:val="28"/>
          <w:szCs w:val="28"/>
        </w:rPr>
        <w:t>=可比实例成交价格×交易情况修正系数×市场状况调整系数×房地产状况调整系数。</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比较法估价的操作步骤分为以下4个步骤：①从现实房地产市场中收集大量的交易实例，建立交易实例库；②从收集的交易实例中选取一定数量符合一定条件的交易实例，即可比实例；③对可比实例进行换算、修正和调整；④采用平均数计算出一个比较价值，即估价对象的价值。</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（2）收益法：收益法是预测估价对象的未来收益，利用报酬率或的方法。</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本次评估采用收益期为有限年的报酬资本化法进行计算。 </w:t>
      </w:r>
    </w:p>
    <w:p>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V＝[a／(r-g)]×[1-[(1+g)／（1＋r）] </w:t>
      </w:r>
      <w:r>
        <w:rPr>
          <w:rFonts w:hint="eastAsia" w:ascii="仿宋" w:hAnsi="仿宋" w:eastAsia="仿宋" w:cs="仿宋"/>
          <w:spacing w:val="14"/>
          <w:sz w:val="28"/>
          <w:szCs w:val="28"/>
          <w:vertAlign w:val="superscript"/>
        </w:rPr>
        <w:t>n</w:t>
      </w:r>
      <w:r>
        <w:rPr>
          <w:rFonts w:hint="eastAsia" w:ascii="仿宋" w:hAnsi="仿宋" w:eastAsia="仿宋" w:cs="仿宋"/>
          <w:spacing w:val="14"/>
          <w:sz w:val="28"/>
          <w:szCs w:val="28"/>
        </w:rPr>
        <w:t>]</w:t>
      </w:r>
    </w:p>
    <w:p>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其中：V－房地产价格</w:t>
      </w:r>
    </w:p>
    <w:p>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a－房地产的初年净收益</w:t>
      </w:r>
    </w:p>
    <w:p>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g－房地产的年净收益逐年递增比率</w:t>
      </w:r>
    </w:p>
    <w:p>
      <w:pPr>
        <w:keepNext w:val="0"/>
        <w:keepLines w:val="0"/>
        <w:pageBreakBefore w:val="0"/>
        <w:widowControl w:val="0"/>
        <w:kinsoku/>
        <w:wordWrap/>
        <w:overflowPunct/>
        <w:topLinePunct w:val="0"/>
        <w:autoSpaceDE/>
        <w:autoSpaceDN/>
        <w:bidi w:val="0"/>
        <w:adjustRightInd/>
        <w:snapToGrid/>
        <w:spacing w:line="288" w:lineRule="auto"/>
        <w:ind w:firstLine="0"/>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r－房地产的资本化率</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n－房地产的收益年限</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收益法估价的操作步骤分为以下5个步骤：①选择具体估价方法，即选择报酬资本化法；②测算收益期或持有期；③测算未来收益；④确定报酬率或资本化率；⑤计算收益价值。</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（3）综合确定最终估价结果</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通过两种不同的技术路径，分别得到估价对象的估价单价或总价，经分析两种方 法结果的差异及导致差异的原因后，结合当前同类市场实际和估价师经验，分别确定两种方法结果的影响权重，最后确定估价对象的市场价值单价和总价。</w:t>
      </w:r>
    </w:p>
    <w:p>
      <w:pPr>
        <w:keepNext w:val="0"/>
        <w:keepLines w:val="0"/>
        <w:pageBreakBefore w:val="0"/>
        <w:widowControl w:val="0"/>
        <w:tabs>
          <w:tab w:val="left" w:pos="907"/>
          <w:tab w:val="left" w:pos="1700"/>
        </w:tabs>
        <w:kinsoku/>
        <w:wordWrap/>
        <w:overflowPunct/>
        <w:topLinePunct w:val="0"/>
        <w:autoSpaceDE/>
        <w:autoSpaceDN/>
        <w:bidi w:val="0"/>
        <w:adjustRightInd/>
        <w:snapToGrid/>
        <w:spacing w:before="31" w:beforeLines="0" w:after="31" w:afterLines="0" w:line="288" w:lineRule="auto"/>
        <w:jc w:val="both"/>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估价对象估价总价=比较法估价单价×建筑面积×影响权</w:t>
      </w:r>
    </w:p>
    <w:p>
      <w:pPr>
        <w:keepNext w:val="0"/>
        <w:keepLines w:val="0"/>
        <w:pageBreakBefore w:val="0"/>
        <w:widowControl w:val="0"/>
        <w:tabs>
          <w:tab w:val="left" w:pos="907"/>
          <w:tab w:val="left" w:pos="1700"/>
        </w:tabs>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   </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4"/>
          <w:sz w:val="28"/>
          <w:szCs w:val="28"/>
        </w:rPr>
        <w:t>重1+收益法估价价值×影响权重2</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影响权重1+影响权重2=100%</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jc w:val="lef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 xml:space="preserve">估价对象估价单价=估价对象估价总价÷建筑面积 </w:t>
      </w:r>
    </w:p>
    <w:p>
      <w:pPr>
        <w:pStyle w:val="3"/>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 w:name="_Toc25076"/>
      <w:r>
        <w:rPr>
          <w:rFonts w:hint="eastAsia"/>
        </w:rPr>
        <w:t>十、估价结果 ：</w:t>
      </w:r>
      <w:bookmarkEnd w:id="17"/>
      <w:r>
        <w:rPr>
          <w:rFonts w:hint="eastAsia"/>
        </w:rPr>
        <w:t xml:space="preserve"> </w:t>
      </w:r>
    </w:p>
    <w:p>
      <w:pPr>
        <w:keepNext w:val="0"/>
        <w:keepLines w:val="0"/>
        <w:pageBreakBefore w:val="0"/>
        <w:widowControl w:val="0"/>
        <w:kinsoku/>
        <w:wordWrap/>
        <w:overflowPunct/>
        <w:topLinePunct w:val="0"/>
        <w:autoSpaceDE/>
        <w:autoSpaceDN/>
        <w:bidi w:val="0"/>
        <w:adjustRightInd/>
        <w:snapToGrid/>
        <w:spacing w:before="31" w:beforeLines="0" w:after="31" w:afterLines="0" w:line="288" w:lineRule="auto"/>
        <w:ind w:firstLine="0" w:firstLineChars="0"/>
        <w:textAlignment w:val="auto"/>
        <w:rPr>
          <w:rFonts w:hint="eastAsia" w:ascii="仿宋" w:hAnsi="仿宋" w:eastAsia="仿宋" w:cs="仿宋"/>
          <w:sz w:val="28"/>
          <w:szCs w:val="28"/>
          <w:lang w:eastAsia="zh-CN"/>
        </w:rPr>
      </w:pPr>
      <w:r>
        <w:rPr>
          <w:rFonts w:hint="eastAsia" w:ascii="仿宋" w:hAnsi="仿宋" w:eastAsia="仿宋" w:cs="仿宋"/>
          <w:spacing w:val="14"/>
          <w:sz w:val="28"/>
          <w:szCs w:val="28"/>
        </w:rPr>
        <w:t xml:space="preserve">    估价人员根据估价目的，遵循估价原则，采用科学合理的估价方法，在认真分析影响房地产价格因素的基础上，经过专业分析和精心测算，得出估价对象于价值时点</w:t>
      </w:r>
      <w:r>
        <w:rPr>
          <w:rFonts w:hint="eastAsia" w:ascii="仿宋" w:hAnsi="仿宋" w:eastAsia="仿宋" w:cs="仿宋"/>
          <w:spacing w:val="14"/>
          <w:sz w:val="28"/>
          <w:szCs w:val="28"/>
          <w:lang w:eastAsia="zh-CN"/>
        </w:rPr>
        <w:t>2018年11月</w:t>
      </w:r>
      <w:r>
        <w:rPr>
          <w:rFonts w:hint="eastAsia" w:ascii="仿宋" w:hAnsi="仿宋" w:eastAsia="仿宋" w:cs="仿宋"/>
          <w:spacing w:val="14"/>
          <w:sz w:val="28"/>
          <w:szCs w:val="28"/>
          <w:lang w:val="en-US" w:eastAsia="zh-CN"/>
        </w:rPr>
        <w:t>30</w:t>
      </w:r>
      <w:r>
        <w:rPr>
          <w:rFonts w:hint="eastAsia" w:ascii="仿宋" w:hAnsi="仿宋" w:eastAsia="仿宋" w:cs="仿宋"/>
          <w:spacing w:val="14"/>
          <w:sz w:val="28"/>
          <w:szCs w:val="28"/>
          <w:lang w:eastAsia="zh-CN"/>
        </w:rPr>
        <w:t>日</w:t>
      </w:r>
      <w:r>
        <w:rPr>
          <w:rFonts w:hint="eastAsia" w:ascii="仿宋" w:hAnsi="仿宋" w:eastAsia="仿宋" w:cs="仿宋"/>
          <w:spacing w:val="14"/>
          <w:sz w:val="28"/>
          <w:szCs w:val="28"/>
        </w:rPr>
        <w:t>的市场价值为</w:t>
      </w:r>
      <w:r>
        <w:rPr>
          <w:rFonts w:hint="eastAsia" w:ascii="仿宋" w:hAnsi="仿宋" w:eastAsia="仿宋" w:cs="仿宋"/>
          <w:spacing w:val="14"/>
          <w:sz w:val="28"/>
          <w:szCs w:val="28"/>
          <w:lang w:eastAsia="zh-CN"/>
        </w:rPr>
        <w:t>：</w:t>
      </w:r>
    </w:p>
    <w:tbl>
      <w:tblPr>
        <w:tblStyle w:val="16"/>
        <w:tblpPr w:leftFromText="180" w:rightFromText="180" w:vertAnchor="text" w:horzAnchor="page" w:tblpX="1369" w:tblpY="542"/>
        <w:tblOverlap w:val="never"/>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18"/>
        <w:gridCol w:w="1649"/>
        <w:gridCol w:w="1246"/>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估价对象</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面积㎡</w:t>
            </w:r>
          </w:p>
        </w:tc>
        <w:tc>
          <w:tcPr>
            <w:tcW w:w="1649"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单价（元）</w:t>
            </w:r>
          </w:p>
        </w:tc>
        <w:tc>
          <w:tcPr>
            <w:tcW w:w="1246"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价值（元）</w:t>
            </w:r>
          </w:p>
        </w:tc>
        <w:tc>
          <w:tcPr>
            <w:tcW w:w="3377"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房屋</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149.07平方米</w:t>
            </w:r>
          </w:p>
        </w:tc>
        <w:tc>
          <w:tcPr>
            <w:tcW w:w="1649"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9780/平方米</w:t>
            </w:r>
          </w:p>
        </w:tc>
        <w:tc>
          <w:tcPr>
            <w:tcW w:w="1246"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1457905</w:t>
            </w:r>
          </w:p>
        </w:tc>
        <w:tc>
          <w:tcPr>
            <w:tcW w:w="3377"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壹佰肆拾伍万柒仟玖佰零伍元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车库</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25.75平方米</w:t>
            </w:r>
          </w:p>
        </w:tc>
        <w:tc>
          <w:tcPr>
            <w:tcW w:w="1649"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120000元/个</w:t>
            </w:r>
          </w:p>
        </w:tc>
        <w:tc>
          <w:tcPr>
            <w:tcW w:w="1246"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120000</w:t>
            </w:r>
          </w:p>
        </w:tc>
        <w:tc>
          <w:tcPr>
            <w:tcW w:w="3377"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壹拾贰万元整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储藏室</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12.14平方米</w:t>
            </w:r>
          </w:p>
        </w:tc>
        <w:tc>
          <w:tcPr>
            <w:tcW w:w="1649"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2500/平方米</w:t>
            </w:r>
          </w:p>
        </w:tc>
        <w:tc>
          <w:tcPr>
            <w:tcW w:w="1246"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30350</w:t>
            </w:r>
          </w:p>
        </w:tc>
        <w:tc>
          <w:tcPr>
            <w:tcW w:w="3377"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叁万零叁佰伍拾元整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740"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合计</w:t>
            </w:r>
          </w:p>
        </w:tc>
        <w:tc>
          <w:tcPr>
            <w:tcW w:w="1718"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p>
        </w:tc>
        <w:tc>
          <w:tcPr>
            <w:tcW w:w="1649"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p>
        </w:tc>
        <w:tc>
          <w:tcPr>
            <w:tcW w:w="1246" w:type="dxa"/>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1608255</w:t>
            </w:r>
          </w:p>
        </w:tc>
        <w:tc>
          <w:tcPr>
            <w:tcW w:w="3377" w:type="dxa"/>
            <w:vAlign w:val="center"/>
          </w:tcPr>
          <w:p>
            <w:pPr>
              <w:numPr>
                <w:ilvl w:val="0"/>
                <w:numId w:val="0"/>
              </w:numPr>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壹佰陆拾万捌仟贰佰伍拾伍元</w:t>
            </w:r>
          </w:p>
        </w:tc>
      </w:tr>
    </w:tbl>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4"/>
          <w:szCs w:val="24"/>
          <w:lang w:eastAsia="zh-CN"/>
        </w:rPr>
        <w:t>币种：人民币</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z w:val="24"/>
          <w:szCs w:val="24"/>
          <w:lang w:eastAsia="zh-CN"/>
        </w:rPr>
      </w:pPr>
    </w:p>
    <w:p>
      <w:pPr>
        <w:pStyle w:val="3"/>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hint="eastAsia" w:ascii="仿宋" w:hAnsi="仿宋" w:eastAsia="仿宋" w:cs="仿宋"/>
          <w:spacing w:val="14"/>
          <w:sz w:val="28"/>
          <w:szCs w:val="28"/>
        </w:rPr>
      </w:pPr>
      <w:bookmarkStart w:id="18" w:name="_Toc8882"/>
      <w:r>
        <w:rPr>
          <w:rFonts w:hint="eastAsia"/>
        </w:rPr>
        <w:t>注册房地产估价师</w:t>
      </w:r>
      <w:bookmarkEnd w:id="18"/>
    </w:p>
    <w:tbl>
      <w:tblPr>
        <w:tblStyle w:val="17"/>
        <w:tblpPr w:leftFromText="180" w:rightFromText="180" w:vertAnchor="text" w:horzAnchor="page" w:tblpX="1731" w:tblpY="135"/>
        <w:tblOverlap w:val="never"/>
        <w:tblW w:w="9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068"/>
        <w:gridCol w:w="2895"/>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姓名</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注册号</w:t>
            </w:r>
          </w:p>
        </w:tc>
        <w:tc>
          <w:tcPr>
            <w:tcW w:w="28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签字</w:t>
            </w:r>
          </w:p>
        </w:tc>
        <w:tc>
          <w:tcPr>
            <w:tcW w:w="29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ind w:left="0" w:leftChars="0" w:firstLine="0" w:firstLineChars="0"/>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1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刘洪林</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val="en-US" w:eastAsia="zh-CN"/>
              </w:rPr>
            </w:pPr>
            <w:r>
              <w:rPr>
                <w:rFonts w:hint="eastAsia" w:ascii="仿宋" w:hAnsi="仿宋" w:eastAsia="仿宋" w:cs="仿宋"/>
                <w:b w:val="0"/>
                <w:bCs/>
                <w:spacing w:val="14"/>
                <w:sz w:val="24"/>
                <w:szCs w:val="24"/>
                <w:vertAlign w:val="baseline"/>
                <w:lang w:val="en-US" w:eastAsia="zh-CN"/>
              </w:rPr>
              <w:t>3720160221</w:t>
            </w:r>
          </w:p>
        </w:tc>
        <w:tc>
          <w:tcPr>
            <w:tcW w:w="28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rPr>
            </w:pPr>
          </w:p>
        </w:tc>
        <w:tc>
          <w:tcPr>
            <w:tcW w:w="29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ind w:left="0" w:leftChars="0" w:firstLine="0" w:firstLineChars="0"/>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spacing w:val="13"/>
                <w:sz w:val="24"/>
                <w:szCs w:val="24"/>
                <w:lang w:val="en-US" w:eastAsia="zh-CN"/>
              </w:rPr>
              <w:t>2018年11月30日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trPr>
        <w:tc>
          <w:tcPr>
            <w:tcW w:w="1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b w:val="0"/>
                <w:bCs/>
                <w:spacing w:val="14"/>
                <w:sz w:val="24"/>
                <w:szCs w:val="24"/>
                <w:vertAlign w:val="baseline"/>
                <w:lang w:eastAsia="zh-CN"/>
              </w:rPr>
              <w:t>刘莹莹</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lang w:val="en-US" w:eastAsia="zh-CN"/>
              </w:rPr>
            </w:pPr>
            <w:r>
              <w:rPr>
                <w:rFonts w:hint="eastAsia" w:ascii="仿宋" w:hAnsi="仿宋" w:eastAsia="仿宋" w:cs="仿宋"/>
                <w:b w:val="0"/>
                <w:bCs/>
                <w:spacing w:val="14"/>
                <w:sz w:val="24"/>
                <w:szCs w:val="24"/>
                <w:vertAlign w:val="baseline"/>
                <w:lang w:val="en-US" w:eastAsia="zh-CN"/>
              </w:rPr>
              <w:t>3720160126</w:t>
            </w:r>
          </w:p>
        </w:tc>
        <w:tc>
          <w:tcPr>
            <w:tcW w:w="28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jc w:val="center"/>
              <w:textAlignment w:val="auto"/>
              <w:rPr>
                <w:rFonts w:hint="eastAsia" w:ascii="仿宋" w:hAnsi="仿宋" w:eastAsia="仿宋" w:cs="仿宋"/>
                <w:b w:val="0"/>
                <w:bCs/>
                <w:spacing w:val="14"/>
                <w:sz w:val="24"/>
                <w:szCs w:val="24"/>
                <w:vertAlign w:val="baseline"/>
              </w:rPr>
            </w:pPr>
          </w:p>
        </w:tc>
        <w:tc>
          <w:tcPr>
            <w:tcW w:w="29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31" w:beforeLines="0" w:after="31" w:afterLines="0" w:line="288" w:lineRule="auto"/>
              <w:ind w:left="0" w:leftChars="0" w:firstLine="0" w:firstLineChars="0"/>
              <w:jc w:val="center"/>
              <w:textAlignment w:val="auto"/>
              <w:rPr>
                <w:rFonts w:hint="eastAsia" w:ascii="仿宋" w:hAnsi="仿宋" w:eastAsia="仿宋" w:cs="仿宋"/>
                <w:b w:val="0"/>
                <w:bCs/>
                <w:spacing w:val="14"/>
                <w:sz w:val="24"/>
                <w:szCs w:val="24"/>
                <w:vertAlign w:val="baseline"/>
                <w:lang w:eastAsia="zh-CN"/>
              </w:rPr>
            </w:pPr>
            <w:r>
              <w:rPr>
                <w:rFonts w:hint="eastAsia" w:ascii="仿宋" w:hAnsi="仿宋" w:eastAsia="仿宋" w:cs="仿宋"/>
                <w:spacing w:val="13"/>
                <w:sz w:val="24"/>
                <w:szCs w:val="24"/>
                <w:lang w:val="en-US" w:eastAsia="zh-CN"/>
              </w:rPr>
              <w:t>2018年11月30日</w:t>
            </w: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p>
    <w:p>
      <w:pPr>
        <w:pStyle w:val="3"/>
        <w:keepNext w:val="0"/>
        <w:keepLines w:val="0"/>
        <w:pageBreakBefore w:val="0"/>
        <w:widowControl w:val="0"/>
        <w:numPr>
          <w:ilvl w:val="0"/>
          <w:numId w:val="2"/>
        </w:numPr>
        <w:kinsoku/>
        <w:wordWrap/>
        <w:overflowPunct/>
        <w:topLinePunct w:val="0"/>
        <w:autoSpaceDE/>
        <w:autoSpaceDN/>
        <w:bidi w:val="0"/>
        <w:adjustRightInd/>
        <w:snapToGrid/>
        <w:spacing w:line="288" w:lineRule="auto"/>
        <w:ind w:left="0" w:leftChars="0" w:firstLine="0" w:firstLineChars="0"/>
        <w:textAlignment w:val="auto"/>
        <w:rPr>
          <w:rFonts w:hint="eastAsia"/>
          <w:lang w:eastAsia="zh-CN"/>
        </w:rPr>
      </w:pPr>
      <w:bookmarkStart w:id="19" w:name="_Toc16699"/>
      <w:r>
        <w:rPr>
          <w:rFonts w:hint="eastAsia"/>
        </w:rPr>
        <w:t>实地查勘期</w:t>
      </w:r>
      <w:r>
        <w:rPr>
          <w:rFonts w:hint="eastAsia"/>
          <w:lang w:eastAsia="zh-CN"/>
        </w:rPr>
        <w:t>：</w:t>
      </w:r>
      <w:bookmarkEnd w:id="19"/>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lang w:eastAsia="zh-CN"/>
        </w:rPr>
        <w:t>2018年11月2</w:t>
      </w:r>
      <w:r>
        <w:rPr>
          <w:rFonts w:hint="eastAsia" w:ascii="仿宋" w:hAnsi="仿宋" w:eastAsia="仿宋" w:cs="仿宋"/>
          <w:spacing w:val="14"/>
          <w:sz w:val="28"/>
          <w:szCs w:val="28"/>
          <w:lang w:val="en-US" w:eastAsia="zh-CN"/>
        </w:rPr>
        <w:t>9</w:t>
      </w:r>
      <w:r>
        <w:rPr>
          <w:rFonts w:hint="eastAsia" w:ascii="仿宋" w:hAnsi="仿宋" w:eastAsia="仿宋" w:cs="仿宋"/>
          <w:spacing w:val="14"/>
          <w:sz w:val="28"/>
          <w:szCs w:val="28"/>
          <w:lang w:eastAsia="zh-CN"/>
        </w:rPr>
        <w:t>日（现场查勘之日）</w:t>
      </w:r>
    </w:p>
    <w:p>
      <w:pPr>
        <w:pStyle w:val="3"/>
        <w:keepNext w:val="0"/>
        <w:keepLines w:val="0"/>
        <w:pageBreakBefore w:val="0"/>
        <w:widowControl w:val="0"/>
        <w:numPr>
          <w:ilvl w:val="0"/>
          <w:numId w:val="2"/>
        </w:numPr>
        <w:kinsoku/>
        <w:wordWrap/>
        <w:overflowPunct/>
        <w:topLinePunct w:val="0"/>
        <w:autoSpaceDE/>
        <w:autoSpaceDN/>
        <w:bidi w:val="0"/>
        <w:adjustRightInd/>
        <w:snapToGrid/>
        <w:spacing w:line="288" w:lineRule="auto"/>
        <w:ind w:left="0" w:leftChars="0" w:firstLine="0" w:firstLineChars="0"/>
        <w:textAlignment w:val="auto"/>
        <w:rPr>
          <w:rFonts w:hint="eastAsia"/>
        </w:rPr>
      </w:pPr>
      <w:bookmarkStart w:id="20" w:name="_Toc24004"/>
      <w:r>
        <w:rPr>
          <w:rFonts w:hint="eastAsia"/>
        </w:rPr>
        <w:t>估价作业期：</w:t>
      </w:r>
      <w:bookmarkEnd w:id="20"/>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lang w:eastAsia="zh-CN"/>
        </w:rPr>
        <w:t>2018年11月2</w:t>
      </w:r>
      <w:r>
        <w:rPr>
          <w:rFonts w:hint="eastAsia" w:ascii="仿宋" w:hAnsi="仿宋" w:eastAsia="仿宋" w:cs="仿宋"/>
          <w:spacing w:val="14"/>
          <w:sz w:val="28"/>
          <w:szCs w:val="28"/>
          <w:lang w:val="en-US" w:eastAsia="zh-CN"/>
        </w:rPr>
        <w:t>9</w:t>
      </w:r>
      <w:r>
        <w:rPr>
          <w:rFonts w:hint="eastAsia" w:ascii="仿宋" w:hAnsi="仿宋" w:eastAsia="仿宋" w:cs="仿宋"/>
          <w:spacing w:val="14"/>
          <w:sz w:val="28"/>
          <w:szCs w:val="28"/>
          <w:lang w:eastAsia="zh-CN"/>
        </w:rPr>
        <w:t>日（现场查勘之日）</w:t>
      </w:r>
      <w:r>
        <w:rPr>
          <w:rFonts w:hint="eastAsia" w:ascii="仿宋" w:hAnsi="仿宋" w:eastAsia="仿宋" w:cs="仿宋"/>
          <w:spacing w:val="14"/>
          <w:sz w:val="28"/>
          <w:szCs w:val="28"/>
          <w:lang w:val="en-US" w:eastAsia="zh-CN"/>
        </w:rPr>
        <w:t>-</w:t>
      </w:r>
      <w:r>
        <w:rPr>
          <w:rFonts w:hint="eastAsia" w:ascii="仿宋" w:hAnsi="仿宋" w:eastAsia="仿宋" w:cs="仿宋"/>
          <w:spacing w:val="14"/>
          <w:sz w:val="28"/>
          <w:szCs w:val="28"/>
          <w:lang w:eastAsia="zh-CN"/>
        </w:rPr>
        <w:t>2018年11月</w:t>
      </w:r>
      <w:r>
        <w:rPr>
          <w:rFonts w:hint="eastAsia" w:ascii="仿宋" w:hAnsi="仿宋" w:eastAsia="仿宋" w:cs="仿宋"/>
          <w:spacing w:val="14"/>
          <w:sz w:val="28"/>
          <w:szCs w:val="28"/>
          <w:lang w:val="en-US" w:eastAsia="zh-CN"/>
        </w:rPr>
        <w:t>30</w:t>
      </w:r>
      <w:r>
        <w:rPr>
          <w:rFonts w:hint="eastAsia" w:ascii="仿宋" w:hAnsi="仿宋" w:eastAsia="仿宋" w:cs="仿宋"/>
          <w:spacing w:val="14"/>
          <w:sz w:val="28"/>
          <w:szCs w:val="28"/>
          <w:lang w:eastAsia="zh-CN"/>
        </w:rPr>
        <w:t>日</w:t>
      </w: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16" w:firstLineChars="200"/>
        <w:jc w:val="left"/>
        <w:textAlignment w:val="auto"/>
        <w:rPr>
          <w:rFonts w:hint="eastAsia" w:ascii="仿宋" w:hAnsi="仿宋" w:eastAsia="仿宋" w:cs="仿宋"/>
          <w:b/>
          <w:spacing w:val="23"/>
          <w:sz w:val="28"/>
          <w:szCs w:val="28"/>
          <w:u w:val="single" w:color="auto"/>
        </w:rPr>
      </w:pPr>
      <w:r>
        <w:rPr>
          <w:rFonts w:hint="eastAsia" w:ascii="仿宋" w:hAnsi="仿宋" w:eastAsia="仿宋" w:cs="仿宋"/>
          <w:spacing w:val="14"/>
          <w:sz w:val="28"/>
          <w:szCs w:val="28"/>
        </w:rPr>
        <w:t>房地产评估报告审定</w:t>
      </w:r>
      <w:r>
        <w:rPr>
          <w:rFonts w:hint="eastAsia" w:ascii="仿宋" w:hAnsi="仿宋" w:eastAsia="仿宋" w:cs="仿宋"/>
          <w:b/>
          <w:spacing w:val="23"/>
          <w:sz w:val="28"/>
          <w:szCs w:val="28"/>
          <w:u w:val="single" w:color="auto"/>
        </w:rPr>
        <w:t xml:space="preserve">           </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right"/>
        <w:textAlignment w:val="auto"/>
        <w:rPr>
          <w:rFonts w:hint="eastAsia" w:ascii="仿宋" w:hAnsi="仿宋" w:eastAsia="仿宋" w:cs="仿宋"/>
          <w:spacing w:val="14"/>
          <w:sz w:val="28"/>
          <w:szCs w:val="28"/>
        </w:rPr>
      </w:pPr>
      <w:r>
        <w:rPr>
          <w:rFonts w:hint="eastAsia" w:ascii="仿宋" w:hAnsi="仿宋" w:eastAsia="仿宋" w:cs="仿宋"/>
          <w:spacing w:val="14"/>
          <w:sz w:val="28"/>
          <w:szCs w:val="28"/>
        </w:rPr>
        <w:t>聊城市中衡房地产评估有限公司</w:t>
      </w:r>
    </w:p>
    <w:p>
      <w:pPr>
        <w:keepNext w:val="0"/>
        <w:keepLines w:val="0"/>
        <w:pageBreakBefore w:val="0"/>
        <w:widowControl w:val="0"/>
        <w:kinsoku/>
        <w:wordWrap/>
        <w:overflowPunct/>
        <w:topLinePunct w:val="0"/>
        <w:autoSpaceDE/>
        <w:autoSpaceDN/>
        <w:bidi w:val="0"/>
        <w:adjustRightInd/>
        <w:snapToGrid/>
        <w:spacing w:line="288" w:lineRule="auto"/>
        <w:ind w:firstLine="834"/>
        <w:jc w:val="center"/>
        <w:textAlignment w:val="auto"/>
        <w:rPr>
          <w:rFonts w:hint="eastAsia" w:ascii="仿宋" w:hAnsi="仿宋" w:eastAsia="仿宋" w:cs="仿宋"/>
          <w:spacing w:val="14"/>
          <w:sz w:val="28"/>
          <w:szCs w:val="28"/>
          <w:lang w:eastAsia="zh-CN"/>
        </w:rPr>
      </w:pPr>
      <w:r>
        <w:rPr>
          <w:rFonts w:hint="eastAsia" w:ascii="仿宋" w:hAnsi="仿宋" w:eastAsia="仿宋" w:cs="仿宋"/>
          <w:spacing w:val="14"/>
          <w:sz w:val="28"/>
          <w:szCs w:val="28"/>
        </w:rPr>
        <w:t xml:space="preserve">                        </w:t>
      </w:r>
      <w:r>
        <w:rPr>
          <w:rFonts w:hint="eastAsia" w:ascii="仿宋" w:hAnsi="仿宋" w:eastAsia="仿宋" w:cs="仿宋"/>
          <w:spacing w:val="14"/>
          <w:sz w:val="28"/>
          <w:szCs w:val="28"/>
          <w:lang w:eastAsia="zh-CN"/>
        </w:rPr>
        <w:t>二○一八年十一月三十日</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both"/>
        <w:textAlignment w:val="auto"/>
        <w:rPr>
          <w:rFonts w:hint="eastAsia" w:ascii="仿宋" w:hAnsi="仿宋" w:eastAsia="仿宋" w:cs="仿宋"/>
          <w:b/>
          <w:spacing w:val="23"/>
          <w:sz w:val="52"/>
          <w:u w:val="single" w:color="auto"/>
        </w:rPr>
      </w:pP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both"/>
        <w:textAlignment w:val="auto"/>
        <w:rPr>
          <w:rFonts w:hint="eastAsia" w:ascii="仿宋" w:hAnsi="仿宋" w:eastAsia="仿宋" w:cs="仿宋"/>
          <w:b/>
          <w:spacing w:val="23"/>
          <w:sz w:val="52"/>
          <w:u w:val="single" w:color="auto"/>
        </w:rPr>
      </w:pP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both"/>
        <w:textAlignment w:val="auto"/>
        <w:rPr>
          <w:rFonts w:hint="eastAsia" w:ascii="仿宋" w:hAnsi="仿宋" w:eastAsia="仿宋" w:cs="仿宋"/>
          <w:b/>
          <w:spacing w:val="23"/>
          <w:sz w:val="52"/>
          <w:u w:val="single" w:color="auto"/>
        </w:rPr>
      </w:pPr>
    </w:p>
    <w:p>
      <w:pPr>
        <w:keepNext w:val="0"/>
        <w:keepLines w:val="0"/>
        <w:pageBreakBefore w:val="0"/>
        <w:widowControl w:val="0"/>
        <w:kinsoku/>
        <w:wordWrap/>
        <w:overflowPunct/>
        <w:topLinePunct w:val="0"/>
        <w:autoSpaceDE/>
        <w:autoSpaceDN/>
        <w:bidi w:val="0"/>
        <w:adjustRightInd/>
        <w:snapToGrid/>
        <w:spacing w:line="288" w:lineRule="auto"/>
        <w:ind w:leftChars="200" w:firstLine="0" w:firstLineChars="0"/>
        <w:jc w:val="left"/>
        <w:textAlignment w:val="auto"/>
        <w:outlineLvl w:val="9"/>
        <w:rPr>
          <w:rFonts w:hint="eastAsia" w:ascii="仿宋" w:hAnsi="仿宋" w:eastAsia="仿宋" w:cs="仿宋"/>
          <w:b/>
          <w:bCs/>
          <w:sz w:val="32"/>
          <w:szCs w:val="32"/>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b/>
          <w:bCs/>
          <w:sz w:val="32"/>
          <w:szCs w:val="32"/>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bookmarkStart w:id="21" w:name="_Toc4203"/>
      <w:r>
        <w:rPr>
          <w:rFonts w:hint="eastAsia"/>
          <w:lang w:val="en-US" w:eastAsia="zh-CN"/>
        </w:rPr>
        <w:t>附页</w:t>
      </w:r>
      <w:bookmarkEnd w:id="21"/>
    </w:p>
    <w:p>
      <w:pPr>
        <w:keepNext w:val="0"/>
        <w:keepLines w:val="0"/>
        <w:pageBreakBefore w:val="0"/>
        <w:widowControl w:val="0"/>
        <w:kinsoku/>
        <w:wordWrap/>
        <w:overflowPunct/>
        <w:topLinePunct w:val="0"/>
        <w:autoSpaceDE/>
        <w:autoSpaceDN/>
        <w:bidi w:val="0"/>
        <w:adjustRightInd/>
        <w:snapToGrid/>
        <w:spacing w:line="288" w:lineRule="auto"/>
        <w:ind w:leftChars="200" w:firstLine="0" w:firstLineChars="0"/>
        <w:jc w:val="left"/>
        <w:textAlignment w:val="auto"/>
        <w:outlineLvl w:val="9"/>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1.估价对象位置示意图</w:t>
      </w: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2.估价对象内外部照片</w:t>
      </w: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3.山东省聊城市中级人民法院司法询价委托函（2018）鲁15执223号复印件</w:t>
      </w: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4.估价机构营业执照复印件</w:t>
      </w: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5.估价资质复印件</w:t>
      </w:r>
    </w:p>
    <w:p>
      <w:pPr>
        <w:keepNext w:val="0"/>
        <w:keepLines w:val="0"/>
        <w:pageBreakBefore w:val="0"/>
        <w:widowControl w:val="0"/>
        <w:kinsoku/>
        <w:wordWrap/>
        <w:overflowPunct/>
        <w:topLinePunct w:val="0"/>
        <w:autoSpaceDE/>
        <w:autoSpaceDN/>
        <w:bidi w:val="0"/>
        <w:adjustRightInd/>
        <w:snapToGrid/>
        <w:spacing w:line="288" w:lineRule="auto"/>
        <w:ind w:leftChars="600" w:firstLine="0" w:firstLineChars="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6.估价师执业证书复印件</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outlineLvl w:val="9"/>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outlineLvl w:val="9"/>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outlineLvl w:val="9"/>
        <w:rPr>
          <w:rFonts w:hint="eastAsia" w:ascii="仿宋" w:hAnsi="仿宋" w:eastAsia="仿宋" w:cs="仿宋"/>
          <w:b/>
          <w:bCs/>
          <w:sz w:val="32"/>
          <w:szCs w:val="32"/>
          <w:lang w:val="en-US" w:eastAsia="zh-CN"/>
        </w:rPr>
        <w:sectPr>
          <w:footerReference r:id="rId5" w:type="default"/>
          <w:footnotePr>
            <w:numFmt w:val="decimalHalfWidth"/>
          </w:footnotePr>
          <w:endnotePr>
            <w:numFmt w:val="chineseCounting"/>
          </w:endnotePr>
          <w:pgSz w:w="11905" w:h="16837"/>
          <w:pgMar w:top="1417" w:right="1303" w:bottom="1417" w:left="1303" w:header="850" w:footer="85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eastAsia" w:ascii="仿宋" w:hAnsi="仿宋" w:eastAsia="仿宋" w:cs="仿宋"/>
        </w:rPr>
      </w:pPr>
    </w:p>
    <w:tbl>
      <w:tblPr>
        <w:tblStyle w:val="17"/>
        <w:tblpPr w:leftFromText="180" w:rightFromText="180" w:vertAnchor="text" w:horzAnchor="page" w:tblpXSpec="center" w:tblpY="1249"/>
        <w:tblOverlap w:val="never"/>
        <w:tblW w:w="7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38" w:hRule="atLeast"/>
          <w:jc w:val="center"/>
        </w:trPr>
        <w:tc>
          <w:tcPr>
            <w:tcW w:w="7680" w:type="dxa"/>
            <w:vAlign w:val="center"/>
          </w:tcPr>
          <w:p>
            <w:pPr>
              <w:keepNext w:val="0"/>
              <w:keepLines w:val="0"/>
              <w:pageBreakBefore w:val="0"/>
              <w:widowControl w:val="0"/>
              <w:tabs>
                <w:tab w:val="left" w:pos="2824"/>
              </w:tabs>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eastAsia="zh-CN"/>
              </w:rPr>
            </w:pPr>
            <w:r>
              <w:rPr>
                <w:rFonts w:hint="eastAsia" w:ascii="仿宋" w:hAnsi="仿宋" w:eastAsia="仿宋" w:cs="仿宋"/>
                <w:vertAlign w:val="baseline"/>
                <w:lang w:eastAsia="zh-CN"/>
              </w:rPr>
              <w:drawing>
                <wp:inline distT="0" distB="0" distL="114300" distR="114300">
                  <wp:extent cx="7175500" cy="4160520"/>
                  <wp:effectExtent l="0" t="0" r="11430" b="6350"/>
                  <wp:docPr id="2" name="图片 2" descr="微信图片_2018112914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129145604"/>
                          <pic:cNvPicPr>
                            <a:picLocks noChangeAspect="1"/>
                          </pic:cNvPicPr>
                        </pic:nvPicPr>
                        <pic:blipFill>
                          <a:blip r:embed="rId11">
                            <a:lum bright="-18000" contrast="30000"/>
                          </a:blip>
                          <a:stretch>
                            <a:fillRect/>
                          </a:stretch>
                        </pic:blipFill>
                        <pic:spPr>
                          <a:xfrm rot="16200000">
                            <a:off x="0" y="0"/>
                            <a:ext cx="7175500" cy="416052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lang w:eastAsia="zh-CN"/>
        </w:rPr>
      </w:pPr>
      <w:r>
        <w:rPr>
          <w:rFonts w:hint="eastAsia" w:ascii="仿宋" w:hAnsi="仿宋" w:eastAsia="仿宋" w:cs="仿宋"/>
          <w:b/>
          <w:bCs/>
          <w:sz w:val="28"/>
          <w:szCs w:val="28"/>
          <w:lang w:eastAsia="zh-CN"/>
        </w:rPr>
        <w:t>估价对象位置示意图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outlineLvl w:val="9"/>
        <w:rPr>
          <w:rFonts w:hint="eastAsia" w:ascii="仿宋" w:hAnsi="仿宋" w:eastAsia="仿宋" w:cs="仿宋"/>
          <w:b/>
          <w:bCs/>
          <w:sz w:val="32"/>
          <w:szCs w:val="32"/>
          <w:lang w:val="en-US" w:eastAsia="zh-CN"/>
        </w:rPr>
      </w:pPr>
    </w:p>
    <w:tbl>
      <w:tblPr>
        <w:tblStyle w:val="17"/>
        <w:tblpPr w:leftFromText="180" w:rightFromText="180" w:vertAnchor="text" w:horzAnchor="page" w:tblpX="1323" w:tblpY="198"/>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9"/>
        <w:gridCol w:w="4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986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bCs/>
                <w:sz w:val="32"/>
                <w:szCs w:val="32"/>
                <w:lang w:val="en-US" w:eastAsia="zh-CN"/>
              </w:rPr>
              <w:t>估价对象外部照片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3" w:hRule="atLeast"/>
        </w:trPr>
        <w:tc>
          <w:tcPr>
            <w:tcW w:w="492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174365" cy="2529205"/>
                  <wp:effectExtent l="0" t="0" r="4445" b="6985"/>
                  <wp:docPr id="4" name="图片 4" descr="微信图片_2018112914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129145745"/>
                          <pic:cNvPicPr>
                            <a:picLocks noChangeAspect="1"/>
                          </pic:cNvPicPr>
                        </pic:nvPicPr>
                        <pic:blipFill>
                          <a:blip r:embed="rId12"/>
                          <a:stretch>
                            <a:fillRect/>
                          </a:stretch>
                        </pic:blipFill>
                        <pic:spPr>
                          <a:xfrm rot="16200000">
                            <a:off x="0" y="0"/>
                            <a:ext cx="3174365" cy="2529205"/>
                          </a:xfrm>
                          <a:prstGeom prst="rect">
                            <a:avLst/>
                          </a:prstGeom>
                        </pic:spPr>
                      </pic:pic>
                    </a:graphicData>
                  </a:graphic>
                </wp:inline>
              </w:drawing>
            </w:r>
          </w:p>
        </w:tc>
        <w:tc>
          <w:tcPr>
            <w:tcW w:w="493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115945" cy="2336800"/>
                  <wp:effectExtent l="0" t="0" r="6350" b="8255"/>
                  <wp:docPr id="5" name="图片 5" descr="IMG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502"/>
                          <pic:cNvPicPr>
                            <a:picLocks noChangeAspect="1"/>
                          </pic:cNvPicPr>
                        </pic:nvPicPr>
                        <pic:blipFill>
                          <a:blip r:embed="rId13"/>
                          <a:stretch>
                            <a:fillRect/>
                          </a:stretch>
                        </pic:blipFill>
                        <pic:spPr>
                          <a:xfrm rot="16200000">
                            <a:off x="0" y="0"/>
                            <a:ext cx="3115945" cy="2336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5" w:hRule="atLeast"/>
        </w:trPr>
        <w:tc>
          <w:tcPr>
            <w:tcW w:w="492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420745" cy="2565400"/>
                  <wp:effectExtent l="0" t="0" r="6350" b="8255"/>
                  <wp:docPr id="6" name="图片 6" descr="IMG_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504"/>
                          <pic:cNvPicPr>
                            <a:picLocks noChangeAspect="1"/>
                          </pic:cNvPicPr>
                        </pic:nvPicPr>
                        <pic:blipFill>
                          <a:blip r:embed="rId14"/>
                          <a:stretch>
                            <a:fillRect/>
                          </a:stretch>
                        </pic:blipFill>
                        <pic:spPr>
                          <a:xfrm rot="16200000">
                            <a:off x="0" y="0"/>
                            <a:ext cx="3420745" cy="2565400"/>
                          </a:xfrm>
                          <a:prstGeom prst="rect">
                            <a:avLst/>
                          </a:prstGeom>
                        </pic:spPr>
                      </pic:pic>
                    </a:graphicData>
                  </a:graphic>
                </wp:inline>
              </w:drawing>
            </w:r>
          </w:p>
        </w:tc>
        <w:tc>
          <w:tcPr>
            <w:tcW w:w="493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321685" cy="2491105"/>
                  <wp:effectExtent l="0" t="0" r="4445" b="12065"/>
                  <wp:docPr id="7" name="图片 7" descr="IMG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505"/>
                          <pic:cNvPicPr>
                            <a:picLocks noChangeAspect="1"/>
                          </pic:cNvPicPr>
                        </pic:nvPicPr>
                        <pic:blipFill>
                          <a:blip r:embed="rId15"/>
                          <a:stretch>
                            <a:fillRect/>
                          </a:stretch>
                        </pic:blipFill>
                        <pic:spPr>
                          <a:xfrm rot="5400000">
                            <a:off x="0" y="0"/>
                            <a:ext cx="3321685" cy="2491105"/>
                          </a:xfrm>
                          <a:prstGeom prst="rect">
                            <a:avLst/>
                          </a:prstGeom>
                        </pic:spPr>
                      </pic:pic>
                    </a:graphicData>
                  </a:graphic>
                </wp:inline>
              </w:drawing>
            </w:r>
          </w:p>
        </w:tc>
      </w:tr>
    </w:tbl>
    <w:tbl>
      <w:tblPr>
        <w:tblStyle w:val="17"/>
        <w:tblpPr w:leftFromText="180" w:rightFromText="180" w:vertAnchor="text" w:horzAnchor="page" w:tblpX="1286" w:tblpY="281"/>
        <w:tblOverlap w:val="never"/>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0"/>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lang w:val="en-US" w:eastAsia="zh-CN"/>
              </w:rPr>
              <w:t>步梯</w:t>
            </w:r>
          </w:p>
        </w:tc>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4" w:hRule="atLeast"/>
        </w:trPr>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bookmarkStart w:id="22" w:name="_GoBack"/>
            <w:r>
              <w:rPr>
                <w:rFonts w:hint="eastAsia" w:ascii="仿宋" w:hAnsi="仿宋" w:eastAsia="仿宋" w:cs="仿宋"/>
                <w:b w:val="0"/>
                <w:bCs w:val="0"/>
                <w:sz w:val="32"/>
                <w:szCs w:val="32"/>
                <w:vertAlign w:val="baseline"/>
                <w:lang w:val="en-US" w:eastAsia="zh-CN"/>
              </w:rPr>
              <w:drawing>
                <wp:inline distT="0" distB="0" distL="114300" distR="114300">
                  <wp:extent cx="3383915" cy="2537460"/>
                  <wp:effectExtent l="0" t="0" r="15240" b="6985"/>
                  <wp:docPr id="9" name="图片 9" descr="IMG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506"/>
                          <pic:cNvPicPr>
                            <a:picLocks noChangeAspect="1"/>
                          </pic:cNvPicPr>
                        </pic:nvPicPr>
                        <pic:blipFill>
                          <a:blip r:embed="rId16"/>
                          <a:stretch>
                            <a:fillRect/>
                          </a:stretch>
                        </pic:blipFill>
                        <pic:spPr>
                          <a:xfrm rot="5400000">
                            <a:off x="0" y="0"/>
                            <a:ext cx="3383915" cy="2537460"/>
                          </a:xfrm>
                          <a:prstGeom prst="rect">
                            <a:avLst/>
                          </a:prstGeom>
                        </pic:spPr>
                      </pic:pic>
                    </a:graphicData>
                  </a:graphic>
                </wp:inline>
              </w:drawing>
            </w:r>
            <w:bookmarkEnd w:id="22"/>
          </w:p>
        </w:tc>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116580" cy="2337435"/>
                  <wp:effectExtent l="0" t="0" r="5715" b="7620"/>
                  <wp:docPr id="10" name="图片 10" descr="IMG_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519"/>
                          <pic:cNvPicPr>
                            <a:picLocks noChangeAspect="1"/>
                          </pic:cNvPicPr>
                        </pic:nvPicPr>
                        <pic:blipFill>
                          <a:blip r:embed="rId17"/>
                          <a:stretch>
                            <a:fillRect/>
                          </a:stretch>
                        </pic:blipFill>
                        <pic:spPr>
                          <a:xfrm rot="16200000">
                            <a:off x="0" y="0"/>
                            <a:ext cx="3116580" cy="2337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储藏室</w:t>
            </w:r>
          </w:p>
        </w:tc>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客厅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7" w:hRule="atLeast"/>
        </w:trPr>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409950" cy="2557145"/>
                  <wp:effectExtent l="0" t="0" r="14605" b="0"/>
                  <wp:docPr id="11" name="图片 11" descr="IMG_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517"/>
                          <pic:cNvPicPr>
                            <a:picLocks noChangeAspect="1"/>
                          </pic:cNvPicPr>
                        </pic:nvPicPr>
                        <pic:blipFill>
                          <a:blip r:embed="rId18"/>
                          <a:stretch>
                            <a:fillRect/>
                          </a:stretch>
                        </pic:blipFill>
                        <pic:spPr>
                          <a:xfrm rot="16200000">
                            <a:off x="0" y="0"/>
                            <a:ext cx="3409950" cy="2557145"/>
                          </a:xfrm>
                          <a:prstGeom prst="rect">
                            <a:avLst/>
                          </a:prstGeom>
                        </pic:spPr>
                      </pic:pic>
                    </a:graphicData>
                  </a:graphic>
                </wp:inline>
              </w:drawing>
            </w:r>
          </w:p>
        </w:tc>
        <w:tc>
          <w:tcPr>
            <w:tcW w:w="4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295015" cy="2470785"/>
                  <wp:effectExtent l="0" t="0" r="5715" b="635"/>
                  <wp:docPr id="14" name="图片 14" descr="IMG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507"/>
                          <pic:cNvPicPr>
                            <a:picLocks noChangeAspect="1"/>
                          </pic:cNvPicPr>
                        </pic:nvPicPr>
                        <pic:blipFill>
                          <a:blip r:embed="rId19"/>
                          <a:stretch>
                            <a:fillRect/>
                          </a:stretch>
                        </pic:blipFill>
                        <pic:spPr>
                          <a:xfrm rot="16200000">
                            <a:off x="0" y="0"/>
                            <a:ext cx="3295015" cy="2470785"/>
                          </a:xfrm>
                          <a:prstGeom prst="rect">
                            <a:avLst/>
                          </a:prstGeom>
                        </pic:spPr>
                      </pic:pic>
                    </a:graphicData>
                  </a:graphic>
                </wp:inline>
              </w:drawing>
            </w:r>
          </w:p>
        </w:tc>
      </w:tr>
    </w:tbl>
    <w:tbl>
      <w:tblPr>
        <w:tblStyle w:val="17"/>
        <w:tblpPr w:leftFromText="180" w:rightFromText="180" w:vertAnchor="text" w:horzAnchor="page" w:tblpX="740" w:tblpY="392"/>
        <w:tblOverlap w:val="never"/>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135"/>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9583"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估价对象内部照片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332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客厅</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厨房</w:t>
            </w:r>
          </w:p>
        </w:tc>
        <w:tc>
          <w:tcPr>
            <w:tcW w:w="312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1" w:hRule="atLeast"/>
        </w:trPr>
        <w:tc>
          <w:tcPr>
            <w:tcW w:w="332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893695" cy="2693035"/>
                  <wp:effectExtent l="0" t="0" r="12065" b="1905"/>
                  <wp:docPr id="15" name="图片 15"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508"/>
                          <pic:cNvPicPr>
                            <a:picLocks noChangeAspect="1"/>
                          </pic:cNvPicPr>
                        </pic:nvPicPr>
                        <pic:blipFill>
                          <a:blip r:embed="rId20"/>
                          <a:stretch>
                            <a:fillRect/>
                          </a:stretch>
                        </pic:blipFill>
                        <pic:spPr>
                          <a:xfrm rot="16200000">
                            <a:off x="0" y="0"/>
                            <a:ext cx="2893695" cy="2693035"/>
                          </a:xfrm>
                          <a:prstGeom prst="rect">
                            <a:avLst/>
                          </a:prstGeom>
                        </pic:spPr>
                      </pic:pic>
                    </a:graphicData>
                  </a:graphic>
                </wp:inline>
              </w:drawing>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028950" cy="1944370"/>
                  <wp:effectExtent l="0" t="0" r="17780" b="0"/>
                  <wp:docPr id="16" name="图片 16" descr="IMG_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509"/>
                          <pic:cNvPicPr>
                            <a:picLocks noChangeAspect="1"/>
                          </pic:cNvPicPr>
                        </pic:nvPicPr>
                        <pic:blipFill>
                          <a:blip r:embed="rId21"/>
                          <a:stretch>
                            <a:fillRect/>
                          </a:stretch>
                        </pic:blipFill>
                        <pic:spPr>
                          <a:xfrm rot="16200000">
                            <a:off x="0" y="0"/>
                            <a:ext cx="3028950" cy="1944370"/>
                          </a:xfrm>
                          <a:prstGeom prst="rect">
                            <a:avLst/>
                          </a:prstGeom>
                        </pic:spPr>
                      </pic:pic>
                    </a:graphicData>
                  </a:graphic>
                </wp:inline>
              </w:drawing>
            </w:r>
          </w:p>
        </w:tc>
        <w:tc>
          <w:tcPr>
            <w:tcW w:w="312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903855" cy="1899920"/>
                  <wp:effectExtent l="0" t="0" r="5080" b="10795"/>
                  <wp:docPr id="24" name="图片 24" descr="IMG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516"/>
                          <pic:cNvPicPr>
                            <a:picLocks noChangeAspect="1"/>
                          </pic:cNvPicPr>
                        </pic:nvPicPr>
                        <pic:blipFill>
                          <a:blip r:embed="rId22"/>
                          <a:stretch>
                            <a:fillRect/>
                          </a:stretch>
                        </pic:blipFill>
                        <pic:spPr>
                          <a:xfrm rot="16200000">
                            <a:off x="0" y="0"/>
                            <a:ext cx="2903855" cy="1899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332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卧室</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卧室</w:t>
            </w:r>
          </w:p>
        </w:tc>
        <w:tc>
          <w:tcPr>
            <w:tcW w:w="312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5" w:hRule="atLeast"/>
        </w:trPr>
        <w:tc>
          <w:tcPr>
            <w:tcW w:w="332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300730" cy="1881505"/>
                  <wp:effectExtent l="0" t="0" r="4445" b="13970"/>
                  <wp:docPr id="17" name="图片 17" descr="IMG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512"/>
                          <pic:cNvPicPr>
                            <a:picLocks noChangeAspect="1"/>
                          </pic:cNvPicPr>
                        </pic:nvPicPr>
                        <pic:blipFill>
                          <a:blip r:embed="rId23"/>
                          <a:stretch>
                            <a:fillRect/>
                          </a:stretch>
                        </pic:blipFill>
                        <pic:spPr>
                          <a:xfrm rot="16200000">
                            <a:off x="0" y="0"/>
                            <a:ext cx="3300730" cy="1881505"/>
                          </a:xfrm>
                          <a:prstGeom prst="rect">
                            <a:avLst/>
                          </a:prstGeom>
                        </pic:spPr>
                      </pic:pic>
                    </a:graphicData>
                  </a:graphic>
                </wp:inline>
              </w:drawing>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219450" cy="1869440"/>
                  <wp:effectExtent l="0" t="0" r="16510" b="0"/>
                  <wp:docPr id="26" name="图片 26" descr="IMG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514"/>
                          <pic:cNvPicPr>
                            <a:picLocks noChangeAspect="1"/>
                          </pic:cNvPicPr>
                        </pic:nvPicPr>
                        <pic:blipFill>
                          <a:blip r:embed="rId24"/>
                          <a:stretch>
                            <a:fillRect/>
                          </a:stretch>
                        </pic:blipFill>
                        <pic:spPr>
                          <a:xfrm rot="16200000">
                            <a:off x="0" y="0"/>
                            <a:ext cx="3219450" cy="1869440"/>
                          </a:xfrm>
                          <a:prstGeom prst="rect">
                            <a:avLst/>
                          </a:prstGeom>
                        </pic:spPr>
                      </pic:pic>
                    </a:graphicData>
                  </a:graphic>
                </wp:inline>
              </w:drawing>
            </w:r>
          </w:p>
        </w:tc>
        <w:tc>
          <w:tcPr>
            <w:tcW w:w="312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3158490" cy="1914525"/>
                  <wp:effectExtent l="0" t="0" r="9525" b="3810"/>
                  <wp:docPr id="29" name="图片 29" descr="IMG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515"/>
                          <pic:cNvPicPr>
                            <a:picLocks noChangeAspect="1"/>
                          </pic:cNvPicPr>
                        </pic:nvPicPr>
                        <pic:blipFill>
                          <a:blip r:embed="rId25"/>
                          <a:stretch>
                            <a:fillRect/>
                          </a:stretch>
                        </pic:blipFill>
                        <pic:spPr>
                          <a:xfrm rot="5400000">
                            <a:off x="0" y="0"/>
                            <a:ext cx="3158490" cy="191452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left="-400" w:leftChars="-200" w:firstLine="0" w:firstLineChars="0"/>
        <w:jc w:val="center"/>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p>
    <w:tbl>
      <w:tblPr>
        <w:tblStyle w:val="17"/>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874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询价函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8" w:hRule="atLeast"/>
        </w:trPr>
        <w:tc>
          <w:tcPr>
            <w:tcW w:w="8740" w:type="dxa"/>
            <w:vAlign w:val="center"/>
          </w:tcPr>
          <w:p>
            <w:pPr>
              <w:keepNext w:val="0"/>
              <w:keepLines w:val="0"/>
              <w:pageBreakBefore w:val="0"/>
              <w:widowControl w:val="0"/>
              <w:tabs>
                <w:tab w:val="left" w:pos="2584"/>
              </w:tabs>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drawing>
                <wp:inline distT="0" distB="0" distL="114300" distR="114300">
                  <wp:extent cx="4896485" cy="7364095"/>
                  <wp:effectExtent l="0" t="0" r="18415" b="8255"/>
                  <wp:docPr id="19" name="图片 19" descr="微信图片_2018112915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81129151015"/>
                          <pic:cNvPicPr>
                            <a:picLocks noChangeAspect="1"/>
                          </pic:cNvPicPr>
                        </pic:nvPicPr>
                        <pic:blipFill>
                          <a:blip r:embed="rId26"/>
                          <a:stretch>
                            <a:fillRect/>
                          </a:stretch>
                        </pic:blipFill>
                        <pic:spPr>
                          <a:xfrm>
                            <a:off x="0" y="0"/>
                            <a:ext cx="4896485" cy="736409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eastAsia" w:ascii="仿宋" w:hAnsi="仿宋" w:eastAsia="仿宋" w:cs="仿宋"/>
          <w:b/>
          <w:bCs/>
          <w:sz w:val="32"/>
          <w:szCs w:val="32"/>
          <w:lang w:val="en-US" w:eastAsia="zh-CN"/>
        </w:rPr>
      </w:pPr>
    </w:p>
    <w:tbl>
      <w:tblPr>
        <w:tblStyle w:val="17"/>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87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由委托方提供的估价对象的材料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2" w:hRule="atLeast"/>
        </w:trPr>
        <w:tc>
          <w:tcPr>
            <w:tcW w:w="87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drawing>
                <wp:inline distT="0" distB="0" distL="114300" distR="114300">
                  <wp:extent cx="4848860" cy="7345045"/>
                  <wp:effectExtent l="0" t="0" r="8890" b="8255"/>
                  <wp:docPr id="20" name="图片 20" descr="微信图片_201811291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81129151231"/>
                          <pic:cNvPicPr>
                            <a:picLocks noChangeAspect="1"/>
                          </pic:cNvPicPr>
                        </pic:nvPicPr>
                        <pic:blipFill>
                          <a:blip r:embed="rId27"/>
                          <a:stretch>
                            <a:fillRect/>
                          </a:stretch>
                        </pic:blipFill>
                        <pic:spPr>
                          <a:xfrm>
                            <a:off x="0" y="0"/>
                            <a:ext cx="4848860" cy="734504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eastAsia" w:ascii="仿宋" w:hAnsi="仿宋" w:eastAsia="仿宋" w:cs="仿宋"/>
          <w:lang w:eastAsia="zh-CN"/>
        </w:rPr>
      </w:pPr>
    </w:p>
    <w:tbl>
      <w:tblPr>
        <w:tblStyle w:val="17"/>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91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vertAlign w:val="baseline"/>
                <w:lang w:eastAsia="zh-CN"/>
              </w:rPr>
            </w:pPr>
            <w:r>
              <w:rPr>
                <w:rFonts w:hint="eastAsia" w:ascii="仿宋" w:hAnsi="仿宋" w:eastAsia="仿宋" w:cs="仿宋"/>
                <w:b/>
                <w:bCs/>
                <w:sz w:val="32"/>
                <w:szCs w:val="32"/>
                <w:vertAlign w:val="baseline"/>
                <w:lang w:val="en-US" w:eastAsia="zh-CN"/>
              </w:rPr>
              <w:t>由委托方提供的估价对象的材料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5" w:hRule="atLeast"/>
        </w:trPr>
        <w:tc>
          <w:tcPr>
            <w:tcW w:w="9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eastAsia="zh-CN"/>
              </w:rPr>
            </w:pPr>
            <w:r>
              <w:rPr>
                <w:rFonts w:hint="eastAsia" w:ascii="仿宋" w:hAnsi="仿宋" w:eastAsia="仿宋" w:cs="仿宋"/>
                <w:vertAlign w:val="baseline"/>
                <w:lang w:eastAsia="zh-CN"/>
              </w:rPr>
              <w:drawing>
                <wp:inline distT="0" distB="0" distL="114300" distR="114300">
                  <wp:extent cx="4499610" cy="7183120"/>
                  <wp:effectExtent l="0" t="0" r="15240" b="17780"/>
                  <wp:docPr id="21" name="图片 21" descr="微信图片_201811291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81129151235"/>
                          <pic:cNvPicPr>
                            <a:picLocks noChangeAspect="1"/>
                          </pic:cNvPicPr>
                        </pic:nvPicPr>
                        <pic:blipFill>
                          <a:blip r:embed="rId28"/>
                          <a:stretch>
                            <a:fillRect/>
                          </a:stretch>
                        </pic:blipFill>
                        <pic:spPr>
                          <a:xfrm>
                            <a:off x="0" y="0"/>
                            <a:ext cx="4499610" cy="718312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lang w:eastAsia="zh-CN"/>
        </w:rPr>
      </w:pPr>
    </w:p>
    <w:tbl>
      <w:tblPr>
        <w:tblStyle w:val="17"/>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8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val="en-US" w:eastAsia="zh-CN"/>
              </w:rPr>
            </w:pPr>
            <w:r>
              <w:rPr>
                <w:rFonts w:hint="eastAsia" w:ascii="仿宋" w:hAnsi="仿宋" w:eastAsia="仿宋" w:cs="仿宋"/>
                <w:b/>
                <w:bCs/>
                <w:sz w:val="32"/>
                <w:szCs w:val="32"/>
                <w:vertAlign w:val="baseline"/>
                <w:lang w:val="en-US" w:eastAsia="zh-CN"/>
              </w:rPr>
              <w:t>由委托方提供的估价对象的材料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26" w:hRule="atLeast"/>
        </w:trPr>
        <w:tc>
          <w:tcPr>
            <w:tcW w:w="85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inline distT="0" distB="0" distL="114300" distR="114300">
                  <wp:extent cx="4467225" cy="7125335"/>
                  <wp:effectExtent l="0" t="0" r="9525" b="18415"/>
                  <wp:docPr id="22" name="图片 22" descr="微信图片_2018112915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81129151243"/>
                          <pic:cNvPicPr>
                            <a:picLocks noChangeAspect="1"/>
                          </pic:cNvPicPr>
                        </pic:nvPicPr>
                        <pic:blipFill>
                          <a:blip r:embed="rId29"/>
                          <a:stretch>
                            <a:fillRect/>
                          </a:stretch>
                        </pic:blipFill>
                        <pic:spPr>
                          <a:xfrm>
                            <a:off x="0" y="0"/>
                            <a:ext cx="4467225" cy="712533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lang w:val="en-US" w:eastAsia="zh-CN"/>
        </w:rPr>
      </w:pPr>
    </w:p>
    <w:tbl>
      <w:tblPr>
        <w:tblStyle w:val="17"/>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82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val="en-US" w:eastAsia="zh-CN"/>
              </w:rPr>
            </w:pPr>
            <w:r>
              <w:rPr>
                <w:rFonts w:hint="eastAsia" w:ascii="仿宋" w:hAnsi="仿宋" w:eastAsia="仿宋" w:cs="仿宋"/>
                <w:b/>
                <w:bCs/>
                <w:sz w:val="32"/>
                <w:szCs w:val="32"/>
                <w:vertAlign w:val="baseline"/>
                <w:lang w:val="en-US" w:eastAsia="zh-CN"/>
              </w:rPr>
              <w:t>由委托方提供的估价对象的材料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9" w:hRule="atLeast"/>
        </w:trPr>
        <w:tc>
          <w:tcPr>
            <w:tcW w:w="828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inline distT="0" distB="0" distL="114300" distR="114300">
                  <wp:extent cx="4305935" cy="7084695"/>
                  <wp:effectExtent l="0" t="0" r="18415" b="1905"/>
                  <wp:docPr id="23" name="图片 23" descr="微信图片_2018112915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81129151249"/>
                          <pic:cNvPicPr>
                            <a:picLocks noChangeAspect="1"/>
                          </pic:cNvPicPr>
                        </pic:nvPicPr>
                        <pic:blipFill>
                          <a:blip r:embed="rId30"/>
                          <a:stretch>
                            <a:fillRect/>
                          </a:stretch>
                        </pic:blipFill>
                        <pic:spPr>
                          <a:xfrm>
                            <a:off x="0" y="0"/>
                            <a:ext cx="4305935" cy="7084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lang w:eastAsia="zh-CN"/>
        </w:rPr>
      </w:pPr>
    </w:p>
    <w:tbl>
      <w:tblPr>
        <w:tblStyle w:val="17"/>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0" w:type="dxa"/>
          <w:trHeight w:val="804" w:hRule="atLeast"/>
        </w:trPr>
        <w:tc>
          <w:tcPr>
            <w:tcW w:w="876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估价机构营业执照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0" w:type="dxa"/>
          <w:trHeight w:val="10590" w:hRule="atLeast"/>
        </w:trPr>
        <w:tc>
          <w:tcPr>
            <w:tcW w:w="876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drawing>
                <wp:inline distT="0" distB="0" distL="114300" distR="114300">
                  <wp:extent cx="5338445" cy="7802880"/>
                  <wp:effectExtent l="0" t="0" r="14605" b="7620"/>
                  <wp:docPr id="34" name="图片 25"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营业执照"/>
                          <pic:cNvPicPr>
                            <a:picLocks noChangeAspect="1"/>
                          </pic:cNvPicPr>
                        </pic:nvPicPr>
                        <pic:blipFill>
                          <a:blip r:embed="rId31">
                            <a:lum bright="-18000" contrast="6000"/>
                          </a:blip>
                          <a:stretch>
                            <a:fillRect/>
                          </a:stretch>
                        </pic:blipFill>
                        <pic:spPr>
                          <a:xfrm>
                            <a:off x="0" y="0"/>
                            <a:ext cx="5338445" cy="78028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36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vertAlign w:val="baseline"/>
                <w:lang w:eastAsia="zh-CN"/>
              </w:rPr>
            </w:pPr>
            <w:r>
              <w:rPr>
                <w:rFonts w:hint="eastAsia" w:ascii="仿宋" w:hAnsi="仿宋" w:eastAsia="仿宋" w:cs="仿宋"/>
                <w:b/>
                <w:bCs/>
                <w:sz w:val="28"/>
                <w:szCs w:val="28"/>
                <w:lang w:val="en-US" w:eastAsia="zh-CN"/>
              </w:rPr>
              <w:t>估价资质复印件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9" w:hRule="atLeast"/>
        </w:trPr>
        <w:tc>
          <w:tcPr>
            <w:tcW w:w="936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vertAlign w:val="baseline"/>
                <w:lang w:eastAsia="zh-CN"/>
              </w:rPr>
            </w:pPr>
            <w:r>
              <w:rPr>
                <w:rFonts w:hint="eastAsia" w:ascii="仿宋" w:hAnsi="仿宋" w:eastAsia="仿宋" w:cs="仿宋"/>
                <w:vertAlign w:val="baseline"/>
                <w:lang w:eastAsia="zh-CN"/>
              </w:rPr>
              <w:drawing>
                <wp:inline distT="0" distB="0" distL="114300" distR="114300">
                  <wp:extent cx="4915535" cy="7962900"/>
                  <wp:effectExtent l="0" t="0" r="18415" b="0"/>
                  <wp:docPr id="39" name="图片 26" descr="二级滋滋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二级滋滋副本"/>
                          <pic:cNvPicPr>
                            <a:picLocks noChangeAspect="1"/>
                          </pic:cNvPicPr>
                        </pic:nvPicPr>
                        <pic:blipFill>
                          <a:blip r:embed="rId32"/>
                          <a:stretch>
                            <a:fillRect/>
                          </a:stretch>
                        </pic:blipFill>
                        <pic:spPr>
                          <a:xfrm>
                            <a:off x="0" y="0"/>
                            <a:ext cx="4915535" cy="7962900"/>
                          </a:xfrm>
                          <a:prstGeom prst="rect">
                            <a:avLst/>
                          </a:prstGeom>
                          <a:noFill/>
                          <a:ln w="9525">
                            <a:noFill/>
                          </a:ln>
                        </pic:spPr>
                      </pic:pic>
                    </a:graphicData>
                  </a:graphic>
                </wp:inline>
              </w:drawing>
            </w:r>
          </w:p>
        </w:tc>
      </w:tr>
    </w:tbl>
    <w:tbl>
      <w:tblPr>
        <w:tblStyle w:val="17"/>
        <w:tblpPr w:leftFromText="180" w:rightFromText="180" w:vertAnchor="text" w:horzAnchor="page" w:tblpX="1268" w:tblpY="440"/>
        <w:tblOverlap w:val="never"/>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15" w:type="dxa"/>
            <w:vAlign w:val="center"/>
          </w:tcPr>
          <w:p>
            <w:pPr>
              <w:widowControl w:val="0"/>
              <w:spacing w:line="777" w:lineRule="atLeast"/>
              <w:jc w:val="center"/>
              <w:rPr>
                <w:rFonts w:hint="eastAsia" w:ascii="仿宋" w:hAnsi="仿宋" w:eastAsia="仿宋" w:cs="仿宋"/>
                <w:sz w:val="28"/>
                <w:szCs w:val="36"/>
                <w:vertAlign w:val="baseline"/>
                <w:lang w:val="en-US" w:eastAsia="zh-CN"/>
              </w:rPr>
            </w:pPr>
            <w:r>
              <w:rPr>
                <w:rFonts w:hint="eastAsia" w:ascii="仿宋" w:hAnsi="仿宋" w:eastAsia="仿宋" w:cs="仿宋"/>
                <w:b/>
                <w:bCs/>
                <w:sz w:val="28"/>
                <w:szCs w:val="28"/>
                <w:lang w:val="en-US" w:eastAsia="zh-CN"/>
              </w:rPr>
              <w:t>估价师执业证书复印件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5" w:type="dxa"/>
            <w:vAlign w:val="center"/>
          </w:tcPr>
          <w:p>
            <w:pPr>
              <w:widowControl w:val="0"/>
              <w:spacing w:line="777" w:lineRule="atLeast"/>
              <w:ind w:left="0" w:leftChars="0" w:firstLine="0" w:firstLineChars="0"/>
              <w:jc w:val="center"/>
              <w:rPr>
                <w:rFonts w:hint="eastAsia" w:ascii="仿宋" w:hAnsi="仿宋" w:eastAsia="仿宋" w:cs="仿宋"/>
                <w:sz w:val="28"/>
                <w:szCs w:val="36"/>
                <w:vertAlign w:val="baseline"/>
                <w:lang w:val="en-US" w:eastAsia="zh-CN"/>
              </w:rPr>
            </w:pPr>
            <w:r>
              <w:rPr>
                <w:rFonts w:hint="eastAsia" w:ascii="仿宋" w:hAnsi="仿宋" w:eastAsia="仿宋" w:cs="仿宋"/>
                <w:sz w:val="28"/>
                <w:szCs w:val="36"/>
                <w:vertAlign w:val="baseline"/>
                <w:lang w:val="en-US" w:eastAsia="zh-CN"/>
              </w:rPr>
              <w:drawing>
                <wp:inline distT="0" distB="0" distL="114300" distR="114300">
                  <wp:extent cx="4563745" cy="6671945"/>
                  <wp:effectExtent l="0" t="0" r="8255" b="14605"/>
                  <wp:docPr id="12" name="图片 30" descr="刘洪林刘莹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刘洪林刘莹莹"/>
                          <pic:cNvPicPr>
                            <a:picLocks noChangeAspect="1"/>
                          </pic:cNvPicPr>
                        </pic:nvPicPr>
                        <pic:blipFill>
                          <a:blip r:embed="rId33">
                            <a:lum bright="-18000" contrast="12000"/>
                          </a:blip>
                          <a:srcRect l="6027" t="9471" r="11861" b="3252"/>
                          <a:stretch>
                            <a:fillRect/>
                          </a:stretch>
                        </pic:blipFill>
                        <pic:spPr>
                          <a:xfrm rot="10800000">
                            <a:off x="0" y="0"/>
                            <a:ext cx="4563745" cy="6671945"/>
                          </a:xfrm>
                          <a:prstGeom prst="rect">
                            <a:avLst/>
                          </a:prstGeom>
                          <a:noFill/>
                          <a:ln w="9525">
                            <a:noFill/>
                          </a:ln>
                        </pic:spPr>
                      </pic:pic>
                    </a:graphicData>
                  </a:graphic>
                </wp:inline>
              </w:drawing>
            </w:r>
          </w:p>
        </w:tc>
      </w:tr>
    </w:tbl>
    <w:p>
      <w:pPr>
        <w:widowControl w:val="0"/>
        <w:spacing w:line="777" w:lineRule="atLeast"/>
        <w:ind w:left="0" w:leftChars="0" w:firstLine="0" w:firstLineChars="0"/>
        <w:jc w:val="both"/>
        <w:rPr>
          <w:rFonts w:hint="eastAsia" w:ascii="仿宋" w:hAnsi="仿宋" w:eastAsia="仿宋" w:cs="仿宋"/>
          <w:b/>
          <w:spacing w:val="23"/>
          <w:sz w:val="32"/>
          <w:szCs w:val="32"/>
          <w:u w:val="none" w:color="auto"/>
        </w:rPr>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pP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wis721 BT">
    <w:altName w:val="微软雅黑"/>
    <w:panose1 w:val="00000000000000000000"/>
    <w:charset w:val="00"/>
    <w:family w:val="auto"/>
    <w:pitch w:val="default"/>
    <w:sig w:usb0="00000000" w:usb1="00000000" w:usb2="00000000" w:usb3="00000000" w:csb0="00040001" w:csb1="00000000"/>
  </w:font>
  <w:font w:name="穝灿砰">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ind w:left="0" w:leftChars="0" w:firstLine="0" w:firstLineChars="0"/>
      <w:rPr>
        <w:rFonts w:hint="eastAsia"/>
        <w:lang w:val="en-US" w:eastAsia="zh-CN"/>
      </w:rPr>
    </w:pPr>
  </w:p>
  <w:p>
    <w:pPr>
      <w:pStyle w:val="9"/>
      <w:ind w:left="0" w:leftChars="0" w:firstLine="0" w:firstLineChars="0"/>
      <w:rPr>
        <w:rFonts w:hint="eastAsia" w:eastAsia="宋体"/>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posOffset>5214620</wp:posOffset>
              </wp:positionH>
              <wp:positionV relativeFrom="paragraph">
                <wp:posOffset>15240</wp:posOffset>
              </wp:positionV>
              <wp:extent cx="1828800" cy="3067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10.6pt;margin-top:1.2pt;height:24.15pt;width:144pt;mso-position-horizontal-relative:margin;mso-wrap-style:none;z-index:251667456;mso-width-relative:page;mso-height-relative:page;" filled="f" stroked="f" coordsize="21600,21600" o:gfxdata="UEsDBAoAAAAAAIdO4kAAAAAAAAAAAAAAAAAEAAAAZHJzL1BLAwQUAAAACACHTuJArAEkX9gAAAAJ&#10;AQAADwAAAGRycy9kb3ducmV2LnhtbE2PzU7DMBCE70i8g7VI3KidqIUS4lQIiV44NfxI3LbxNomI&#10;15HtNoGnxz3BcXZGM9+Wm9kO4kQ+9I41ZAsFgrhxpudWw9vr880aRIjIBgfHpOGbAmyqy4sSC+Mm&#10;3tGpjq1IJRwK1NDFOBZShqYji2HhRuLkHZy3GJP0rTQep1RuB5krdSst9pwWOhzpqaPmqz5aDdv5&#10;52P54j/jUOOuWb3bx/awnbS+vsrUA4hIc/wLwxk/oUOVmPbuyCaIQcM6z/IU1ZAvQZz9TN2nw17D&#10;St2BrEr5/4PqF1BLAwQUAAAACACHTuJAIEijFhkCAAAUBAAADgAAAGRycy9lMm9Eb2MueG1srVPN&#10;jtMwEL4j8Q6W7zRpV9utqqarsqsipIpdaUGcXcduLNkey3ablAeAN+DEhTvP1edg7DRdBJwQF2cy&#10;//PNN4vbzmhyED4osBUdj0pKhOVQK7ur6If361czSkJktmYarKjoUQR6u3z5YtG6uZhAA7oWnmAS&#10;G+atq2gTo5sXReCNMCyMwAmLRgnesIi/flfUnrWY3ehiUpbTogVfOw9chIDa+95Ilzm/lILHBymD&#10;iERXFHuL+fX53aa3WC7YfOeZaxQ/t8H+oQvDlMWil1T3LDKy9+qPVEZxDwFkHHEwBUipuMgz4DTj&#10;8rdpnhrmRJ4FwQnuAlP4f2n5u8OjJ6qu6OSGEssM7uj09cvp24/T988EdQhQ68Ic/Z4cesbuNXS4&#10;6EEfUJnm7qQ36YsTEbQj1McLvKKLhKeg2WQ2K9HE0XZVTm/K65SmeI52PsQ3AgxJQkU9ri+jyg6b&#10;EHvXwSUVs7BWWucVakvaik6vrssccLFgcm2xRpqh7zVJsdt258G2UB9xLg89NYLja4XFNyzER+aR&#10;C9gv8js+4CM1YBE4S5Q04D/9TZ/8cUVopaRFblXUIvkp0W8tri7RcBD8IGwHwe7NHSBZx3g3jmcR&#10;A3zUgyg9mI9I+lWqgSZmOVaqaBzEu9jzG4+Gi9UqO+2dV7umD0DiORY39snxVKYHcrWPIFXGOAHU&#10;o3LGDamXt3Q+k8TtX/+z1/Mx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AEkX9gAAAAJAQAA&#10;DwAAAAAAAAABACAAAAAiAAAAZHJzL2Rvd25yZXYueG1sUEsBAhQAFAAAAAgAh07iQCBIoxYZAgAA&#10;FAQAAA4AAAAAAAAAAQAgAAAAJwEAAGRycy9lMm9Eb2MueG1sUEsFBgAAAAAGAAYAWQEAALIFAAAA&#10;AA==&#10;">
              <v:fill on="f" focussize="0,0"/>
              <v:stroke on="f" weight="0.5pt"/>
              <v:imagedata o:title=""/>
              <o:lock v:ext="edit" aspectratio="f"/>
              <v:textbox inset="0mm,0mm,0mm,0mm">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r>
      <w:rPr>
        <w:rFonts w:hint="eastAsia"/>
        <w:lang w:eastAsia="zh-CN"/>
      </w:rPr>
      <w:t>聊城市中衡房地产评估有限公司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w:rPr>
        <w:sz w:val="20"/>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2336" behindDoc="0" locked="1" layoutInCell="1" allowOverlap="1">
              <wp:simplePos x="0" y="0"/>
              <wp:positionH relativeFrom="column">
                <wp:posOffset>0</wp:posOffset>
              </wp:positionH>
              <wp:positionV relativeFrom="paragraph">
                <wp:posOffset>0</wp:posOffset>
              </wp:positionV>
              <wp:extent cx="5903595" cy="3594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903595" cy="359410"/>
                      </a:xfrm>
                      <a:prstGeom prst="rect">
                        <a:avLst/>
                      </a:prstGeom>
                      <a:noFill/>
                      <a:ln w="7200">
                        <a:noFill/>
                      </a:ln>
                    </wps:spPr>
                    <wps:txbx>
                      <w:txbxContent>
                        <w:p>
                          <w:pPr>
                            <w:widowControl w:val="0"/>
                            <w:spacing w:line="334" w:lineRule="atLeast"/>
                            <w:ind w:left="0" w:leftChars="0" w:firstLine="0" w:firstLineChars="0"/>
                            <w:rPr>
                              <w:rFonts w:hint="eastAsia" w:eastAsia="宋体"/>
                              <w:sz w:val="18"/>
                              <w:szCs w:val="18"/>
                              <w:lang w:eastAsia="zh-CN"/>
                            </w:rPr>
                          </w:pPr>
                          <w:r>
                            <w:rPr>
                              <w:rFonts w:hint="eastAsia"/>
                              <w:sz w:val="18"/>
                              <w:szCs w:val="18"/>
                              <w:lang w:eastAsia="zh-CN"/>
                            </w:rPr>
                            <w:t>聊城市中衡房地产评估有限公司</w:t>
                          </w:r>
                        </w:p>
                      </w:txbxContent>
                    </wps:txbx>
                    <wps:bodyPr lIns="0" tIns="0" rIns="0" bIns="0" upright="1"/>
                  </wps:wsp>
                </a:graphicData>
              </a:graphic>
            </wp:anchor>
          </w:drawing>
        </mc:Choice>
        <mc:Fallback>
          <w:pict>
            <v:shape id="_x0000_s1026" o:spid="_x0000_s1026" o:spt="202" type="#_x0000_t202" style="position:absolute;left:0pt;margin-left:0pt;margin-top:0pt;height:28.3pt;width:464.85pt;z-index:251662336;mso-width-relative:page;mso-height-relative:page;" filled="f" stroked="f" coordsize="21600,21600" o:gfxdata="UEsDBAoAAAAAAIdO4kAAAAAAAAAAAAAAAAAEAAAAZHJzL1BLAwQUAAAACACHTuJAMxT6xdYAAAAE&#10;AQAADwAAAGRycy9kb3ducmV2LnhtbE2PQU/CQBCF7yb+h82YcJMtDVSp3ZJoQgIHD1QD16U7tIXu&#10;bNOdFvz3rl70MsnLe3nvm2x1s60YsfeNIwWzaQQCqXSmoUrB58f68RmEZ01Gt45QwRd6WOX3d5lO&#10;jbvSDseCKxFKyKdaQc3cpVL6skar/dR1SME7ud5qDrKvpOn1NZTbVsZRlEirGwoLte7wrcbyUgxW&#10;wWZ83e3j9+KwL+eLS8XDYbs+k1KTh1n0AoLxxn9h+MEP6JAHpqMbyHjRKgiP8O8N3jJePoE4Klgk&#10;Ccg8k//h829QSwMEFAAAAAgAh07iQL4DseynAQAALQMAAA4AAABkcnMvZTJvRG9jLnhtbK1SzW4T&#10;MRC+I/EOlu9kN4WUdpVNJVQVVaoAqeUBHK+dtWR7rLGb3bxA+waceuHOc+U5OnazKYIb4mKP58/z&#10;fd8sL0Zn2VZhNOBbPp/VnCkvoTN+0/Lvd1fvzjiLSfhOWPCq5TsV+cXq7ZvlEBp1Aj3YTiGjJj42&#10;Q2h5n1JoqirKXjkRZxCUp6AGdCLREzdVh2Kg7s5WJ3V9Wg2AXUCQKkbyXr4E+ar011rJ9FXrqBKz&#10;LafZUjmxnOt8VqulaDYoQm/kYQzxD1M4YTx9emx1KZJg92j+auWMRIig00yCq0BrI1XBQGjm9R9o&#10;bnsRVMFC5MRwpCn+v7byy/YbMtO1nITywpFE+x+P+6df+58P7CzTM4TYUNZtoLw0foKRZJ78kZwZ&#10;9ajR5ZvwMIoT0bsjuWpMTJJzcV6/X5wvOJMUI+vDvLBfvVYHjOmzAsey0XIk8QqnYnsTE01CqVNK&#10;/szDlbG2CGg9G1r+kRaiFBwjVGE9FWYML7NmK43r8QBsDd2OcNlrT5zm/ZgMnIz1ZNwHNJue5iro&#10;S0vSpEx12J8s+u/v8vHrlq+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MU+sXWAAAABAEAAA8A&#10;AAAAAAAAAQAgAAAAIgAAAGRycy9kb3ducmV2LnhtbFBLAQIUABQAAAAIAIdO4kC+A7HspwEAAC0D&#10;AAAOAAAAAAAAAAEAIAAAACUBAABkcnMvZTJvRG9jLnhtbFBLBQYAAAAABgAGAFkBAAA+BQAAAAA=&#10;">
              <v:fill on="f" focussize="0,0"/>
              <v:stroke on="f" weight="0.566929133858268pt"/>
              <v:imagedata o:title=""/>
              <o:lock v:ext="edit" aspectratio="f"/>
              <v:textbox inset="0mm,0mm,0mm,0mm">
                <w:txbxContent>
                  <w:p>
                    <w:pPr>
                      <w:widowControl w:val="0"/>
                      <w:spacing w:line="334" w:lineRule="atLeast"/>
                      <w:ind w:left="0" w:leftChars="0" w:firstLine="0" w:firstLineChars="0"/>
                      <w:rPr>
                        <w:rFonts w:hint="eastAsia" w:eastAsia="宋体"/>
                        <w:sz w:val="18"/>
                        <w:szCs w:val="18"/>
                        <w:lang w:eastAsia="zh-CN"/>
                      </w:rPr>
                    </w:pPr>
                    <w:r>
                      <w:rPr>
                        <w:rFonts w:hint="eastAsia"/>
                        <w:sz w:val="18"/>
                        <w:szCs w:val="18"/>
                        <w:lang w:eastAsia="zh-CN"/>
                      </w:rPr>
                      <w:t>聊城市中衡房地产评估有限公司</w:t>
                    </w:r>
                  </w:p>
                </w:txbxContent>
              </v:textbox>
              <w10:anchorlock/>
            </v:shape>
          </w:pict>
        </mc:Fallback>
      </mc:AlternateContent>
    </w:r>
    <w:r>
      <mc:AlternateContent>
        <mc:Choice Requires="wps">
          <w:drawing>
            <wp:inline distT="0" distB="0" distL="114300" distR="114300">
              <wp:extent cx="5903595" cy="359410"/>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3595" cy="359410"/>
                      </a:xfrm>
                      <a:prstGeom prst="rect">
                        <a:avLst/>
                      </a:prstGeom>
                      <a:noFill/>
                      <a:ln w="9525">
                        <a:noFill/>
                      </a:ln>
                    </wps:spPr>
                    <wps:bodyPr upright="1"/>
                  </wps:wsp>
                </a:graphicData>
              </a:graphic>
            </wp:inline>
          </w:drawing>
        </mc:Choice>
        <mc:Fallback>
          <w:pict>
            <v:rect id="_x0000_s1026" o:spid="_x0000_s1026" o:spt="1" style="height:28.3pt;width:464.85pt;" filled="f" stroked="f" coordsize="21600,21600" o:gfxdata="UEsDBAoAAAAAAIdO4kAAAAAAAAAAAAAAAAAEAAAAZHJzL1BLAwQUAAAACACHTuJAkBRT39cAAAAE&#10;AQAADwAAAGRycy9kb3ducmV2LnhtbE2PQWvCQBCF7wX/wzJCL0U3Ck1rmokHQSqlIMbqec1Ok2B2&#10;NmbXxP77bntpLwOP93jvm3R5M43oqXO1ZYTZNAJBXFhdc4nwsV9PnkE4r1irxjIhfJGDZTa6S1Wi&#10;7cA76nNfilDCLlEIlfdtIqUrKjLKTW1LHLxP2xnlg+xKqTs1hHLTyHkUxdKomsNCpVpaVVSc86tB&#10;GIptf9y/v8rtw3Fj+bK5rPLDG+L9eBa9gPB0839h+MEP6JAFppO9snaiQQiP+N8bvMV88QTihPAY&#10;xyCzVP6Hz74BUEsDBBQAAAAIAIdO4kAZi8hXngEAAB0DAAAOAAAAZHJzL2Uyb0RvYy54bWytUsFu&#10;EzEQvSP1Hyzfm90kLCKrbCpEVS4VVGr5ANdr71q1PZbHzSZfg8SNj+BzEL/B2E0DpbeqF8vjmXnz&#10;3huvz3bOsq2KaMB3fD6rOVNeQm/80PGvNxen7znDJHwvLHjV8b1CfrY5ebOeQqsWMILtVWQE4rGd&#10;QsfHlEJbVShH5QTOIChPSQ3RiURhHKo+ionQna0Wdf2umiD2IYJUiPR6/pDkm4KvtZLpi9aoErMd&#10;J26pnLGct/msNmvRDlGE0cgDDfECFk4YT0OPUOciCXYfzTMoZ2QEBJ1mElwFWhupigZSM6//U3M9&#10;iqCKFjIHw9EmfD1Y+Xl7FZnpO77kzAtHK/r97cevn9/ZMnszBWyp5DpcxawOwyXIO2QePo7CD+oD&#10;BnKY9p5rqyfFOcBD205Hl9tJLtsV7/dH79UuMUmPzapeNquGM0k5ur2dl+VUon3sDhHTJwWO5UvH&#10;I00ulovtJaY8X7SPJXmYhwtjbdmv9Wzq+KpZNKXhmKEO6w/EH7hm1rfQ78mT+xDNMD4RRzsoYw7/&#10;JS/537gg/f3V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FFPf1wAAAAQBAAAPAAAAAAAAAAEA&#10;IAAAACIAAABkcnMvZG93bnJldi54bWxQSwECFAAUAAAACACHTuJAGYvIV54BAAAdAwAADgAAAAAA&#10;AAABACAAAAAmAQAAZHJzL2Uyb0RvYy54bWxQSwUGAAAAAAYABgBZAQAANgUAAAAA&#10;">
              <v:fill on="f" focussize="0,0"/>
              <v:stroke on="f"/>
              <v:imagedata o:title=""/>
              <o:lock v:ext="edit" aspectratio="t"/>
              <w10:wrap type="none"/>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w:rPr>
        <w:sz w:val="20"/>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1312" behindDoc="0" locked="1" layoutInCell="1" allowOverlap="1">
              <wp:simplePos x="0" y="0"/>
              <wp:positionH relativeFrom="column">
                <wp:posOffset>0</wp:posOffset>
              </wp:positionH>
              <wp:positionV relativeFrom="paragraph">
                <wp:posOffset>0</wp:posOffset>
              </wp:positionV>
              <wp:extent cx="5903595" cy="35941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903595" cy="359410"/>
                      </a:xfrm>
                      <a:prstGeom prst="rect">
                        <a:avLst/>
                      </a:prstGeom>
                      <a:noFill/>
                      <a:ln w="7200">
                        <a:noFill/>
                      </a:ln>
                    </wps:spPr>
                    <wps:txbx>
                      <w:txbxContent>
                        <w:p>
                          <w:pPr>
                            <w:widowControl w:val="0"/>
                            <w:spacing w:line="334" w:lineRule="atLeast"/>
                            <w:ind w:left="0" w:leftChars="0" w:firstLine="0" w:firstLineChars="0"/>
                            <w:rPr>
                              <w:rFonts w:hint="eastAsia" w:eastAsia="宋体"/>
                              <w:sz w:val="21"/>
                              <w:lang w:val="en-US" w:eastAsia="zh-CN"/>
                            </w:rPr>
                          </w:pPr>
                          <w:r>
                            <w:rPr>
                              <w:rFonts w:hint="eastAsia"/>
                              <w:sz w:val="21"/>
                              <w:lang w:eastAsia="zh-CN"/>
                            </w:rPr>
                            <w:t>聊城市中衡房地产评估有限公司</w:t>
                          </w:r>
                          <w:r>
                            <w:rPr>
                              <w:rFonts w:hint="eastAsia"/>
                              <w:sz w:val="21"/>
                              <w:lang w:val="en-US" w:eastAsia="zh-CN"/>
                            </w:rPr>
                            <w:t>`</w:t>
                          </w:r>
                        </w:p>
                      </w:txbxContent>
                    </wps:txbx>
                    <wps:bodyPr lIns="0" tIns="0" rIns="0" bIns="0" upright="1"/>
                  </wps:wsp>
                </a:graphicData>
              </a:graphic>
            </wp:anchor>
          </w:drawing>
        </mc:Choice>
        <mc:Fallback>
          <w:pict>
            <v:shape id="_x0000_s1026" o:spid="_x0000_s1026" o:spt="202" type="#_x0000_t202" style="position:absolute;left:0pt;margin-left:0pt;margin-top:0pt;height:28.3pt;width:464.85pt;z-index:251661312;mso-width-relative:page;mso-height-relative:page;" filled="f" stroked="f" coordsize="21600,21600" o:gfxdata="UEsDBAoAAAAAAIdO4kAAAAAAAAAAAAAAAAAEAAAAZHJzL1BLAwQUAAAACACHTuJAMxT6xdYAAAAE&#10;AQAADwAAAGRycy9kb3ducmV2LnhtbE2PQU/CQBCF7yb+h82YcJMtDVSp3ZJoQgIHD1QD16U7tIXu&#10;bNOdFvz3rl70MsnLe3nvm2x1s60YsfeNIwWzaQQCqXSmoUrB58f68RmEZ01Gt45QwRd6WOX3d5lO&#10;jbvSDseCKxFKyKdaQc3cpVL6skar/dR1SME7ud5qDrKvpOn1NZTbVsZRlEirGwoLte7wrcbyUgxW&#10;wWZ83e3j9+KwL+eLS8XDYbs+k1KTh1n0AoLxxn9h+MEP6JAHpqMbyHjRKgiP8O8N3jJePoE4Klgk&#10;Ccg8k//h829QSwMEFAAAAAgAh07iQCoseGKoAQAALwMAAA4AAABkcnMvZTJvRG9jLnhtbK1SS27b&#10;MBDdF+gdCO5ryUndNoLlAEWQokCRFEh7AJoiLQIkhxgylnyB9gZZdZN9z+VzdMhYTpDsgm6o0Xze&#10;zHszy/PRWbZVGA34ls9nNWfKS+iM37T854/Ld584i0n4TljwquU7Ffn56u2b5RAadQI92E4hIxAf&#10;myG0vE8pNFUVZa+ciDMIylNQAzqR6Bc3VYdiIHRnq5O6/lANgF1AkCpG8l48BPmq4GutZLrWOqrE&#10;bMtptlReLO86v9VqKZoNitAbeRhDvGIKJ4ynpkeoC5EEu0XzAsoZiRBBp5kEV4HWRqrCgdjM62ds&#10;bnoRVOFC4sRwlCn+P1h5tf2OzHQtP11w5oWjHe3vfu///N3f/2LkI4GGEBvKuwmUmcbPMNKiJ38k&#10;Z+Y9anT5S4wYxUnq3VFeNSYmybk4q08XZ9RGUoys9/Oif/VYHTCmLwocy0bLkdZXVBXbbzHRJJQ6&#10;peRmHi6NtWWF1rOh5R/pJErBMUIV1lNh5vAwa7bSuB4PxNbQ7YiX/epJ1Xwhk4GTsZ6M24Bm09Nc&#10;hX2BpK2UqQ4XlNf+9L80frzz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zFPrF1gAAAAQBAAAP&#10;AAAAAAAAAAEAIAAAACIAAABkcnMvZG93bnJldi54bWxQSwECFAAUAAAACACHTuJAKix4YqgBAAAv&#10;AwAADgAAAAAAAAABACAAAAAlAQAAZHJzL2Uyb0RvYy54bWxQSwUGAAAAAAYABgBZAQAAPwUAAAAA&#10;">
              <v:fill on="f" focussize="0,0"/>
              <v:stroke on="f" weight="0.566929133858268pt"/>
              <v:imagedata o:title=""/>
              <o:lock v:ext="edit" aspectratio="f"/>
              <v:textbox inset="0mm,0mm,0mm,0mm">
                <w:txbxContent>
                  <w:p>
                    <w:pPr>
                      <w:widowControl w:val="0"/>
                      <w:spacing w:line="334" w:lineRule="atLeast"/>
                      <w:ind w:left="0" w:leftChars="0" w:firstLine="0" w:firstLineChars="0"/>
                      <w:rPr>
                        <w:rFonts w:hint="eastAsia" w:eastAsia="宋体"/>
                        <w:sz w:val="21"/>
                        <w:lang w:val="en-US" w:eastAsia="zh-CN"/>
                      </w:rPr>
                    </w:pPr>
                    <w:r>
                      <w:rPr>
                        <w:rFonts w:hint="eastAsia"/>
                        <w:sz w:val="21"/>
                        <w:lang w:eastAsia="zh-CN"/>
                      </w:rPr>
                      <w:t>聊城市中衡房地产评估有限公司</w:t>
                    </w:r>
                    <w:r>
                      <w:rPr>
                        <w:rFonts w:hint="eastAsia"/>
                        <w:sz w:val="21"/>
                        <w:lang w:val="en-US" w:eastAsia="zh-CN"/>
                      </w:rPr>
                      <w:t>`</w:t>
                    </w:r>
                  </w:p>
                </w:txbxContent>
              </v:textbox>
              <w10:anchorlock/>
            </v:shape>
          </w:pict>
        </mc:Fallback>
      </mc:AlternateContent>
    </w:r>
    <w:r>
      <mc:AlternateContent>
        <mc:Choice Requires="wps">
          <w:drawing>
            <wp:inline distT="0" distB="0" distL="114300" distR="114300">
              <wp:extent cx="5903595" cy="359410"/>
              <wp:effectExtent l="0" t="0" r="0" b="0"/>
              <wp:docPr id="40" name="矩形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3595" cy="359410"/>
                      </a:xfrm>
                      <a:prstGeom prst="rect">
                        <a:avLst/>
                      </a:prstGeom>
                      <a:noFill/>
                      <a:ln w="9525">
                        <a:noFill/>
                      </a:ln>
                    </wps:spPr>
                    <wps:bodyPr upright="1"/>
                  </wps:wsp>
                </a:graphicData>
              </a:graphic>
            </wp:inline>
          </w:drawing>
        </mc:Choice>
        <mc:Fallback>
          <w:pict>
            <v:rect id="_x0000_s1026" o:spid="_x0000_s1026" o:spt="1" style="height:28.3pt;width:464.85pt;" filled="f" stroked="f" coordsize="21600,21600" o:gfxdata="UEsDBAoAAAAAAIdO4kAAAAAAAAAAAAAAAAAEAAAAZHJzL1BLAwQUAAAACACHTuJAkBRT39cAAAAE&#10;AQAADwAAAGRycy9kb3ducmV2LnhtbE2PQWvCQBCF7wX/wzJCL0U3Ck1rmokHQSqlIMbqec1Ok2B2&#10;NmbXxP77bntpLwOP93jvm3R5M43oqXO1ZYTZNAJBXFhdc4nwsV9PnkE4r1irxjIhfJGDZTa6S1Wi&#10;7cA76nNfilDCLlEIlfdtIqUrKjLKTW1LHLxP2xnlg+xKqTs1hHLTyHkUxdKomsNCpVpaVVSc86tB&#10;GIptf9y/v8rtw3Fj+bK5rPLDG+L9eBa9gPB0839h+MEP6JAFppO9snaiQQiP+N8bvMV88QTihPAY&#10;xyCzVP6Hz74BUEsDBBQAAAAIAIdO4kBtgpyRngEAAB8DAAAOAAAAZHJzL2Uyb0RvYy54bWytUktu&#10;FDEQ3SNxB8t7xj1DGjGt6YkQUdhEECnhAI7b7rawXZbLmZ45DRI7DsFxENeg7EwGAjvExrLr8+q9&#10;V96c771jO53QQuj5ctFwpoOCwYax5x9vL1+85gyzDIN0EHTPDxr5+fb5s80cO72CCdygEyOQgN0c&#10;ez7lHDshUE3aS1xA1IGSBpKXmZ5pFEOSM6F7J1ZN80rMkIaYQGlEil48JPm24hujVf5gDOrMXM+J&#10;W65nquddOcV2I7sxyThZdaQh/4GFlzbQ0BPUhcyS3Sf7F5S3KgGCyQsFXoAxVumqgdQsmz/U3Ewy&#10;6qqFzMF4sgn/H6x6v7tOzA49PyN7gvS0ox+fv37/9oVRgNyZI3ZUdBOvU9GH8QrUJ2QB3k4yjPoN&#10;RvKYNl9qxZPi8sBj294kX9pJMNtX9w8n9/U+M0XBdt28bNctZ4pydDtbVgJCdo/dMWF+p8Gzcul5&#10;osnVdLm7wlzmy+6xpAwLcGmdqxt2gc09X7ertjacMtThwpH4A9fC+g6GA7lyH5MdpyfiaAt1zPHH&#10;lDX//q5Iv/71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FFPf1wAAAAQBAAAPAAAAAAAAAAEA&#10;IAAAACIAAABkcnMvZG93bnJldi54bWxQSwECFAAUAAAACACHTuJAbYKckZ4BAAAfAwAADgAAAAAA&#10;AAABACAAAAAmAQAAZHJzL2Uyb0RvYy54bWxQSwUGAAAAAAYABgBZAQAANgUAAAAA&#10;">
              <v:fill on="f" focussize="0,0"/>
              <v:stroke on="f"/>
              <v:imagedata o:title=""/>
              <o:lock v:ext="edit" aspectratio="t"/>
              <w10:wrap type="none"/>
              <w10:anchorlock/>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w:rPr>
        <w:sz w:val="20"/>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6432" behindDoc="0" locked="1" layoutInCell="1" allowOverlap="1">
              <wp:simplePos x="0" y="0"/>
              <wp:positionH relativeFrom="column">
                <wp:posOffset>0</wp:posOffset>
              </wp:positionH>
              <wp:positionV relativeFrom="paragraph">
                <wp:posOffset>0</wp:posOffset>
              </wp:positionV>
              <wp:extent cx="5903595" cy="35941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903595" cy="359410"/>
                      </a:xfrm>
                      <a:prstGeom prst="rect">
                        <a:avLst/>
                      </a:prstGeom>
                      <a:noFill/>
                      <a:ln w="7200">
                        <a:noFill/>
                      </a:ln>
                    </wps:spPr>
                    <wps:txbx>
                      <w:txbxContent>
                        <w:p>
                          <w:pPr>
                            <w:widowControl w:val="0"/>
                            <w:spacing w:line="334" w:lineRule="atLeast"/>
                            <w:ind w:left="0" w:leftChars="0" w:firstLine="0" w:firstLineChars="0"/>
                            <w:rPr>
                              <w:rFonts w:hint="eastAsia" w:eastAsia="宋体"/>
                              <w:sz w:val="21"/>
                              <w:lang w:val="en-US" w:eastAsia="zh-CN"/>
                            </w:rPr>
                          </w:pPr>
                          <w:r>
                            <w:rPr>
                              <w:rFonts w:hint="eastAsia"/>
                              <w:sz w:val="21"/>
                              <w:lang w:eastAsia="zh-CN"/>
                            </w:rPr>
                            <w:t>聊城市中衡房地产评估有限公司</w:t>
                          </w:r>
                          <w:r>
                            <w:rPr>
                              <w:rFonts w:hint="eastAsia"/>
                              <w:sz w:val="21"/>
                              <w:lang w:val="en-US" w:eastAsia="zh-CN"/>
                            </w:rPr>
                            <w:t>`</w:t>
                          </w:r>
                        </w:p>
                      </w:txbxContent>
                    </wps:txbx>
                    <wps:bodyPr lIns="0" tIns="0" rIns="0" bIns="0" upright="1"/>
                  </wps:wsp>
                </a:graphicData>
              </a:graphic>
            </wp:anchor>
          </w:drawing>
        </mc:Choice>
        <mc:Fallback>
          <w:pict>
            <v:shape id="_x0000_s1026" o:spid="_x0000_s1026" o:spt="202" type="#_x0000_t202" style="position:absolute;left:0pt;margin-left:0pt;margin-top:0pt;height:28.3pt;width:464.85pt;z-index:251666432;mso-width-relative:page;mso-height-relative:page;" filled="f" stroked="f" coordsize="21600,21600" o:gfxdata="UEsDBAoAAAAAAIdO4kAAAAAAAAAAAAAAAAAEAAAAZHJzL1BLAwQUAAAACACHTuJAMxT6xdYAAAAE&#10;AQAADwAAAGRycy9kb3ducmV2LnhtbE2PQU/CQBCF7yb+h82YcJMtDVSp3ZJoQgIHD1QD16U7tIXu&#10;bNOdFvz3rl70MsnLe3nvm2x1s60YsfeNIwWzaQQCqXSmoUrB58f68RmEZ01Gt45QwRd6WOX3d5lO&#10;jbvSDseCKxFKyKdaQc3cpVL6skar/dR1SME7ud5qDrKvpOn1NZTbVsZRlEirGwoLte7wrcbyUgxW&#10;wWZ83e3j9+KwL+eLS8XDYbs+k1KTh1n0AoLxxn9h+MEP6JAHpqMbyHjRKgiP8O8N3jJePoE4Klgk&#10;Ccg8k//h829QSwMEFAAAAAgAh07iQIREe0OoAQAALwMAAA4AAABkcnMvZTJvRG9jLnhtbK1SS27b&#10;MBDdF8gdCO5jyWndNoLlAEWQokCQFEh7AJoiLQIkhxgylnyB5gZZdZN9z+VzZMhYTtHuim6o0Xze&#10;zHszy4vRWbZVGA34ls9nNWfKS+iM37T8+7er04+cxSR8Jyx41fKdivxidfJmOYRGnUEPtlPICMTH&#10;Zggt71MKTVVF2Ssn4gyC8hTUgE4k+sVN1aEYCN3Z6qyu31cDYBcQpIqRvJcvQb4q+FormW61jiox&#10;23KaLZUXy7vOb7VaimaDIvRGHsYQ/zCFE8ZT0yPUpUiC3aP5C8oZiRBBp5kEV4HWRqrCgdjM6z/Y&#10;3PUiqMKFxInhKFP8f7DyZvsVmelavlhw5oWjHe0fH/Y/f+2ffjDykUBDiA3l3QXKTOMnGGnRkz+S&#10;M/MeNbr8JUaM4iT17iivGhOT5Fyc128X59RGUoysd/Oif/VaHTCmzwocy0bLkdZXVBXb65hoEkqd&#10;UnIzD1fG2rJC69nQ8g90EqXgGKEK66kwc3iZNVtpXI8HYmvodsTLfvGkar6QycDJWE/GfUCz6Wmu&#10;wr5A0lbKVIcLymv//b80fr3z1T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zFPrF1gAAAAQBAAAP&#10;AAAAAAAAAAEAIAAAACIAAABkcnMvZG93bnJldi54bWxQSwECFAAUAAAACACHTuJAhER7Q6gBAAAv&#10;AwAADgAAAAAAAAABACAAAAAlAQAAZHJzL2Uyb0RvYy54bWxQSwUGAAAAAAYABgBZAQAAPwUAAAAA&#10;">
              <v:fill on="f" focussize="0,0"/>
              <v:stroke on="f" weight="0.566929133858268pt"/>
              <v:imagedata o:title=""/>
              <o:lock v:ext="edit" aspectratio="f"/>
              <v:textbox inset="0mm,0mm,0mm,0mm">
                <w:txbxContent>
                  <w:p>
                    <w:pPr>
                      <w:widowControl w:val="0"/>
                      <w:spacing w:line="334" w:lineRule="atLeast"/>
                      <w:ind w:left="0" w:leftChars="0" w:firstLine="0" w:firstLineChars="0"/>
                      <w:rPr>
                        <w:rFonts w:hint="eastAsia" w:eastAsia="宋体"/>
                        <w:sz w:val="21"/>
                        <w:lang w:val="en-US" w:eastAsia="zh-CN"/>
                      </w:rPr>
                    </w:pPr>
                    <w:r>
                      <w:rPr>
                        <w:rFonts w:hint="eastAsia"/>
                        <w:sz w:val="21"/>
                        <w:lang w:eastAsia="zh-CN"/>
                      </w:rPr>
                      <w:t>聊城市中衡房地产评估有限公司</w:t>
                    </w:r>
                    <w:r>
                      <w:rPr>
                        <w:rFonts w:hint="eastAsia"/>
                        <w:sz w:val="21"/>
                        <w:lang w:val="en-US" w:eastAsia="zh-CN"/>
                      </w:rPr>
                      <w:t>`</w:t>
                    </w:r>
                  </w:p>
                </w:txbxContent>
              </v:textbox>
              <w10:anchorlock/>
            </v:shape>
          </w:pict>
        </mc:Fallback>
      </mc:AlternateContent>
    </w:r>
    <w:r>
      <mc:AlternateContent>
        <mc:Choice Requires="wps">
          <w:drawing>
            <wp:inline distT="0" distB="0" distL="114300" distR="114300">
              <wp:extent cx="5903595" cy="359410"/>
              <wp:effectExtent l="0" t="0" r="0" b="0"/>
              <wp:docPr id="56" name="矩形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3595" cy="359410"/>
                      </a:xfrm>
                      <a:prstGeom prst="rect">
                        <a:avLst/>
                      </a:prstGeom>
                      <a:noFill/>
                      <a:ln w="9525">
                        <a:noFill/>
                      </a:ln>
                    </wps:spPr>
                    <wps:bodyPr upright="1"/>
                  </wps:wsp>
                </a:graphicData>
              </a:graphic>
            </wp:inline>
          </w:drawing>
        </mc:Choice>
        <mc:Fallback>
          <w:pict>
            <v:rect id="_x0000_s1026" o:spid="_x0000_s1026" o:spt="1" style="height:28.3pt;width:464.85pt;" filled="f" stroked="f" coordsize="21600,21600" o:gfxdata="UEsDBAoAAAAAAIdO4kAAAAAAAAAAAAAAAAAEAAAAZHJzL1BLAwQUAAAACACHTuJAkBRT39cAAAAE&#10;AQAADwAAAGRycy9kb3ducmV2LnhtbE2PQWvCQBCF7wX/wzJCL0U3Ck1rmokHQSqlIMbqec1Ok2B2&#10;NmbXxP77bntpLwOP93jvm3R5M43oqXO1ZYTZNAJBXFhdc4nwsV9PnkE4r1irxjIhfJGDZTa6S1Wi&#10;7cA76nNfilDCLlEIlfdtIqUrKjLKTW1LHLxP2xnlg+xKqTs1hHLTyHkUxdKomsNCpVpaVVSc86tB&#10;GIptf9y/v8rtw3Fj+bK5rPLDG+L9eBa9gPB0839h+MEP6JAFppO9snaiQQiP+N8bvMV88QTihPAY&#10;xyCzVP6Hz74BUEsDBBQAAAAIAIdO4kA637SDngEAAB8DAAAOAAAAZHJzL2Uyb0RvYy54bWytUs1u&#10;EzEQviPxDpbvxJvAVmSVTYWoyqWCSi0P4HrtXQvbY3ncbPI0SNx4CB4H8RqM3TRQuCEuI8/fN/N9&#10;48353ju20wkthJ4vFw1nOigYbBh7/vH28sVrzjDLMEgHQff8oJGfb58/28yx0yuYwA06MQIJ2M2x&#10;51POsRMC1aS9xAVEHShpIHmZyU2jGJKcCd07sWqaMzFDGmICpREpevGQ5NuKb4xW+YMxqDNzPafd&#10;crWp2rtixXYjuzHJOFl1XEP+wxZe2kBDT1AXMkt2n+xfUN6qBAgmLxR4AcZYpSsHYrNs/mBzM8mo&#10;KxcSB+NJJvx/sOr97joxO/S8PeMsSE83+vH56/dvXxgFSJ05YkdFN/E6FX4Yr0B9Qhbg7STDqN9g&#10;JI3p8qVWPCkuDh7b9ib50k6E2b6qfzipr/eZKQq26+Zlu245U5Sj16tlPY+Q3WN3TJjfafCsPHqe&#10;aHIVXe6uMJf5snssKcMCXFrn6oVdYHPP1+2qrQ2nDHW4cFz8Ydey9R0MB1LlPiY7Tk/I0RXqmOOP&#10;KWf+3a9Iv/71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FFPf1wAAAAQBAAAPAAAAAAAAAAEA&#10;IAAAACIAAABkcnMvZG93bnJldi54bWxQSwECFAAUAAAACACHTuJAOt+0g54BAAAfAwAADgAAAAAA&#10;AAABACAAAAAmAQAAZHJzL2Uyb0RvYy54bWxQSwUGAAAAAAYABgBZAQAANgUAAAAA&#10;">
              <v:fill on="f" focussize="0,0"/>
              <v:stroke on="f"/>
              <v:imagedata o:title=""/>
              <o:lock v:ext="edit" aspectratio="t"/>
              <w10:wrap type="none"/>
              <w10:anchorlock/>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pPr>
    <w:r>
      <w:rPr>
        <w:rFonts w:hint="eastAsia"/>
        <w:lang w:eastAsia="zh-CN"/>
      </w:rPr>
      <w:t>东昌府区阳光花园小区第</w:t>
    </w:r>
    <w:r>
      <w:rPr>
        <w:rFonts w:hint="eastAsia"/>
        <w:lang w:val="en-US" w:eastAsia="zh-CN"/>
      </w:rPr>
      <w:t>13幢1单元131室、1单元3#储藏室、1单元东1#车库房地产市场价值评估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684"/>
        <w:tab w:val="clear" w:pos="4153"/>
      </w:tabs>
      <w:ind w:left="0" w:leftChars="0" w:firstLine="0" w:firstLineChars="0"/>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F9A8B"/>
    <w:multiLevelType w:val="singleLevel"/>
    <w:tmpl w:val="23BF9A8B"/>
    <w:lvl w:ilvl="0" w:tentative="0">
      <w:start w:val="1"/>
      <w:numFmt w:val="chineseCounting"/>
      <w:suff w:val="nothing"/>
      <w:lvlText w:val="%1、"/>
      <w:lvlJc w:val="left"/>
      <w:rPr>
        <w:rFonts w:hint="eastAsia"/>
      </w:rPr>
    </w:lvl>
  </w:abstractNum>
  <w:abstractNum w:abstractNumId="1">
    <w:nsid w:val="28B30089"/>
    <w:multiLevelType w:val="singleLevel"/>
    <w:tmpl w:val="28B30089"/>
    <w:lvl w:ilvl="0" w:tentative="0">
      <w:start w:val="1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B12747"/>
    <w:rsid w:val="09135978"/>
    <w:rsid w:val="0BCF2258"/>
    <w:rsid w:val="0F460B93"/>
    <w:rsid w:val="1C9E5F72"/>
    <w:rsid w:val="1CFB4F45"/>
    <w:rsid w:val="20253363"/>
    <w:rsid w:val="25E6414E"/>
    <w:rsid w:val="36262BB3"/>
    <w:rsid w:val="39D70F4E"/>
    <w:rsid w:val="3C0D4944"/>
    <w:rsid w:val="3CEB2CAA"/>
    <w:rsid w:val="3D092E51"/>
    <w:rsid w:val="4F666E89"/>
    <w:rsid w:val="592703E7"/>
    <w:rsid w:val="59F82817"/>
    <w:rsid w:val="5D996930"/>
    <w:rsid w:val="5EB30B3C"/>
    <w:rsid w:val="6018695B"/>
    <w:rsid w:val="60695488"/>
    <w:rsid w:val="6B8563F6"/>
    <w:rsid w:val="6D535020"/>
    <w:rsid w:val="71042AD8"/>
    <w:rsid w:val="747C320A"/>
    <w:rsid w:val="7B8F3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1" w:firstLineChars="200"/>
    </w:pPr>
    <w:rPr>
      <w:rFonts w:ascii="Times New Roman" w:hAnsi="Times New Roman" w:eastAsia="宋体" w:cs="Times New Roman"/>
    </w:rPr>
  </w:style>
  <w:style w:type="paragraph" w:styleId="2">
    <w:name w:val="heading 1"/>
    <w:basedOn w:val="1"/>
    <w:next w:val="1"/>
    <w:link w:val="20"/>
    <w:qFormat/>
    <w:uiPriority w:val="0"/>
    <w:pPr>
      <w:spacing w:before="104" w:beforeLines="0" w:after="104" w:afterLines="0" w:line="0" w:lineRule="atLeast"/>
      <w:ind w:firstLine="0" w:firstLineChars="0"/>
      <w:jc w:val="center"/>
      <w:outlineLvl w:val="0"/>
    </w:pPr>
    <w:rPr>
      <w:rFonts w:ascii="Arial" w:hAnsi="Arial" w:eastAsia="仿宋"/>
      <w:b/>
      <w:sz w:val="32"/>
    </w:rPr>
  </w:style>
  <w:style w:type="paragraph" w:styleId="3">
    <w:name w:val="heading 2"/>
    <w:basedOn w:val="1"/>
    <w:next w:val="1"/>
    <w:link w:val="19"/>
    <w:qFormat/>
    <w:uiPriority w:val="0"/>
    <w:pPr>
      <w:spacing w:line="0" w:lineRule="atLeast"/>
      <w:ind w:firstLine="0" w:firstLineChars="0"/>
      <w:jc w:val="left"/>
      <w:outlineLvl w:val="1"/>
    </w:pPr>
    <w:rPr>
      <w:rFonts w:eastAsia="仿宋"/>
      <w:b/>
      <w:sz w:val="30"/>
    </w:rPr>
  </w:style>
  <w:style w:type="paragraph" w:styleId="4">
    <w:name w:val="heading 3"/>
    <w:basedOn w:val="1"/>
    <w:next w:val="1"/>
    <w:link w:val="2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5">
    <w:name w:val="toc 7"/>
    <w:next w:val="1"/>
    <w:qFormat/>
    <w:uiPriority w:val="0"/>
    <w:pPr>
      <w:ind w:left="1260"/>
      <w:jc w:val="left"/>
    </w:pPr>
    <w:rPr>
      <w:rFonts w:ascii="Times New Roman" w:hAnsi="Times New Roman" w:eastAsia="宋体" w:cs="Times New Roman"/>
      <w:sz w:val="18"/>
      <w:szCs w:val="18"/>
    </w:rPr>
  </w:style>
  <w:style w:type="paragraph" w:styleId="6">
    <w:name w:val="toc 5"/>
    <w:next w:val="1"/>
    <w:qFormat/>
    <w:uiPriority w:val="0"/>
    <w:pPr>
      <w:ind w:left="840"/>
      <w:jc w:val="left"/>
    </w:pPr>
    <w:rPr>
      <w:rFonts w:ascii="Times New Roman" w:hAnsi="Times New Roman" w:eastAsia="宋体" w:cs="Times New Roman"/>
      <w:sz w:val="18"/>
      <w:szCs w:val="18"/>
    </w:rPr>
  </w:style>
  <w:style w:type="paragraph" w:styleId="7">
    <w:name w:val="toc 3"/>
    <w:next w:val="1"/>
    <w:qFormat/>
    <w:uiPriority w:val="0"/>
    <w:pPr>
      <w:ind w:left="420"/>
      <w:jc w:val="left"/>
    </w:pPr>
    <w:rPr>
      <w:rFonts w:ascii="Times New Roman" w:hAnsi="Times New Roman" w:eastAsia="宋体" w:cs="Times New Roman"/>
      <w:i/>
      <w:iCs/>
      <w:sz w:val="20"/>
      <w:szCs w:val="20"/>
    </w:rPr>
  </w:style>
  <w:style w:type="paragraph" w:styleId="8">
    <w:name w:val="toc 8"/>
    <w:next w:val="1"/>
    <w:qFormat/>
    <w:uiPriority w:val="0"/>
    <w:pPr>
      <w:ind w:left="1470"/>
      <w:jc w:val="left"/>
    </w:pPr>
    <w:rPr>
      <w:rFonts w:ascii="Times New Roman" w:hAnsi="Times New Roman" w:eastAsia="宋体" w:cs="Times New Roman"/>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next w:val="1"/>
    <w:qFormat/>
    <w:uiPriority w:val="0"/>
    <w:pPr>
      <w:spacing w:beforeLines="38" w:afterLines="38"/>
      <w:jc w:val="left"/>
    </w:pPr>
    <w:rPr>
      <w:rFonts w:ascii="Times New Roman" w:hAnsi="Times New Roman" w:eastAsia="宋体" w:cs="Times New Roman"/>
      <w:b/>
      <w:bCs/>
      <w:sz w:val="20"/>
      <w:szCs w:val="20"/>
    </w:rPr>
  </w:style>
  <w:style w:type="paragraph" w:styleId="12">
    <w:name w:val="toc 4"/>
    <w:next w:val="1"/>
    <w:qFormat/>
    <w:uiPriority w:val="0"/>
    <w:pPr>
      <w:ind w:left="630"/>
      <w:jc w:val="left"/>
    </w:pPr>
    <w:rPr>
      <w:rFonts w:ascii="Times New Roman" w:hAnsi="Times New Roman" w:eastAsia="宋体" w:cs="Times New Roman"/>
      <w:sz w:val="18"/>
      <w:szCs w:val="18"/>
    </w:rPr>
  </w:style>
  <w:style w:type="paragraph" w:styleId="13">
    <w:name w:val="toc 6"/>
    <w:next w:val="1"/>
    <w:qFormat/>
    <w:uiPriority w:val="0"/>
    <w:pPr>
      <w:ind w:left="1050"/>
      <w:jc w:val="left"/>
    </w:pPr>
    <w:rPr>
      <w:rFonts w:ascii="Times New Roman" w:hAnsi="Times New Roman" w:eastAsia="宋体" w:cs="Times New Roman"/>
      <w:sz w:val="18"/>
      <w:szCs w:val="18"/>
    </w:rPr>
  </w:style>
  <w:style w:type="paragraph" w:styleId="14">
    <w:name w:val="toc 2"/>
    <w:next w:val="1"/>
    <w:qFormat/>
    <w:uiPriority w:val="0"/>
    <w:pPr>
      <w:ind w:left="210"/>
      <w:jc w:val="left"/>
    </w:pPr>
    <w:rPr>
      <w:rFonts w:ascii="Times New Roman" w:hAnsi="Times New Roman" w:eastAsia="宋体" w:cs="Times New Roman"/>
      <w:smallCaps/>
      <w:sz w:val="20"/>
      <w:szCs w:val="20"/>
    </w:rPr>
  </w:style>
  <w:style w:type="paragraph" w:styleId="15">
    <w:name w:val="toc 9"/>
    <w:next w:val="1"/>
    <w:qFormat/>
    <w:uiPriority w:val="0"/>
    <w:pPr>
      <w:ind w:left="1680"/>
      <w:jc w:val="left"/>
    </w:pPr>
    <w:rPr>
      <w:rFonts w:ascii="Times New Roman" w:hAnsi="Times New Roman" w:eastAsia="宋体" w:cs="Times New Roman"/>
      <w:sz w:val="18"/>
      <w:szCs w:val="18"/>
    </w:rPr>
  </w:style>
  <w:style w:type="table" w:styleId="17">
    <w:name w:val="Table Grid"/>
    <w:basedOn w:val="1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V"/>
    </w:tcPr>
  </w:style>
  <w:style w:type="character" w:customStyle="1" w:styleId="19">
    <w:name w:val="标题 2 Char"/>
    <w:link w:val="3"/>
    <w:qFormat/>
    <w:uiPriority w:val="0"/>
    <w:rPr>
      <w:rFonts w:ascii="Times New Roman" w:hAnsi="Times New Roman" w:eastAsia="仿宋"/>
      <w:b/>
      <w:sz w:val="30"/>
    </w:rPr>
  </w:style>
  <w:style w:type="character" w:customStyle="1" w:styleId="20">
    <w:name w:val="标题 1 Char"/>
    <w:link w:val="2"/>
    <w:qFormat/>
    <w:uiPriority w:val="0"/>
    <w:rPr>
      <w:rFonts w:ascii="Arial" w:hAnsi="Arial" w:eastAsia="仿宋"/>
      <w:b/>
      <w:sz w:val="32"/>
    </w:rPr>
  </w:style>
  <w:style w:type="character" w:customStyle="1" w:styleId="21">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1496;45&#21672;23\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型"/>
      <sectRole val="1"/>
    </customSectPr>
    <customSectPr>
      <sectNamePr val="报告"/>
    </customSectPr>
    <customSectPr>
      <sectNamePr val="图"/>
    </customSectPr>
    <customSectPr>
      <sectNamePr val="技术报告"/>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2018-08-13T06:11:00Z</dcterms:created>
  <dc:creator>GY</dc:creator>
  <cp:lastModifiedBy>张、1、2、3、、</cp:lastModifiedBy>
  <cp:lastPrinted>2019-02-19T03:15:00Z</cp:lastPrinted>
  <dcterms:modified xsi:type="dcterms:W3CDTF">2019-04-10T06:49:25Z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