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line="680" w:lineRule="exact"/>
        <w:jc w:val="right"/>
        <w:textAlignment w:val="baseline"/>
        <w:outlineLvl w:val="9"/>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before="209" w:beforeLines="50" w:after="209" w:afterLines="50" w:line="680" w:lineRule="exact"/>
        <w:jc w:val="center"/>
        <w:textAlignment w:val="baseline"/>
        <w:outlineLvl w:val="9"/>
        <w:rPr>
          <w:rFonts w:ascii="仿宋_GB2312" w:hAnsi="宋体" w:eastAsia="仿宋_GB2312"/>
          <w:b/>
          <w:bCs/>
          <w:color w:val="auto"/>
          <w:spacing w:val="0"/>
          <w:sz w:val="48"/>
          <w:szCs w:val="48"/>
        </w:rPr>
      </w:pPr>
      <w:r>
        <w:rPr>
          <w:rFonts w:hint="eastAsia" w:ascii="仿宋_GB2312" w:hAnsi="宋体" w:eastAsia="仿宋_GB2312"/>
          <w:b/>
          <w:bCs/>
          <w:color w:val="auto"/>
          <w:spacing w:val="0"/>
          <w:sz w:val="72"/>
          <w:szCs w:val="72"/>
        </w:rPr>
        <w:t>房地产司法鉴定估价报告</w:t>
      </w: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hint="eastAsia" w:ascii="仿宋_GB2312" w:eastAsia="仿宋_GB2312"/>
          <w:color w:val="auto"/>
          <w:spacing w:val="0"/>
          <w:lang w:val="en-US" w:eastAsia="zh-CN"/>
        </w:rPr>
      </w:pPr>
      <w:r>
        <w:rPr>
          <w:rFonts w:hint="eastAsia" w:ascii="仿宋_GB2312" w:hAnsi="宋体" w:eastAsia="仿宋_GB2312"/>
          <w:b/>
          <w:color w:val="auto"/>
          <w:spacing w:val="0"/>
          <w:sz w:val="28"/>
          <w:szCs w:val="28"/>
        </w:rPr>
        <w:t>估价报告编号：[201</w:t>
      </w:r>
      <w:r>
        <w:rPr>
          <w:rFonts w:hint="eastAsia" w:ascii="仿宋_GB2312" w:hAnsi="宋体" w:eastAsia="仿宋_GB2312"/>
          <w:b/>
          <w:color w:val="auto"/>
          <w:spacing w:val="0"/>
          <w:sz w:val="28"/>
          <w:szCs w:val="28"/>
          <w:lang w:val="en-US" w:eastAsia="zh-CN"/>
        </w:rPr>
        <w:t>9</w:t>
      </w:r>
      <w:r>
        <w:rPr>
          <w:rFonts w:hint="eastAsia" w:ascii="仿宋_GB2312" w:hAnsi="宋体" w:eastAsia="仿宋_GB2312"/>
          <w:b/>
          <w:color w:val="auto"/>
          <w:spacing w:val="0"/>
          <w:sz w:val="28"/>
          <w:szCs w:val="28"/>
        </w:rPr>
        <w:t>]明嘉正德</w:t>
      </w:r>
      <w:r>
        <w:rPr>
          <w:rFonts w:hint="eastAsia" w:ascii="仿宋_GB2312" w:hAnsi="宋体" w:eastAsia="仿宋_GB2312"/>
          <w:b/>
          <w:color w:val="auto"/>
          <w:spacing w:val="0"/>
          <w:sz w:val="28"/>
          <w:szCs w:val="28"/>
          <w:lang w:eastAsia="zh-CN"/>
        </w:rPr>
        <w:t>第</w:t>
      </w:r>
      <w:r>
        <w:rPr>
          <w:rFonts w:hint="eastAsia" w:ascii="仿宋_GB2312" w:hAnsi="宋体" w:eastAsia="仿宋_GB2312"/>
          <w:b/>
          <w:color w:val="auto"/>
          <w:spacing w:val="0"/>
          <w:sz w:val="28"/>
          <w:szCs w:val="28"/>
        </w:rPr>
        <w:t>（</w:t>
      </w:r>
      <w:r>
        <w:rPr>
          <w:rFonts w:hint="eastAsia" w:ascii="仿宋_GB2312" w:hAnsi="宋体" w:eastAsia="仿宋_GB2312"/>
          <w:b/>
          <w:color w:val="auto"/>
          <w:spacing w:val="0"/>
          <w:sz w:val="28"/>
          <w:szCs w:val="28"/>
          <w:lang w:val="en-US" w:eastAsia="zh-CN"/>
        </w:rPr>
        <w:t>C002</w:t>
      </w:r>
      <w:r>
        <w:rPr>
          <w:rFonts w:hint="eastAsia" w:ascii="仿宋_GB2312" w:hAnsi="宋体" w:eastAsia="仿宋_GB2312"/>
          <w:b/>
          <w:color w:val="auto"/>
          <w:spacing w:val="0"/>
          <w:sz w:val="28"/>
          <w:szCs w:val="28"/>
        </w:rPr>
        <w:t>）号</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eastAsia="仿宋_GB2312"/>
          <w:color w:val="auto"/>
          <w:spacing w:val="0"/>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ind w:left="2017" w:hanging="2024" w:hangingChars="720"/>
        <w:textAlignment w:val="baseline"/>
        <w:outlineLvl w:val="9"/>
        <w:rPr>
          <w:rFonts w:ascii="仿宋_GB2312" w:eastAsia="仿宋_GB2312"/>
          <w:b/>
          <w:color w:val="auto"/>
        </w:rPr>
      </w:pPr>
      <w:r>
        <w:rPr>
          <w:rFonts w:hint="eastAsia" w:ascii="仿宋_GB2312" w:hAnsi="宋体" w:eastAsia="仿宋_GB2312"/>
          <w:b/>
          <w:color w:val="auto"/>
          <w:spacing w:val="0"/>
          <w:szCs w:val="28"/>
        </w:rPr>
        <w:t>估价项目名称：</w:t>
      </w:r>
      <w:r>
        <w:rPr>
          <w:rFonts w:hint="eastAsia" w:ascii="仿宋_GB2312" w:eastAsia="仿宋_GB2312"/>
          <w:b/>
          <w:color w:val="auto"/>
          <w:lang w:eastAsia="zh-CN"/>
        </w:rPr>
        <w:t>巩向习</w:t>
      </w:r>
      <w:r>
        <w:rPr>
          <w:rFonts w:hint="eastAsia" w:ascii="仿宋_GB2312" w:eastAsia="仿宋_GB2312"/>
          <w:b/>
          <w:color w:val="auto"/>
        </w:rPr>
        <w:t>所属</w:t>
      </w:r>
      <w:r>
        <w:rPr>
          <w:rFonts w:hint="eastAsia" w:ascii="仿宋_GB2312" w:eastAsia="仿宋_GB2312"/>
          <w:b/>
          <w:color w:val="auto"/>
          <w:lang w:eastAsia="zh-CN"/>
        </w:rPr>
        <w:t>位于桓台县中心大街2877号天煜紫悦城43号楼三单元五层东户住宅</w:t>
      </w:r>
      <w:r>
        <w:rPr>
          <w:rFonts w:hint="eastAsia" w:ascii="仿宋_GB2312" w:hAnsi="宋体" w:eastAsia="仿宋_GB2312"/>
          <w:b/>
          <w:color w:val="auto"/>
          <w:spacing w:val="0"/>
          <w:szCs w:val="28"/>
        </w:rPr>
        <w:t>市场价值评估</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估价委托人：高青县人民法院司法技术和装备管理局</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房地产估价机构：山东明嘉正德土地房地产评估有限公司</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color w:val="auto"/>
          <w:sz w:val="24"/>
          <w:szCs w:val="24"/>
          <w:lang w:eastAsia="zh-CN"/>
        </w:rPr>
      </w:pPr>
      <w:r>
        <w:rPr>
          <w:rFonts w:hint="eastAsia" w:ascii="仿宋_GB2312" w:hAnsi="宋体" w:eastAsia="仿宋_GB2312"/>
          <w:b/>
          <w:color w:val="auto"/>
          <w:spacing w:val="0"/>
          <w:szCs w:val="28"/>
        </w:rPr>
        <w:t>注册房地产估价师：韩颖、</w:t>
      </w:r>
      <w:r>
        <w:rPr>
          <w:rFonts w:hint="eastAsia" w:ascii="仿宋_GB2312" w:hAnsi="宋体" w:eastAsia="仿宋_GB2312"/>
          <w:b/>
          <w:color w:val="auto"/>
          <w:spacing w:val="0"/>
          <w:szCs w:val="28"/>
          <w:lang w:eastAsia="zh-CN"/>
        </w:rPr>
        <w:t>王健</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b/>
          <w:color w:val="auto"/>
          <w:spacing w:val="0"/>
          <w:szCs w:val="28"/>
          <w:lang w:eastAsia="zh-CN"/>
        </w:rPr>
      </w:pPr>
      <w:r>
        <w:rPr>
          <w:rFonts w:hint="eastAsia" w:ascii="仿宋_GB2312" w:hAnsi="宋体" w:eastAsia="仿宋_GB2312"/>
          <w:b/>
          <w:color w:val="auto"/>
          <w:spacing w:val="0"/>
          <w:szCs w:val="28"/>
        </w:rPr>
        <w:t xml:space="preserve">估价报告出具日期： </w:t>
      </w:r>
      <w:r>
        <w:rPr>
          <w:rFonts w:hint="eastAsia" w:ascii="仿宋_GB2312" w:hAnsi="宋体" w:eastAsia="仿宋_GB2312"/>
          <w:b/>
          <w:color w:val="auto"/>
          <w:spacing w:val="0"/>
          <w:szCs w:val="28"/>
          <w:lang w:eastAsia="zh-CN"/>
        </w:rPr>
        <w:t>2019年1月18日</w:t>
      </w:r>
    </w:p>
    <w:p>
      <w:pPr>
        <w:keepNext w:val="0"/>
        <w:keepLines w:val="0"/>
        <w:pageBreakBefore w:val="0"/>
        <w:kinsoku/>
        <w:overflowPunct/>
        <w:topLinePunct w:val="0"/>
        <w:bidi w:val="0"/>
        <w:spacing w:line="540" w:lineRule="exact"/>
        <w:ind w:firstLine="425"/>
        <w:jc w:val="center"/>
        <w:rPr>
          <w:rFonts w:ascii="仿宋_GB2312" w:hAnsi="宋体" w:eastAsia="仿宋_GB2312"/>
          <w:b/>
          <w:bCs/>
          <w:color w:val="auto"/>
          <w:spacing w:val="0"/>
          <w:sz w:val="44"/>
        </w:rPr>
      </w:pPr>
      <w:r>
        <w:rPr>
          <w:rFonts w:hint="eastAsia" w:ascii="仿宋_GB2312" w:hAnsi="宋体" w:eastAsia="仿宋_GB2312"/>
          <w:color w:val="auto"/>
          <w:spacing w:val="0"/>
          <w:szCs w:val="28"/>
        </w:rPr>
        <w:br w:type="page"/>
      </w:r>
      <w:bookmarkStart w:id="0" w:name="_Toc403995606"/>
      <w:bookmarkStart w:id="1" w:name="_Toc403995605"/>
      <w:r>
        <w:rPr>
          <w:rFonts w:hint="eastAsia" w:ascii="仿宋_GB2312" w:hAnsi="宋体" w:eastAsia="仿宋_GB2312"/>
          <w:b/>
          <w:bCs/>
          <w:color w:val="auto"/>
          <w:spacing w:val="0"/>
          <w:sz w:val="44"/>
        </w:rPr>
        <w:t>致估价委托人函</w:t>
      </w:r>
      <w:bookmarkEnd w:id="0"/>
    </w:p>
    <w:p>
      <w:pPr>
        <w:pStyle w:val="40"/>
        <w:keepNext w:val="0"/>
        <w:keepLines w:val="0"/>
        <w:pageBreakBefore w:val="0"/>
        <w:kinsoku/>
        <w:overflowPunct/>
        <w:topLinePunct w:val="0"/>
        <w:autoSpaceDE/>
        <w:autoSpaceDN/>
        <w:bidi w:val="0"/>
        <w:spacing w:line="540" w:lineRule="exact"/>
        <w:jc w:val="both"/>
        <w:rPr>
          <w:rFonts w:ascii="仿宋_GB2312" w:hAnsi="宋体" w:eastAsia="仿宋_GB2312"/>
          <w:color w:val="auto"/>
          <w:kern w:val="2"/>
          <w:szCs w:val="28"/>
        </w:rPr>
      </w:pPr>
      <w:r>
        <w:rPr>
          <w:rFonts w:hint="eastAsia" w:ascii="仿宋_GB2312" w:hAnsi="宋体" w:eastAsia="仿宋_GB2312"/>
          <w:b/>
          <w:color w:val="auto"/>
          <w:szCs w:val="28"/>
        </w:rPr>
        <w:t>高青县人民法院司法技术和装备管理局</w:t>
      </w:r>
      <w:r>
        <w:rPr>
          <w:rFonts w:hint="eastAsia" w:ascii="仿宋_GB2312" w:hAnsi="宋体" w:eastAsia="仿宋_GB2312"/>
          <w:color w:val="auto"/>
          <w:kern w:val="2"/>
          <w:szCs w:val="28"/>
        </w:rPr>
        <w:t>：</w:t>
      </w:r>
    </w:p>
    <w:p>
      <w:pPr>
        <w:keepNext w:val="0"/>
        <w:keepLines w:val="0"/>
        <w:pageBreakBefore w:val="0"/>
        <w:tabs>
          <w:tab w:val="left" w:pos="7797"/>
        </w:tabs>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受贵单位委托，我公司对</w:t>
      </w:r>
      <w:r>
        <w:rPr>
          <w:rFonts w:hint="eastAsia" w:ascii="仿宋_GB2312" w:eastAsia="仿宋_GB2312"/>
          <w:color w:val="auto"/>
          <w:lang w:eastAsia="zh-CN"/>
        </w:rPr>
        <w:t>巩向习</w:t>
      </w:r>
      <w:r>
        <w:rPr>
          <w:rFonts w:hint="eastAsia" w:ascii="仿宋_GB2312" w:eastAsia="仿宋_GB2312"/>
          <w:color w:val="auto"/>
        </w:rPr>
        <w:t>所属</w:t>
      </w:r>
      <w:r>
        <w:rPr>
          <w:rFonts w:hint="eastAsia" w:ascii="仿宋_GB2312" w:eastAsia="仿宋_GB2312"/>
          <w:color w:val="auto"/>
          <w:lang w:eastAsia="zh-CN"/>
        </w:rPr>
        <w:t>位于桓台县中心大街2877号天煜紫悦城43号楼三单元五层东户住宅</w:t>
      </w:r>
      <w:r>
        <w:rPr>
          <w:rFonts w:hint="eastAsia" w:ascii="仿宋_GB2312" w:hAnsi="宋体" w:eastAsia="仿宋_GB2312"/>
          <w:color w:val="auto"/>
          <w:spacing w:val="0"/>
          <w:szCs w:val="28"/>
        </w:rPr>
        <w:t>的客观合理的价值进行了评估。</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rPr>
        <w:t>注册房地产估价师</w:t>
      </w:r>
      <w:r>
        <w:rPr>
          <w:rFonts w:hint="eastAsia" w:ascii="仿宋_GB2312" w:hAnsi="宋体" w:eastAsia="仿宋_GB2312"/>
          <w:color w:val="auto"/>
          <w:spacing w:val="0"/>
          <w:szCs w:val="28"/>
        </w:rPr>
        <w:t>根据估价目的、遵循估价原则、按照估价工作程序、利用科学的评估方法，在认真分析现有资料的基础上，经过周密准确的测算，并结合估价经验，详细考虑了影响房地产价格的各项因素，在估价委托人的配合下，对估价对象进行了实地查勘和估价资料的收集，同时进行了必要的调研，在此基础上形成了房地产估价报告。估价结果如下：</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估价对象</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桓台县中心大街2877号天煜紫悦城43号楼三单元五层东户住宅</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632"/>
        <w:gridCol w:w="858"/>
        <w:gridCol w:w="2505"/>
        <w:gridCol w:w="2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57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08-1935638</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155.08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巩向习</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370321197609180616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5/7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2013</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bl>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shd w:val="clear" w:color="auto" w:fill="auto"/>
        </w:rPr>
        <w:t>估价目的</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为委托方执行涉及估价对象的司法裁决提供价值鉴定意见而评估房地产的市场价值。</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价值时点</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经委托方同意，以估价师现场勘查日</w:t>
      </w:r>
      <w:r>
        <w:rPr>
          <w:rFonts w:hint="eastAsia" w:ascii="仿宋_GB2312" w:hAnsi="宋体" w:eastAsia="仿宋_GB2312"/>
          <w:color w:val="auto"/>
          <w:spacing w:val="0"/>
          <w:szCs w:val="28"/>
          <w:lang w:eastAsia="zh-CN"/>
        </w:rPr>
        <w:t>2019年1月15日</w:t>
      </w:r>
      <w:r>
        <w:rPr>
          <w:rFonts w:hint="eastAsia" w:ascii="仿宋_GB2312" w:hAnsi="宋体" w:eastAsia="仿宋_GB2312"/>
          <w:color w:val="auto"/>
          <w:spacing w:val="0"/>
          <w:szCs w:val="28"/>
        </w:rPr>
        <w:t>为价值时点。</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价值定义</w:t>
      </w:r>
      <w:r>
        <w:rPr>
          <w:rFonts w:hint="eastAsia" w:ascii="仿宋_GB2312" w:eastAsia="仿宋_GB2312"/>
          <w:b/>
          <w:color w:val="auto"/>
          <w:lang w:eastAsia="zh-CN"/>
        </w:rPr>
        <w:t>：</w:t>
      </w:r>
      <w:r>
        <w:rPr>
          <w:rFonts w:hint="eastAsia" w:ascii="仿宋_GB2312" w:eastAsia="仿宋_GB2312"/>
          <w:color w:val="auto"/>
          <w:sz w:val="28"/>
          <w:szCs w:val="28"/>
        </w:rPr>
        <w:t>本次估价采用公开市场价值标准，市场价值是估价对象在</w:t>
      </w:r>
      <w:r>
        <w:rPr>
          <w:rFonts w:hint="eastAsia" w:ascii="仿宋_GB2312" w:eastAsia="仿宋_GB2312"/>
          <w:color w:val="auto"/>
          <w:sz w:val="28"/>
          <w:szCs w:val="28"/>
          <w:lang w:eastAsia="zh-CN"/>
        </w:rPr>
        <w:t>价值时点2019年1月15日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桓台县中心大街2877号天煜紫悦城43号楼三单元五层东户住宅</w:t>
      </w:r>
      <w:r>
        <w:rPr>
          <w:rFonts w:hint="eastAsia" w:ascii="仿宋_GB2312" w:hAnsi="宋体" w:eastAsia="仿宋_GB2312"/>
          <w:color w:val="auto"/>
          <w:sz w:val="28"/>
          <w:szCs w:val="28"/>
        </w:rPr>
        <w:t>、附属设施及应分摊的土地使用权；</w:t>
      </w:r>
    </w:p>
    <w:p>
      <w:pPr>
        <w:pStyle w:val="11"/>
        <w:keepNext w:val="0"/>
        <w:keepLines w:val="0"/>
        <w:pageBreakBefore w:val="0"/>
        <w:kinsoku/>
        <w:overflowPunct/>
        <w:topLinePunct w:val="0"/>
        <w:bidi w:val="0"/>
        <w:spacing w:after="0" w:line="54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w:t>
      </w:r>
      <w:r>
        <w:rPr>
          <w:rFonts w:hint="eastAsia" w:ascii="仿宋_GB2312" w:eastAsia="仿宋_GB2312"/>
          <w:color w:val="auto"/>
          <w:sz w:val="28"/>
          <w:szCs w:val="28"/>
          <w:lang w:eastAsia="zh-CN"/>
        </w:rPr>
        <w:t>桓台县中心大街2877号天煜紫悦城43号楼三单元五层东户住宅</w:t>
      </w:r>
      <w:r>
        <w:rPr>
          <w:rFonts w:hint="eastAsia" w:ascii="仿宋_GB2312" w:hAnsi="宋体" w:eastAsia="仿宋_GB2312"/>
          <w:color w:val="auto"/>
          <w:sz w:val="28"/>
          <w:szCs w:val="28"/>
        </w:rPr>
        <w:t>已于20</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03</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03</w:t>
      </w:r>
      <w:r>
        <w:rPr>
          <w:rFonts w:hint="eastAsia" w:ascii="仿宋_GB2312" w:hAnsi="宋体" w:eastAsia="仿宋_GB2312"/>
          <w:color w:val="auto"/>
          <w:sz w:val="28"/>
          <w:szCs w:val="28"/>
        </w:rPr>
        <w:t>日房屋</w:t>
      </w:r>
      <w:r>
        <w:rPr>
          <w:rFonts w:hint="eastAsia" w:ascii="仿宋_GB2312" w:hAnsi="宋体" w:eastAsia="仿宋_GB2312"/>
          <w:color w:val="auto"/>
          <w:sz w:val="28"/>
          <w:szCs w:val="28"/>
          <w:lang w:eastAsia="zh-CN"/>
        </w:rPr>
        <w:t>抵押</w:t>
      </w:r>
      <w:r>
        <w:rPr>
          <w:rFonts w:hint="eastAsia" w:ascii="仿宋_GB2312" w:hAnsi="宋体" w:eastAsia="仿宋_GB2312"/>
          <w:color w:val="auto"/>
          <w:sz w:val="28"/>
          <w:szCs w:val="28"/>
        </w:rPr>
        <w:t>按揭贷款，</w:t>
      </w:r>
      <w:r>
        <w:rPr>
          <w:rFonts w:hint="eastAsia" w:ascii="仿宋_GB2312" w:hAnsi="宋体" w:eastAsia="仿宋_GB2312"/>
          <w:color w:val="auto"/>
          <w:sz w:val="28"/>
          <w:szCs w:val="28"/>
          <w:lang w:eastAsia="zh-CN"/>
        </w:rPr>
        <w:t>开始日期：</w:t>
      </w:r>
      <w:r>
        <w:rPr>
          <w:rFonts w:hint="eastAsia" w:ascii="仿宋_GB2312" w:hAnsi="宋体" w:eastAsia="仿宋_GB2312"/>
          <w:color w:val="auto"/>
          <w:sz w:val="28"/>
          <w:szCs w:val="28"/>
          <w:lang w:val="en-US" w:eastAsia="zh-CN"/>
        </w:rPr>
        <w:t>2015-03-03，结束日期：2041-03-03，他项权利人：中国建设银行股份有限公司桓台支行，他项权利号：T08-1024138，</w:t>
      </w:r>
      <w:r>
        <w:rPr>
          <w:rFonts w:hint="eastAsia" w:ascii="仿宋_GB2312" w:hAnsi="宋体" w:eastAsia="仿宋_GB2312"/>
          <w:color w:val="auto"/>
          <w:sz w:val="28"/>
          <w:szCs w:val="28"/>
        </w:rPr>
        <w:t>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估价方法：</w:t>
      </w:r>
      <w:r>
        <w:rPr>
          <w:rFonts w:hint="eastAsia" w:ascii="仿宋_GB2312" w:eastAsia="仿宋_GB2312"/>
          <w:color w:val="auto"/>
          <w:sz w:val="28"/>
          <w:szCs w:val="28"/>
          <w:shd w:val="clear" w:color="auto" w:fill="auto"/>
        </w:rPr>
        <w:t>本</w:t>
      </w:r>
      <w:r>
        <w:rPr>
          <w:rFonts w:hint="eastAsia" w:ascii="仿宋_GB2312" w:eastAsia="仿宋_GB2312"/>
          <w:color w:val="auto"/>
          <w:sz w:val="28"/>
          <w:szCs w:val="28"/>
        </w:rPr>
        <w:t>次评估选用</w:t>
      </w:r>
      <w:r>
        <w:rPr>
          <w:rFonts w:hint="eastAsia" w:ascii="仿宋_GB2312" w:eastAsia="仿宋_GB2312"/>
          <w:color w:val="auto"/>
          <w:sz w:val="28"/>
          <w:szCs w:val="28"/>
          <w:lang w:eastAsia="zh-CN"/>
        </w:rPr>
        <w:t>市场</w:t>
      </w:r>
      <w:r>
        <w:rPr>
          <w:rFonts w:hint="eastAsia" w:ascii="仿宋_GB2312" w:eastAsia="仿宋_GB2312"/>
          <w:color w:val="auto"/>
          <w:sz w:val="28"/>
          <w:szCs w:val="28"/>
        </w:rPr>
        <w:t>比较法</w:t>
      </w:r>
      <w:r>
        <w:rPr>
          <w:rFonts w:hint="eastAsia" w:ascii="仿宋_GB2312" w:eastAsia="仿宋_GB2312"/>
          <w:color w:val="auto"/>
          <w:sz w:val="28"/>
          <w:szCs w:val="28"/>
          <w:lang w:eastAsia="zh-CN"/>
        </w:rPr>
        <w:t>和收益法</w:t>
      </w:r>
      <w:r>
        <w:rPr>
          <w:rFonts w:hint="eastAsia" w:ascii="仿宋_GB2312" w:eastAsia="仿宋_GB2312"/>
          <w:color w:val="auto"/>
          <w:sz w:val="28"/>
          <w:szCs w:val="28"/>
        </w:rPr>
        <w:t>。</w:t>
      </w:r>
    </w:p>
    <w:p>
      <w:pPr>
        <w:keepNext w:val="0"/>
        <w:keepLines w:val="0"/>
        <w:pageBreakBefore w:val="0"/>
        <w:kinsoku/>
        <w:overflowPunct/>
        <w:topLinePunct w:val="0"/>
        <w:autoSpaceDE w:val="0"/>
        <w:autoSpaceDN w:val="0"/>
        <w:bidi w:val="0"/>
        <w:spacing w:line="540" w:lineRule="exact"/>
        <w:ind w:firstLine="562" w:firstLineChars="200"/>
        <w:rPr>
          <w:rFonts w:hint="eastAsia" w:ascii="仿宋_GB2312" w:eastAsia="仿宋_GB2312"/>
          <w:color w:val="auto"/>
          <w:szCs w:val="28"/>
        </w:rPr>
      </w:pPr>
      <w:r>
        <w:rPr>
          <w:rFonts w:hint="eastAsia" w:ascii="仿宋_GB2312" w:hAnsi="宋体" w:eastAsia="仿宋_GB2312"/>
          <w:b/>
          <w:color w:val="auto"/>
          <w:spacing w:val="0"/>
          <w:szCs w:val="28"/>
          <w:shd w:val="clear" w:color="auto" w:fill="auto"/>
        </w:rPr>
        <w:t>估价结果</w:t>
      </w:r>
      <w:r>
        <w:rPr>
          <w:rFonts w:hint="eastAsia" w:ascii="仿宋_GB2312" w:hAnsi="宋体" w:eastAsia="仿宋_GB2312"/>
          <w:color w:val="auto"/>
          <w:spacing w:val="0"/>
          <w:szCs w:val="28"/>
          <w:lang w:eastAsia="zh-CN"/>
        </w:rPr>
        <w:t>：</w:t>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lang w:eastAsia="zh-CN"/>
        </w:rPr>
        <w:t>在</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房地产评估价值为</w:t>
      </w:r>
      <w:r>
        <w:rPr>
          <w:rFonts w:hint="eastAsia" w:ascii="仿宋_GB2312" w:eastAsia="仿宋_GB2312"/>
          <w:color w:val="auto"/>
          <w:szCs w:val="28"/>
          <w:lang w:val="en-US" w:eastAsia="zh-CN"/>
        </w:rPr>
        <w:t>147.64</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1476400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壹佰肆拾柒万陆仟肆佰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（评估单价</w:t>
      </w:r>
      <w:r>
        <w:rPr>
          <w:rFonts w:hint="eastAsia" w:ascii="仿宋_GB2312" w:eastAsia="仿宋_GB2312"/>
          <w:color w:val="auto"/>
          <w:szCs w:val="28"/>
          <w:lang w:val="en-US" w:eastAsia="zh-CN"/>
        </w:rPr>
        <w:t>9520元/平方米</w:t>
      </w:r>
      <w:r>
        <w:rPr>
          <w:rFonts w:hint="eastAsia" w:ascii="仿宋_GB2312" w:eastAsia="仿宋_GB2312"/>
          <w:color w:val="auto"/>
          <w:szCs w:val="28"/>
          <w:lang w:eastAsia="zh-CN"/>
        </w:rPr>
        <w:t>）</w:t>
      </w:r>
      <w:r>
        <w:rPr>
          <w:rFonts w:hint="eastAsia" w:ascii="仿宋_GB2312" w:eastAsia="仿宋_GB2312"/>
          <w:color w:val="auto"/>
          <w:szCs w:val="28"/>
        </w:rPr>
        <w:t>。</w:t>
      </w:r>
    </w:p>
    <w:p>
      <w:pPr>
        <w:keepNext w:val="0"/>
        <w:keepLines w:val="0"/>
        <w:pageBreakBefore w:val="0"/>
        <w:kinsoku/>
        <w:overflowPunct/>
        <w:topLinePunct w:val="0"/>
        <w:autoSpaceDE w:val="0"/>
        <w:autoSpaceDN w:val="0"/>
        <w:bidi w:val="0"/>
        <w:spacing w:line="540" w:lineRule="exact"/>
        <w:ind w:firstLine="600" w:firstLineChars="200"/>
        <w:rPr>
          <w:rFonts w:ascii="仿宋_GB2312" w:hAnsi="宋体" w:eastAsia="仿宋_GB2312"/>
          <w:color w:val="auto"/>
          <w:spacing w:val="0"/>
          <w:sz w:val="24"/>
          <w:szCs w:val="24"/>
        </w:rPr>
      </w:pPr>
      <w:r>
        <w:rPr>
          <w:rFonts w:ascii="仿宋_GB2312" w:eastAsia="仿宋_GB2312"/>
          <w:color w:val="auto"/>
          <w:szCs w:val="28"/>
        </w:rPr>
        <w:t>以上内容摘</w:t>
      </w:r>
      <w:r>
        <w:rPr>
          <w:rFonts w:hint="eastAsia" w:ascii="仿宋_GB2312" w:hAnsi="宋体" w:eastAsia="仿宋_GB2312"/>
          <w:color w:val="auto"/>
          <w:spacing w:val="0"/>
          <w:sz w:val="24"/>
          <w:szCs w:val="24"/>
        </w:rPr>
        <w:t>[</w:t>
      </w:r>
      <w:r>
        <w:rPr>
          <w:rFonts w:hint="eastAsia" w:ascii="仿宋_GB2312" w:hAnsi="宋体" w:eastAsia="仿宋_GB2312"/>
          <w:color w:val="auto"/>
          <w:spacing w:val="0"/>
          <w:szCs w:val="28"/>
        </w:rPr>
        <w:t>201</w:t>
      </w:r>
      <w:r>
        <w:rPr>
          <w:rFonts w:hint="eastAsia" w:ascii="仿宋_GB2312" w:hAnsi="宋体" w:eastAsia="仿宋_GB2312"/>
          <w:color w:val="auto"/>
          <w:spacing w:val="0"/>
          <w:szCs w:val="28"/>
          <w:lang w:val="en-US" w:eastAsia="zh-CN"/>
        </w:rPr>
        <w:t>9</w:t>
      </w:r>
      <w:r>
        <w:rPr>
          <w:rFonts w:hint="eastAsia" w:ascii="仿宋_GB2312" w:hAnsi="宋体" w:eastAsia="仿宋_GB2312"/>
          <w:color w:val="auto"/>
          <w:spacing w:val="0"/>
          <w:szCs w:val="28"/>
        </w:rPr>
        <w:t>]明嘉正德</w:t>
      </w:r>
      <w:r>
        <w:rPr>
          <w:rFonts w:hint="eastAsia" w:ascii="仿宋_GB2312" w:hAnsi="宋体" w:eastAsia="仿宋_GB2312"/>
          <w:color w:val="auto"/>
          <w:spacing w:val="0"/>
          <w:szCs w:val="28"/>
          <w:lang w:eastAsia="zh-CN"/>
        </w:rPr>
        <w:t>第</w:t>
      </w:r>
      <w:r>
        <w:rPr>
          <w:rFonts w:hint="eastAsia" w:ascii="仿宋_GB2312" w:hAnsi="宋体" w:eastAsia="仿宋_GB2312"/>
          <w:color w:val="auto"/>
          <w:spacing w:val="0"/>
          <w:szCs w:val="28"/>
        </w:rPr>
        <w:t>（</w:t>
      </w:r>
      <w:r>
        <w:rPr>
          <w:rFonts w:hint="eastAsia" w:ascii="仿宋_GB2312" w:hAnsi="宋体" w:eastAsia="仿宋_GB2312"/>
          <w:color w:val="auto"/>
          <w:spacing w:val="0"/>
          <w:szCs w:val="28"/>
          <w:lang w:val="en-US" w:eastAsia="zh-CN"/>
        </w:rPr>
        <w:t>C002</w:t>
      </w:r>
      <w:r>
        <w:rPr>
          <w:rFonts w:hint="eastAsia" w:ascii="仿宋_GB2312" w:hAnsi="宋体" w:eastAsia="仿宋_GB2312"/>
          <w:color w:val="auto"/>
          <w:spacing w:val="0"/>
          <w:szCs w:val="28"/>
        </w:rPr>
        <w:t>）号估价报告</w:t>
      </w:r>
    </w:p>
    <w:p>
      <w:pPr>
        <w:keepNext w:val="0"/>
        <w:keepLines w:val="0"/>
        <w:pageBreakBefore w:val="0"/>
        <w:tabs>
          <w:tab w:val="left" w:pos="3234"/>
          <w:tab w:val="left" w:pos="7797"/>
        </w:tabs>
        <w:kinsoku/>
        <w:overflowPunct/>
        <w:topLinePunct w:val="0"/>
        <w:bidi w:val="0"/>
        <w:spacing w:line="540" w:lineRule="exact"/>
        <w:ind w:firstLine="600" w:firstLineChars="200"/>
        <w:rPr>
          <w:rFonts w:ascii="仿宋_GB2312" w:eastAsia="仿宋_GB2312"/>
          <w:color w:val="auto"/>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法定代表人签章</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lang w:eastAsia="zh-CN"/>
        </w:rPr>
      </w:pPr>
      <w:r>
        <w:rPr>
          <w:rFonts w:hint="eastAsia" w:ascii="仿宋_GB2312" w:hAnsi="宋体" w:eastAsia="仿宋_GB2312"/>
          <w:color w:val="auto"/>
          <w:spacing w:val="0"/>
          <w:szCs w:val="28"/>
          <w:lang w:eastAsia="zh-CN"/>
        </w:rPr>
        <w:t>二零一九年一月十八日</w:t>
      </w: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ind w:firstLine="702" w:firstLineChars="152"/>
        <w:jc w:val="center"/>
        <w:rPr>
          <w:rFonts w:hint="eastAsia" w:ascii="仿宋_GB2312" w:hAnsi="Times New Roman" w:eastAsia="仿宋_GB2312" w:cs="Times New Roman"/>
          <w:color w:val="auto"/>
          <w:spacing w:val="10"/>
          <w:kern w:val="2"/>
          <w:sz w:val="28"/>
          <w:lang w:val="en-US" w:eastAsia="zh-CN" w:bidi="ar-SA"/>
        </w:rPr>
      </w:pPr>
      <w:r>
        <w:rPr>
          <w:rFonts w:hint="eastAsia" w:asciiTheme="minorEastAsia" w:hAnsiTheme="minorEastAsia" w:eastAsiaTheme="minorEastAsia" w:cstheme="minorEastAsia"/>
          <w:b/>
          <w:color w:val="auto"/>
          <w:sz w:val="44"/>
          <w:szCs w:val="44"/>
        </w:rPr>
        <w:t>目     录</w:t>
      </w:r>
      <w:bookmarkEnd w:id="1"/>
      <w:r>
        <w:rPr>
          <w:rFonts w:hint="eastAsia" w:ascii="仿宋_GB2312" w:eastAsia="仿宋_GB2312"/>
          <w:color w:val="auto"/>
          <w:szCs w:val="28"/>
        </w:rPr>
        <w:fldChar w:fldCharType="begin"/>
      </w:r>
      <w:r>
        <w:rPr>
          <w:rFonts w:hint="eastAsia" w:ascii="仿宋_GB2312" w:eastAsia="仿宋_GB2312"/>
          <w:color w:val="auto"/>
          <w:szCs w:val="28"/>
        </w:rPr>
        <w:instrText xml:space="preserve"> TOC \o "1-3" \h \z \u </w:instrText>
      </w:r>
      <w:r>
        <w:rPr>
          <w:rFonts w:hint="eastAsia" w:ascii="仿宋_GB2312" w:eastAsia="仿宋_GB2312"/>
          <w:color w:val="auto"/>
          <w:szCs w:val="28"/>
        </w:rPr>
        <w:fldChar w:fldCharType="separate"/>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一、估价师声明</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二、</w:t>
      </w:r>
      <w:r>
        <w:rPr>
          <w:rFonts w:hint="eastAsia" w:asciiTheme="minorEastAsia" w:hAnsiTheme="minorEastAsia" w:eastAsiaTheme="minorEastAsia" w:cstheme="minorEastAsia"/>
          <w:b w:val="0"/>
          <w:bCs w:val="0"/>
          <w:color w:val="auto"/>
        </w:rPr>
        <w:t>估价假设和限制条件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三、</w:t>
      </w:r>
      <w:r>
        <w:rPr>
          <w:rFonts w:hint="eastAsia" w:asciiTheme="minorEastAsia" w:hAnsiTheme="minorEastAsia" w:eastAsiaTheme="minorEastAsia" w:cstheme="minorEastAsia"/>
          <w:b w:val="0"/>
          <w:bCs w:val="0"/>
          <w:color w:val="auto"/>
        </w:rPr>
        <w:t>估价结果报告</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一、估价委托人</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pacing w:val="0"/>
          <w:szCs w:val="28"/>
        </w:rPr>
        <w:t>二、</w:t>
      </w:r>
      <w:r>
        <w:rPr>
          <w:rFonts w:hint="eastAsia" w:asciiTheme="minorEastAsia" w:hAnsiTheme="minorEastAsia" w:eastAsiaTheme="minorEastAsia" w:cstheme="minorEastAsia"/>
          <w:b w:val="0"/>
          <w:bCs w:val="0"/>
          <w:color w:val="auto"/>
        </w:rPr>
        <w:t>房地产估价机</w:t>
      </w:r>
      <w:r>
        <w:rPr>
          <w:rFonts w:hint="eastAsia" w:asciiTheme="minorEastAsia" w:hAnsiTheme="minorEastAsia" w:eastAsiaTheme="minorEastAsia" w:cstheme="minorEastAsia"/>
          <w:b w:val="0"/>
          <w:bCs w:val="0"/>
          <w:color w:val="auto"/>
          <w:lang w:eastAsia="zh-CN"/>
        </w:rPr>
        <w:t>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三、估价目的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四、估价对象</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五、价值时点</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8</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六、价值类型</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8</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七、估价原则</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八、估价依据</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九、估价方法</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10</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十、估价结果</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十一、注册房地产估价师</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十二、实地查勘期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十三、估价作业期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val="en-US" w:eastAsia="zh-CN"/>
        </w:rPr>
        <w:t>四、估价技术报告（估价机构留存）</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五、</w:t>
      </w:r>
      <w:r>
        <w:rPr>
          <w:rFonts w:hint="eastAsia" w:asciiTheme="minorEastAsia" w:hAnsiTheme="minorEastAsia" w:eastAsiaTheme="minorEastAsia" w:cstheme="minorEastAsia"/>
          <w:b w:val="0"/>
          <w:bCs w:val="0"/>
          <w:color w:val="auto"/>
        </w:rPr>
        <w:t>附件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keepNext w:val="0"/>
        <w:keepLines w:val="0"/>
        <w:pageBreakBefore w:val="0"/>
        <w:kinsoku/>
        <w:overflowPunct/>
        <w:topLinePunct w:val="0"/>
        <w:bidi w:val="0"/>
        <w:spacing w:beforeLines="50" w:line="360" w:lineRule="auto"/>
        <w:ind w:firstLine="456" w:firstLineChars="152"/>
        <w:jc w:val="center"/>
        <w:rPr>
          <w:rFonts w:ascii="仿宋_GB2312" w:hAnsi="宋体" w:eastAsia="仿宋_GB2312"/>
          <w:b/>
          <w:bCs/>
          <w:color w:val="auto"/>
          <w:spacing w:val="0"/>
          <w:sz w:val="44"/>
        </w:rPr>
      </w:pPr>
      <w:r>
        <w:rPr>
          <w:rFonts w:hint="eastAsia" w:ascii="仿宋_GB2312" w:eastAsia="仿宋_GB2312"/>
          <w:color w:val="auto"/>
        </w:rPr>
        <w:fldChar w:fldCharType="end"/>
      </w:r>
      <w:r>
        <w:rPr>
          <w:rFonts w:hint="eastAsia" w:ascii="仿宋_GB2312" w:eastAsia="仿宋_GB2312"/>
          <w:color w:val="auto"/>
        </w:rPr>
        <w:br w:type="page"/>
      </w:r>
      <w:r>
        <w:rPr>
          <w:rStyle w:val="73"/>
          <w:rFonts w:hint="eastAsia"/>
          <w:color w:val="auto"/>
          <w:lang w:eastAsia="zh-CN"/>
        </w:rPr>
        <w:t>一、</w:t>
      </w:r>
      <w:r>
        <w:rPr>
          <w:rStyle w:val="73"/>
          <w:rFonts w:hint="eastAsia"/>
          <w:color w:val="auto"/>
        </w:rPr>
        <w:t>估价师声明</w:t>
      </w:r>
    </w:p>
    <w:p>
      <w:pPr>
        <w:pStyle w:val="16"/>
        <w:keepNext w:val="0"/>
        <w:keepLines w:val="0"/>
        <w:pageBreakBefore w:val="0"/>
        <w:kinsoku/>
        <w:overflowPunct/>
        <w:topLinePunct w:val="0"/>
        <w:bidi w:val="0"/>
        <w:snapToGrid w:val="0"/>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我们郑重声明：</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一、我们在本估价报告中陈述的事实是真实的和准确的，没有虚假记载、误导性陈述和重大遗漏。</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二、本估价报告中的分析、意见和结论是我们自己公正的专业分析、意见和结论，但受到本估价报告中已说明的假设和限制条件的限制。</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三、注册房地产估价师与估价报告中的估价对象没有现实或潜在的利益，与估价委托人及估价利害关系人没有利害关系，也对估价对象、估价委托人及估价利害关系人没有偏见。</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四、我们依照中华人民共和国国家标准《房地产估价规范》《房地产估价基本术语标准》以及相关估价专项标准的规定开展估价工作，撰写估价报告。没有人对本估价报告提供重要专业帮助。</w:t>
      </w:r>
    </w:p>
    <w:p>
      <w:pPr>
        <w:pStyle w:val="16"/>
        <w:keepNext w:val="0"/>
        <w:keepLines w:val="0"/>
        <w:pageBreakBefore w:val="0"/>
        <w:kinsoku/>
        <w:overflowPunct/>
        <w:topLinePunct w:val="0"/>
        <w:bidi w:val="0"/>
        <w:spacing w:line="540" w:lineRule="exact"/>
        <w:ind w:right="-63" w:rightChars="-21" w:firstLine="540"/>
        <w:rPr>
          <w:rFonts w:ascii="仿宋_GB2312" w:hAnsi="宋体" w:eastAsia="仿宋_GB2312"/>
          <w:color w:val="auto"/>
          <w:sz w:val="28"/>
          <w:szCs w:val="28"/>
        </w:rPr>
      </w:pPr>
      <w:r>
        <w:rPr>
          <w:rFonts w:hint="eastAsia" w:ascii="仿宋_GB2312" w:hAnsi="宋体" w:eastAsia="仿宋_GB2312"/>
          <w:color w:val="auto"/>
          <w:sz w:val="28"/>
          <w:szCs w:val="28"/>
        </w:rPr>
        <w:t>五、注册房地产估价师韩颖于价值时点</w:t>
      </w:r>
      <w:r>
        <w:rPr>
          <w:rFonts w:hint="eastAsia" w:ascii="仿宋_GB2312" w:hAnsi="宋体" w:eastAsia="仿宋_GB2312"/>
          <w:color w:val="auto"/>
          <w:sz w:val="28"/>
          <w:szCs w:val="28"/>
          <w:lang w:eastAsia="zh-CN"/>
        </w:rPr>
        <w:t>2019年1月15日</w:t>
      </w:r>
      <w:r>
        <w:rPr>
          <w:rFonts w:hint="eastAsia" w:ascii="仿宋_GB2312" w:hAnsi="宋体" w:eastAsia="仿宋_GB2312"/>
          <w:color w:val="auto"/>
          <w:sz w:val="28"/>
          <w:szCs w:val="28"/>
        </w:rPr>
        <w:t>已对本估价报告中的估价对象进行了实地查勘。</w:t>
      </w:r>
    </w:p>
    <w:tbl>
      <w:tblPr>
        <w:tblStyle w:val="36"/>
        <w:tblW w:w="7886" w:type="dxa"/>
        <w:jc w:val="center"/>
        <w:tblInd w:w="-7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248"/>
        <w:gridCol w:w="3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3"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2248"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765"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bl>
    <w:p>
      <w:pPr>
        <w:pStyle w:val="16"/>
        <w:keepNext w:val="0"/>
        <w:keepLines w:val="0"/>
        <w:pageBreakBefore w:val="0"/>
        <w:kinsoku/>
        <w:overflowPunct/>
        <w:topLinePunct w:val="0"/>
        <w:bidi w:val="0"/>
        <w:spacing w:beforeLines="50" w:line="540" w:lineRule="exact"/>
        <w:jc w:val="center"/>
        <w:rPr>
          <w:rFonts w:ascii="仿宋_GB2312" w:hAnsi="宋体" w:eastAsia="仿宋_GB2312"/>
          <w:b/>
          <w:bCs/>
          <w:color w:val="auto"/>
          <w:sz w:val="44"/>
          <w:szCs w:val="44"/>
        </w:rPr>
      </w:pPr>
    </w:p>
    <w:p>
      <w:pPr>
        <w:pStyle w:val="16"/>
        <w:keepNext w:val="0"/>
        <w:keepLines w:val="0"/>
        <w:pageBreakBefore w:val="0"/>
        <w:kinsoku/>
        <w:overflowPunct/>
        <w:topLinePunct w:val="0"/>
        <w:bidi w:val="0"/>
        <w:spacing w:beforeLines="50" w:line="540" w:lineRule="exact"/>
        <w:jc w:val="center"/>
        <w:outlineLvl w:val="0"/>
        <w:rPr>
          <w:rFonts w:ascii="仿宋_GB2312" w:hAnsi="宋体" w:eastAsia="仿宋_GB2312"/>
          <w:b/>
          <w:bCs/>
          <w:color w:val="auto"/>
          <w:sz w:val="44"/>
          <w:szCs w:val="44"/>
        </w:rPr>
      </w:pPr>
      <w:r>
        <w:rPr>
          <w:rFonts w:hint="eastAsia" w:ascii="仿宋_GB2312" w:hAnsi="宋体" w:eastAsia="仿宋_GB2312"/>
          <w:b/>
          <w:bCs/>
          <w:color w:val="auto"/>
          <w:sz w:val="44"/>
          <w:szCs w:val="44"/>
        </w:rPr>
        <w:br w:type="page"/>
      </w:r>
      <w:bookmarkStart w:id="2" w:name="_Toc26251"/>
      <w:r>
        <w:rPr>
          <w:rStyle w:val="73"/>
          <w:rFonts w:hint="eastAsia"/>
          <w:color w:val="auto"/>
          <w:lang w:eastAsia="zh-CN"/>
        </w:rPr>
        <w:t>二、</w:t>
      </w:r>
      <w:r>
        <w:rPr>
          <w:rStyle w:val="73"/>
          <w:rFonts w:hint="eastAsia"/>
          <w:color w:val="auto"/>
        </w:rPr>
        <w:t>估价假设和限制条件</w:t>
      </w:r>
      <w:bookmarkEnd w:id="2"/>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一、估价假设前提</w:t>
      </w:r>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 xml:space="preserve">（一）、一般假设前提： </w:t>
      </w:r>
    </w:p>
    <w:p>
      <w:pPr>
        <w:pStyle w:val="16"/>
        <w:keepNext w:val="0"/>
        <w:keepLines w:val="0"/>
        <w:pageBreakBefore w:val="0"/>
        <w:kinsoku/>
        <w:overflowPunct/>
        <w:topLinePunct w:val="0"/>
        <w:bidi w:val="0"/>
        <w:adjustRightInd w:val="0"/>
        <w:snapToGrid w:val="0"/>
        <w:spacing w:line="540" w:lineRule="exact"/>
        <w:ind w:firstLine="573"/>
        <w:rPr>
          <w:rFonts w:ascii="仿宋_GB2312" w:hAnsi="宋体" w:eastAsia="仿宋_GB2312"/>
          <w:color w:val="auto"/>
          <w:sz w:val="28"/>
          <w:szCs w:val="28"/>
        </w:rPr>
      </w:pPr>
      <w:r>
        <w:rPr>
          <w:rFonts w:hint="eastAsia" w:ascii="仿宋_GB2312" w:eastAsia="仿宋_GB2312"/>
          <w:color w:val="auto"/>
          <w:sz w:val="28"/>
        </w:rPr>
        <w:t>1、</w:t>
      </w:r>
      <w:r>
        <w:rPr>
          <w:rFonts w:hint="eastAsia" w:ascii="仿宋_GB2312" w:hAnsi="宋体" w:eastAsia="仿宋_GB2312"/>
          <w:color w:val="auto"/>
          <w:sz w:val="28"/>
          <w:szCs w:val="28"/>
        </w:rPr>
        <w:t>估价委托人提供了《</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等资料的复印件，注册房地产估价师对估价委托人提供的估价对象的权属、面积、用途等资料进行了审慎检查，在无理由怀疑其合法性、真实性、准确性和完整性且未予以核实的情况下，对其合法、真实、准确和完整的合理假定。</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2、根据《</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复印件</w:t>
      </w:r>
      <w:r>
        <w:rPr>
          <w:rFonts w:hint="eastAsia" w:ascii="仿宋_GB2312" w:hAnsi="宋体" w:eastAsia="仿宋_GB2312"/>
          <w:color w:val="auto"/>
          <w:sz w:val="28"/>
          <w:szCs w:val="28"/>
        </w:rPr>
        <w:t>，位于</w:t>
      </w:r>
      <w:r>
        <w:rPr>
          <w:rFonts w:hint="eastAsia" w:ascii="仿宋_GB2312" w:eastAsia="仿宋_GB2312"/>
          <w:color w:val="auto"/>
          <w:sz w:val="28"/>
          <w:szCs w:val="28"/>
          <w:lang w:eastAsia="zh-CN"/>
        </w:rPr>
        <w:t>桓台县中心大街2877号天煜紫悦城43号楼三单元五层东户住宅，</w:t>
      </w:r>
      <w:r>
        <w:rPr>
          <w:rFonts w:hint="eastAsia" w:ascii="仿宋_GB2312" w:hAnsi="宋体" w:eastAsia="仿宋_GB2312"/>
          <w:color w:val="auto"/>
          <w:sz w:val="28"/>
          <w:szCs w:val="28"/>
        </w:rPr>
        <w:t>建筑面积为</w:t>
      </w:r>
      <w:r>
        <w:rPr>
          <w:rFonts w:hint="eastAsia" w:ascii="仿宋_GB2312" w:hAnsi="宋体" w:eastAsia="仿宋_GB2312"/>
          <w:color w:val="auto"/>
          <w:sz w:val="28"/>
          <w:szCs w:val="28"/>
          <w:lang w:val="en-US" w:eastAsia="zh-CN"/>
        </w:rPr>
        <w:t>155.08</w:t>
      </w:r>
      <w:r>
        <w:rPr>
          <w:rFonts w:hint="eastAsia" w:ascii="仿宋_GB2312" w:hAnsi="宋体" w:eastAsia="仿宋_GB2312"/>
          <w:color w:val="auto"/>
          <w:sz w:val="28"/>
          <w:szCs w:val="28"/>
        </w:rPr>
        <w:t>平方米，房屋所有权人为</w:t>
      </w:r>
      <w:r>
        <w:rPr>
          <w:rFonts w:hint="eastAsia" w:ascii="仿宋_GB2312" w:hAnsi="宋体" w:eastAsia="仿宋_GB2312"/>
          <w:color w:val="auto"/>
          <w:sz w:val="28"/>
          <w:szCs w:val="28"/>
          <w:lang w:eastAsia="zh-CN"/>
        </w:rPr>
        <w:t>巩向习</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规划</w:t>
      </w:r>
      <w:r>
        <w:rPr>
          <w:rFonts w:hint="eastAsia" w:ascii="仿宋_GB2312" w:hAnsi="宋体" w:eastAsia="仿宋_GB2312"/>
          <w:color w:val="auto"/>
          <w:sz w:val="28"/>
          <w:szCs w:val="28"/>
        </w:rPr>
        <w:t>用途为</w:t>
      </w:r>
      <w:r>
        <w:rPr>
          <w:rFonts w:hint="eastAsia" w:ascii="仿宋_GB2312" w:hAnsi="宋体" w:eastAsia="仿宋_GB2312"/>
          <w:color w:val="auto"/>
          <w:sz w:val="28"/>
          <w:szCs w:val="28"/>
          <w:lang w:eastAsia="zh-CN"/>
        </w:rPr>
        <w:t>成套</w:t>
      </w:r>
      <w:r>
        <w:rPr>
          <w:rFonts w:hint="eastAsia" w:ascii="仿宋_GB2312" w:hAnsi="宋体" w:eastAsia="仿宋_GB2312"/>
          <w:color w:val="auto"/>
          <w:sz w:val="28"/>
          <w:szCs w:val="28"/>
        </w:rPr>
        <w:t>住宅。估价对象已于20</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03</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03</w:t>
      </w:r>
      <w:r>
        <w:rPr>
          <w:rFonts w:hint="eastAsia" w:ascii="仿宋_GB2312" w:hAnsi="宋体" w:eastAsia="仿宋_GB2312"/>
          <w:color w:val="auto"/>
          <w:sz w:val="28"/>
          <w:szCs w:val="28"/>
        </w:rPr>
        <w:t>日在</w:t>
      </w:r>
      <w:r>
        <w:rPr>
          <w:rFonts w:hint="eastAsia" w:ascii="仿宋_GB2312" w:hAnsi="宋体" w:eastAsia="仿宋_GB2312"/>
          <w:color w:val="auto"/>
          <w:sz w:val="28"/>
          <w:szCs w:val="28"/>
          <w:lang w:eastAsia="zh-CN"/>
        </w:rPr>
        <w:t>中国建设银行股份有限公司桓台支行</w:t>
      </w:r>
      <w:r>
        <w:rPr>
          <w:rFonts w:hint="eastAsia" w:ascii="仿宋_GB2312" w:hAnsi="宋体" w:eastAsia="仿宋_GB2312"/>
          <w:color w:val="auto"/>
          <w:sz w:val="28"/>
          <w:szCs w:val="28"/>
        </w:rPr>
        <w:t>办理了房屋</w:t>
      </w:r>
      <w:r>
        <w:rPr>
          <w:rFonts w:hint="eastAsia" w:ascii="仿宋_GB2312" w:hAnsi="宋体" w:eastAsia="仿宋_GB2312"/>
          <w:color w:val="auto"/>
          <w:sz w:val="28"/>
          <w:szCs w:val="28"/>
          <w:lang w:eastAsia="zh-CN"/>
        </w:rPr>
        <w:t>抵押</w:t>
      </w:r>
      <w:r>
        <w:rPr>
          <w:rFonts w:hint="eastAsia" w:ascii="仿宋_GB2312" w:hAnsi="宋体" w:eastAsia="仿宋_GB2312"/>
          <w:color w:val="auto"/>
          <w:sz w:val="28"/>
          <w:szCs w:val="28"/>
        </w:rPr>
        <w:t>按揭贷款</w:t>
      </w:r>
      <w:r>
        <w:rPr>
          <w:rFonts w:hint="eastAsia" w:ascii="仿宋_GB2312" w:eastAsia="仿宋_GB2312"/>
          <w:color w:val="auto"/>
          <w:sz w:val="28"/>
          <w:lang w:eastAsia="zh-CN"/>
        </w:rPr>
        <w:t>，</w:t>
      </w:r>
      <w:r>
        <w:rPr>
          <w:rFonts w:hint="eastAsia" w:ascii="仿宋_GB2312" w:hAnsi="宋体" w:eastAsia="仿宋_GB2312"/>
          <w:color w:val="auto"/>
          <w:sz w:val="28"/>
          <w:szCs w:val="28"/>
          <w:lang w:eastAsia="zh-CN"/>
        </w:rPr>
        <w:t>开始日期：</w:t>
      </w:r>
      <w:r>
        <w:rPr>
          <w:rFonts w:hint="eastAsia" w:ascii="仿宋_GB2312" w:hAnsi="宋体" w:eastAsia="仿宋_GB2312"/>
          <w:color w:val="auto"/>
          <w:sz w:val="28"/>
          <w:szCs w:val="28"/>
          <w:lang w:val="en-US" w:eastAsia="zh-CN"/>
        </w:rPr>
        <w:t>2015-03-03，结束日期：2041-03-03，他项权利人：中国建设银行股份有限公司桓台支行，他项权利号：T08-1024138，</w:t>
      </w:r>
      <w:r>
        <w:rPr>
          <w:rFonts w:hint="eastAsia" w:ascii="仿宋_GB2312" w:hAnsi="宋体" w:eastAsia="仿宋_GB2312"/>
          <w:color w:val="auto"/>
          <w:sz w:val="28"/>
          <w:szCs w:val="28"/>
        </w:rPr>
        <w:t>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r>
        <w:rPr>
          <w:rFonts w:hint="eastAsia" w:ascii="仿宋_GB2312" w:eastAsia="仿宋_GB2312" w:hAnsiTheme="minorEastAsia"/>
          <w:color w:val="auto"/>
          <w:sz w:val="30"/>
          <w:szCs w:val="30"/>
          <w:lang w:eastAsia="zh-CN"/>
        </w:rPr>
        <w:t>，</w:t>
      </w:r>
      <w:r>
        <w:rPr>
          <w:rFonts w:hint="eastAsia" w:ascii="仿宋_GB2312" w:hAnsi="宋体" w:eastAsia="仿宋_GB2312"/>
          <w:color w:val="auto"/>
          <w:sz w:val="28"/>
          <w:szCs w:val="28"/>
        </w:rPr>
        <w:t>估价结果是基于估价对象产权清晰、手续齐全，并可在公开市场上自由转让的前提下测算的价值。</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zCs w:val="28"/>
        </w:rPr>
      </w:pPr>
      <w:r>
        <w:rPr>
          <w:rFonts w:hint="eastAsia" w:ascii="仿宋_GB2312" w:hAnsi="宋体" w:eastAsia="仿宋_GB2312" w:cs="宋体"/>
          <w:color w:val="auto"/>
          <w:szCs w:val="28"/>
        </w:rPr>
        <w:t>3</w:t>
      </w:r>
      <w:r>
        <w:rPr>
          <w:rFonts w:hint="eastAsia" w:ascii="仿宋_GB2312" w:hAnsi="宋体" w:eastAsia="仿宋_GB2312"/>
          <w:color w:val="auto"/>
          <w:szCs w:val="28"/>
        </w:rPr>
        <w:t>、注册房地产估价师</w:t>
      </w:r>
      <w:r>
        <w:rPr>
          <w:rFonts w:hint="eastAsia" w:ascii="仿宋_GB2312" w:hAnsi="宋体" w:eastAsia="仿宋_GB2312"/>
          <w:color w:val="auto"/>
          <w:spacing w:val="10"/>
          <w:szCs w:val="28"/>
        </w:rPr>
        <w:t>对估价对象的查勘限于估价对象的外观和使用状况，估价人员不承担对估价对象建筑结构质量、设备和环境安全进行调查的责任，在无理由怀疑估价对象存在安全隐患且无相应的专业机构进行鉴定、检测的情况下，对其安全进行合理假定。</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pacing w:val="10"/>
          <w:szCs w:val="28"/>
        </w:rPr>
      </w:pPr>
      <w:r>
        <w:rPr>
          <w:rFonts w:hint="eastAsia" w:ascii="仿宋_GB2312" w:hAnsi="宋体" w:eastAsia="仿宋_GB2312"/>
          <w:color w:val="auto"/>
          <w:szCs w:val="28"/>
        </w:rPr>
        <w:t>4、</w:t>
      </w:r>
      <w:r>
        <w:rPr>
          <w:rFonts w:hint="eastAsia" w:ascii="仿宋_GB2312" w:eastAsia="仿宋_GB2312"/>
          <w:color w:val="auto"/>
        </w:rPr>
        <w:t>估价对象证载用途</w:t>
      </w:r>
      <w:r>
        <w:rPr>
          <w:rFonts w:hint="eastAsia" w:ascii="仿宋_GB2312" w:eastAsia="仿宋_GB2312"/>
          <w:color w:val="auto"/>
          <w:lang w:eastAsia="zh-CN"/>
        </w:rPr>
        <w:t>为成套住宅、</w:t>
      </w:r>
      <w:r>
        <w:rPr>
          <w:rFonts w:hint="eastAsia" w:ascii="仿宋_GB2312" w:eastAsia="仿宋_GB2312"/>
          <w:color w:val="auto"/>
        </w:rPr>
        <w:t>实际用途为</w:t>
      </w:r>
      <w:r>
        <w:rPr>
          <w:rFonts w:hint="eastAsia" w:ascii="仿宋_GB2312" w:eastAsia="仿宋_GB2312"/>
          <w:color w:val="auto"/>
          <w:lang w:eastAsia="zh-CN"/>
        </w:rPr>
        <w:t>住宅</w:t>
      </w:r>
      <w:r>
        <w:rPr>
          <w:rFonts w:hint="eastAsia" w:ascii="仿宋_GB2312" w:eastAsia="仿宋_GB2312"/>
          <w:color w:val="auto"/>
        </w:rPr>
        <w:t>，符合最高最佳利用原则，我们所评估的价值是基于估价对象能按维持现状正常使用为前提进行评估的</w:t>
      </w:r>
      <w:r>
        <w:rPr>
          <w:rFonts w:hint="eastAsia" w:ascii="仿宋_GB2312" w:hAnsi="宋体" w:eastAsia="仿宋_GB2312"/>
          <w:color w:val="auto"/>
          <w:spacing w:val="10"/>
          <w:szCs w:val="28"/>
        </w:rPr>
        <w:t>。</w:t>
      </w:r>
    </w:p>
    <w:p>
      <w:pPr>
        <w:pStyle w:val="12"/>
        <w:keepNext w:val="0"/>
        <w:keepLines w:val="0"/>
        <w:pageBreakBefore w:val="0"/>
        <w:kinsoku/>
        <w:overflowPunct/>
        <w:topLinePunct w:val="0"/>
        <w:bidi w:val="0"/>
        <w:snapToGrid w:val="0"/>
        <w:spacing w:line="540" w:lineRule="exact"/>
        <w:rPr>
          <w:rFonts w:ascii="仿宋_GB2312" w:hAnsi="宋体" w:eastAsia="仿宋_GB2312"/>
          <w:b/>
          <w:bCs/>
          <w:color w:val="auto"/>
          <w:spacing w:val="10"/>
          <w:szCs w:val="28"/>
        </w:rPr>
      </w:pPr>
      <w:r>
        <w:rPr>
          <w:rFonts w:hint="eastAsia" w:ascii="仿宋_GB2312" w:hAnsi="宋体" w:eastAsia="仿宋_GB2312"/>
          <w:b/>
          <w:bCs/>
          <w:color w:val="auto"/>
          <w:spacing w:val="10"/>
          <w:szCs w:val="28"/>
        </w:rPr>
        <w:t>（二）、估价中未考虑的因素及一些特殊处理</w:t>
      </w:r>
    </w:p>
    <w:p>
      <w:pPr>
        <w:keepNext w:val="0"/>
        <w:keepLines w:val="0"/>
        <w:pageBreakBefore w:val="0"/>
        <w:kinsoku/>
        <w:overflowPunct/>
        <w:topLinePunct w:val="0"/>
        <w:bidi w:val="0"/>
        <w:spacing w:line="540" w:lineRule="exact"/>
        <w:ind w:firstLine="600" w:firstLineChars="200"/>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 xml:space="preserve">、背离事实假设 </w:t>
      </w:r>
    </w:p>
    <w:p>
      <w:pPr>
        <w:keepNext w:val="0"/>
        <w:keepLines w:val="0"/>
        <w:pageBreakBefore w:val="0"/>
        <w:kinsoku/>
        <w:overflowPunct/>
        <w:topLinePunct w:val="0"/>
        <w:bidi w:val="0"/>
        <w:spacing w:line="54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 xml:space="preserve">   </w:t>
      </w:r>
      <w:r>
        <w:rPr>
          <w:rFonts w:hint="eastAsia" w:ascii="仿宋_GB2312" w:hAnsi="仿宋_GB2312" w:eastAsia="仿宋_GB2312" w:cs="仿宋_GB2312"/>
          <w:color w:val="auto"/>
          <w:spacing w:val="-10"/>
          <w:szCs w:val="28"/>
        </w:rPr>
        <w:t>设定的估价对象状况与估价对象实际状况一致，无背离事实假设。</w:t>
      </w:r>
    </w:p>
    <w:p>
      <w:pPr>
        <w:keepNext w:val="0"/>
        <w:keepLines w:val="0"/>
        <w:pageBreakBefore w:val="0"/>
        <w:kinsoku/>
        <w:overflowPunct/>
        <w:topLinePunct w:val="0"/>
        <w:bidi w:val="0"/>
        <w:spacing w:line="540" w:lineRule="exact"/>
        <w:ind w:firstLine="60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估价委托人提供了相应的估价资料，估价人员进行了尽职调查，估价对象状况的相关依据充分，无依据不足假设。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估价结果是反映估价对象在本次估价目的下的市场价格参考，估价对象在价值时点的房地产市场为公开、平等、自愿的交易市场，即能满足以下条件：①交易双方自愿的进行交易；②交易双方处于利己动机进行交易；③交易双方谨慎行事，并了解交易对象、知晓市场行情；④交易双方有较充裕的时间进行交易；⑤不存在买者因特殊兴趣而给予附加出价。</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时没有考虑国家宏观经济政策发生变化、市场供应关系变化、市场结构转变、遇有自然力和其它不可抗力等因素对房地产价值的影响，也没有考虑估价对象将来可能承担违约责任的事宜，以及特殊交易方式下的特殊交易价格等对评估价值的影响。当上述条件发生变化时，评估结果一般亦会发生变化。</w:t>
      </w:r>
    </w:p>
    <w:p>
      <w:pPr>
        <w:pStyle w:val="16"/>
        <w:keepNext w:val="0"/>
        <w:keepLines w:val="0"/>
        <w:pageBreakBefore w:val="0"/>
        <w:kinsoku/>
        <w:overflowPunct/>
        <w:topLinePunct w:val="0"/>
        <w:bidi w:val="0"/>
        <w:snapToGrid w:val="0"/>
        <w:spacing w:line="540" w:lineRule="exact"/>
        <w:rPr>
          <w:rFonts w:ascii="仿宋_GB2312" w:hAnsi="宋体" w:eastAsia="仿宋_GB2312"/>
          <w:b/>
          <w:bCs/>
          <w:color w:val="auto"/>
          <w:sz w:val="28"/>
          <w:szCs w:val="28"/>
        </w:rPr>
      </w:pPr>
      <w:r>
        <w:rPr>
          <w:rFonts w:hint="eastAsia" w:ascii="仿宋_GB2312" w:hAnsi="宋体" w:eastAsia="仿宋_GB2312"/>
          <w:b/>
          <w:bCs/>
          <w:color w:val="auto"/>
          <w:sz w:val="28"/>
          <w:szCs w:val="28"/>
        </w:rPr>
        <w:t>二、估价报告使用限制条件</w:t>
      </w:r>
    </w:p>
    <w:p>
      <w:pPr>
        <w:keepNext w:val="0"/>
        <w:keepLines w:val="0"/>
        <w:pageBreakBefore w:val="0"/>
        <w:tabs>
          <w:tab w:val="left" w:pos="7797"/>
        </w:tabs>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szCs w:val="28"/>
        </w:rPr>
        <w:t>1、本报告正文与附件仅供估价委托人本次评估目的使用，即</w:t>
      </w:r>
      <w:r>
        <w:rPr>
          <w:rFonts w:hint="eastAsia" w:ascii="仿宋_GB2312" w:hAnsi="宋体" w:eastAsia="仿宋_GB2312"/>
          <w:color w:val="auto"/>
          <w:spacing w:val="0"/>
          <w:szCs w:val="28"/>
        </w:rPr>
        <w:t>为委托方执行涉及估价对象的司法裁决提供价值鉴定意见而评估房地产的市场价值。</w:t>
      </w:r>
      <w:r>
        <w:rPr>
          <w:rFonts w:hint="eastAsia" w:ascii="仿宋_GB2312" w:eastAsia="仿宋_GB2312"/>
          <w:color w:val="auto"/>
          <w:szCs w:val="28"/>
        </w:rPr>
        <w:t>本报告的全部或者部分内容除获得我们同意外，不得用作其他用途，不得转载或引用于任何文字载体（包括文章、文件、报告、公告和声明等）。</w:t>
      </w:r>
    </w:p>
    <w:p>
      <w:pPr>
        <w:pStyle w:val="12"/>
        <w:keepNext w:val="0"/>
        <w:keepLines w:val="0"/>
        <w:pageBreakBefore w:val="0"/>
        <w:kinsoku/>
        <w:overflowPunct/>
        <w:topLinePunct w:val="0"/>
        <w:bidi w:val="0"/>
        <w:snapToGrid w:val="0"/>
        <w:spacing w:line="540" w:lineRule="exact"/>
        <w:ind w:firstLine="560" w:firstLineChars="200"/>
        <w:rPr>
          <w:rFonts w:ascii="仿宋_GB2312" w:hAnsi="宋体" w:eastAsia="仿宋_GB2312" w:cs="宋体"/>
          <w:color w:val="auto"/>
          <w:szCs w:val="28"/>
        </w:rPr>
      </w:pPr>
      <w:r>
        <w:rPr>
          <w:rFonts w:hint="eastAsia" w:ascii="仿宋_GB2312" w:hAnsi="宋体" w:eastAsia="仿宋_GB2312"/>
          <w:color w:val="auto"/>
          <w:szCs w:val="28"/>
        </w:rPr>
        <w:t>2、本估价报告使用期限自</w:t>
      </w:r>
      <w:r>
        <w:rPr>
          <w:rFonts w:hint="eastAsia" w:ascii="仿宋_GB2312" w:hAnsi="宋体" w:eastAsia="仿宋_GB2312"/>
          <w:color w:val="auto"/>
          <w:szCs w:val="28"/>
          <w:lang w:eastAsia="zh-CN"/>
        </w:rPr>
        <w:t>2019年1月18日</w:t>
      </w:r>
      <w:r>
        <w:rPr>
          <w:rFonts w:hint="eastAsia" w:ascii="仿宋_GB2312" w:hAnsi="宋体" w:eastAsia="仿宋_GB2312"/>
          <w:color w:val="auto"/>
          <w:szCs w:val="28"/>
        </w:rPr>
        <w:t>至20</w:t>
      </w:r>
      <w:r>
        <w:rPr>
          <w:rFonts w:hint="eastAsia" w:ascii="仿宋_GB2312" w:hAnsi="宋体" w:eastAsia="仿宋_GB2312"/>
          <w:color w:val="auto"/>
          <w:szCs w:val="28"/>
          <w:lang w:val="en-US" w:eastAsia="zh-CN"/>
        </w:rPr>
        <w:t>20</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1</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17</w:t>
      </w:r>
      <w:r>
        <w:rPr>
          <w:rFonts w:hint="eastAsia" w:ascii="仿宋_GB2312" w:hAnsi="宋体" w:eastAsia="仿宋_GB2312"/>
          <w:color w:val="auto"/>
          <w:szCs w:val="28"/>
        </w:rPr>
        <w:t>日止。</w:t>
      </w: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2"/>
        <w:keepLines w:val="0"/>
        <w:pageBreakBefore w:val="0"/>
        <w:numPr>
          <w:ilvl w:val="0"/>
          <w:numId w:val="0"/>
        </w:numPr>
        <w:tabs>
          <w:tab w:val="clear" w:pos="-510"/>
        </w:tabs>
        <w:kinsoku/>
        <w:wordWrap/>
        <w:overflowPunct/>
        <w:topLinePunct w:val="0"/>
        <w:autoSpaceDE/>
        <w:autoSpaceDN/>
        <w:bidi w:val="0"/>
        <w:spacing w:line="480" w:lineRule="exact"/>
        <w:ind w:left="-540" w:leftChars="0"/>
        <w:jc w:val="center"/>
        <w:rPr>
          <w:color w:val="auto"/>
        </w:rPr>
      </w:pPr>
      <w:bookmarkStart w:id="3" w:name="_Toc4510"/>
      <w:r>
        <w:rPr>
          <w:rFonts w:hint="eastAsia"/>
          <w:color w:val="auto"/>
          <w:lang w:eastAsia="zh-CN"/>
        </w:rPr>
        <w:t>三、</w:t>
      </w:r>
      <w:r>
        <w:rPr>
          <w:rFonts w:hint="eastAsia"/>
          <w:color w:val="auto"/>
        </w:rPr>
        <w:t>估价结果报告</w:t>
      </w:r>
      <w:bookmarkEnd w:id="3"/>
    </w:p>
    <w:p>
      <w:pPr>
        <w:pStyle w:val="3"/>
        <w:keepLines w:val="0"/>
        <w:pageBreakBefore w:val="0"/>
        <w:kinsoku/>
        <w:wordWrap/>
        <w:overflowPunct/>
        <w:topLinePunct w:val="0"/>
        <w:autoSpaceDE/>
        <w:autoSpaceDN/>
        <w:bidi w:val="0"/>
        <w:spacing w:line="480" w:lineRule="exact"/>
        <w:rPr>
          <w:color w:val="auto"/>
        </w:rPr>
      </w:pPr>
      <w:bookmarkStart w:id="4" w:name="_Toc28706"/>
      <w:r>
        <w:rPr>
          <w:rFonts w:hint="eastAsia"/>
          <w:color w:val="auto"/>
        </w:rPr>
        <w:t>一、估价委托人</w:t>
      </w:r>
      <w:bookmarkEnd w:id="4"/>
    </w:p>
    <w:p>
      <w:pPr>
        <w:keepNext w:val="0"/>
        <w:keepLines w:val="0"/>
        <w:pageBreakBefore w:val="0"/>
        <w:kinsoku/>
        <w:wordWrap/>
        <w:overflowPunct/>
        <w:topLinePunct w:val="0"/>
        <w:autoSpaceDE/>
        <w:autoSpaceDN/>
        <w:bidi w:val="0"/>
        <w:snapToGrid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委托单位全称：</w:t>
      </w:r>
      <w:r>
        <w:rPr>
          <w:rFonts w:hint="eastAsia" w:ascii="仿宋_GB2312" w:hAnsi="宋体" w:eastAsia="仿宋_GB2312"/>
          <w:color w:val="auto"/>
          <w:szCs w:val="28"/>
        </w:rPr>
        <w:t>高青县人民法院司法技术和装备管理局</w:t>
      </w:r>
    </w:p>
    <w:p>
      <w:pPr>
        <w:keepNext w:val="0"/>
        <w:keepLines w:val="0"/>
        <w:pageBreakBefore w:val="0"/>
        <w:numPr>
          <w:ilvl w:val="0"/>
          <w:numId w:val="6"/>
        </w:numPr>
        <w:kinsoku/>
        <w:wordWrap/>
        <w:overflowPunct/>
        <w:topLinePunct w:val="0"/>
        <w:autoSpaceDE/>
        <w:autoSpaceDN/>
        <w:bidi w:val="0"/>
        <w:snapToGrid w:val="0"/>
        <w:spacing w:line="480" w:lineRule="exact"/>
        <w:outlineLvl w:val="1"/>
        <w:rPr>
          <w:rFonts w:ascii="仿宋_GB2312" w:hAnsi="宋体" w:eastAsia="仿宋_GB2312"/>
          <w:b/>
          <w:bCs/>
          <w:color w:val="auto"/>
          <w:spacing w:val="0"/>
          <w:szCs w:val="28"/>
        </w:rPr>
      </w:pPr>
      <w:bookmarkStart w:id="5" w:name="_Toc2251"/>
      <w:r>
        <w:rPr>
          <w:rStyle w:val="74"/>
          <w:rFonts w:hint="eastAsia"/>
          <w:color w:val="auto"/>
        </w:rPr>
        <w:t>房地产估价机</w:t>
      </w:r>
      <w:r>
        <w:rPr>
          <w:rStyle w:val="74"/>
          <w:rFonts w:hint="eastAsia"/>
          <w:color w:val="auto"/>
          <w:lang w:eastAsia="zh-CN"/>
        </w:rPr>
        <w:t>构</w:t>
      </w:r>
      <w:bookmarkEnd w:id="5"/>
    </w:p>
    <w:p>
      <w:pPr>
        <w:keepNext w:val="0"/>
        <w:keepLines w:val="0"/>
        <w:pageBreakBefore w:val="0"/>
        <w:numPr>
          <w:ilvl w:val="0"/>
          <w:numId w:val="0"/>
        </w:numPr>
        <w:kinsoku/>
        <w:wordWrap/>
        <w:overflowPunct/>
        <w:topLinePunct w:val="0"/>
        <w:autoSpaceDE/>
        <w:autoSpaceDN/>
        <w:bidi w:val="0"/>
        <w:snapToGrid w:val="0"/>
        <w:spacing w:line="480" w:lineRule="exact"/>
        <w:ind w:firstLine="600" w:firstLineChars="200"/>
        <w:outlineLvl w:val="1"/>
        <w:rPr>
          <w:rFonts w:ascii="仿宋_GB2312" w:hAnsi="宋体" w:eastAsia="仿宋_GB2312"/>
          <w:b/>
          <w:bCs/>
          <w:color w:val="auto"/>
          <w:spacing w:val="0"/>
          <w:szCs w:val="28"/>
        </w:rPr>
      </w:pPr>
      <w:bookmarkStart w:id="6" w:name="_Toc4302"/>
      <w:bookmarkStart w:id="7" w:name="_Toc26592"/>
      <w:bookmarkStart w:id="8" w:name="_Toc29124"/>
      <w:r>
        <w:rPr>
          <w:rFonts w:hint="eastAsia" w:ascii="仿宋_GB2312" w:hAnsi="华文细黑" w:eastAsia="仿宋_GB2312" w:cs="宋体"/>
          <w:color w:val="auto"/>
          <w:szCs w:val="28"/>
          <w:lang w:eastAsia="zh-CN"/>
        </w:rPr>
        <w:t>委估机构</w:t>
      </w:r>
      <w:r>
        <w:rPr>
          <w:rFonts w:hint="eastAsia" w:ascii="仿宋_GB2312" w:hAnsi="华文细黑" w:eastAsia="仿宋_GB2312" w:cs="宋体"/>
          <w:color w:val="auto"/>
          <w:szCs w:val="28"/>
          <w:lang w:val="en-US" w:eastAsia="zh-CN"/>
        </w:rPr>
        <w:t>全称：</w:t>
      </w:r>
      <w:r>
        <w:rPr>
          <w:rFonts w:hint="eastAsia" w:ascii="仿宋_GB2312" w:hAnsi="华文细黑" w:eastAsia="仿宋_GB2312" w:cs="宋体"/>
          <w:color w:val="auto"/>
          <w:szCs w:val="28"/>
        </w:rPr>
        <w:t>山东明嘉正德土地房地产评估有限公司</w:t>
      </w:r>
      <w:bookmarkEnd w:id="6"/>
      <w:bookmarkEnd w:id="7"/>
      <w:bookmarkEnd w:id="8"/>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住   所：</w:t>
      </w:r>
      <w:r>
        <w:rPr>
          <w:rFonts w:hint="eastAsia" w:ascii="仿宋_GB2312" w:hAnsi="华文细黑" w:eastAsia="仿宋_GB2312" w:cs="宋体"/>
          <w:color w:val="auto"/>
          <w:szCs w:val="28"/>
        </w:rPr>
        <w:t>张店区共青团西路122号3层309号</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法人代表：</w:t>
      </w:r>
      <w:r>
        <w:rPr>
          <w:rFonts w:hint="eastAsia" w:ascii="仿宋_GB2312" w:hAnsi="华文细黑" w:eastAsia="仿宋_GB2312" w:cs="宋体"/>
          <w:color w:val="auto"/>
          <w:szCs w:val="28"/>
        </w:rPr>
        <w:t>韩颖</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资质等级：房地产</w:t>
      </w:r>
      <w:r>
        <w:rPr>
          <w:rFonts w:hint="eastAsia" w:ascii="仿宋_GB2312" w:hAnsi="华文细黑" w:eastAsia="仿宋_GB2312" w:cs="宋体"/>
          <w:color w:val="auto"/>
          <w:szCs w:val="28"/>
        </w:rPr>
        <w:t>贰级</w:t>
      </w:r>
      <w:r>
        <w:rPr>
          <w:rFonts w:hint="eastAsia" w:ascii="仿宋_GB2312" w:hAnsi="华文细黑" w:eastAsia="仿宋_GB2312" w:cs="宋体"/>
          <w:color w:val="auto"/>
          <w:szCs w:val="28"/>
          <w:lang w:val="en-US" w:eastAsia="zh-CN"/>
        </w:rPr>
        <w:t xml:space="preserve">   </w:t>
      </w:r>
      <w:r>
        <w:rPr>
          <w:rFonts w:hint="eastAsia" w:ascii="仿宋_GB2312" w:hAnsi="华文细黑" w:eastAsia="仿宋_GB2312"/>
          <w:color w:val="auto"/>
          <w:szCs w:val="28"/>
        </w:rPr>
        <w:t>证书编号：鲁评</w:t>
      </w:r>
      <w:r>
        <w:rPr>
          <w:rFonts w:hint="eastAsia" w:ascii="仿宋_GB2312" w:hAnsi="华文细黑" w:eastAsia="仿宋_GB2312"/>
          <w:color w:val="auto"/>
          <w:szCs w:val="28"/>
          <w:lang w:val="en-US" w:eastAsia="zh-CN"/>
        </w:rPr>
        <w:t>0</w:t>
      </w:r>
      <w:r>
        <w:rPr>
          <w:rFonts w:hint="eastAsia" w:ascii="仿宋_GB2312" w:hAnsi="华文细黑" w:eastAsia="仿宋_GB2312"/>
          <w:color w:val="auto"/>
          <w:szCs w:val="28"/>
        </w:rPr>
        <w:t>32014</w:t>
      </w:r>
    </w:p>
    <w:p>
      <w:pPr>
        <w:keepNext w:val="0"/>
        <w:keepLines w:val="0"/>
        <w:pageBreakBefore w:val="0"/>
        <w:kinsoku/>
        <w:wordWrap/>
        <w:overflowPunct/>
        <w:topLinePunct w:val="0"/>
        <w:autoSpaceDE/>
        <w:autoSpaceDN/>
        <w:bidi w:val="0"/>
        <w:spacing w:line="480" w:lineRule="exact"/>
        <w:ind w:firstLine="600" w:firstLineChars="200"/>
        <w:contextualSpacing/>
        <w:rPr>
          <w:rFonts w:hint="eastAsia" w:ascii="仿宋_GB2312" w:hAnsi="华文细黑" w:eastAsia="仿宋_GB2312"/>
          <w:color w:val="auto"/>
          <w:szCs w:val="28"/>
          <w:lang w:val="en-US" w:eastAsia="zh-CN"/>
        </w:rPr>
      </w:pPr>
      <w:r>
        <w:rPr>
          <w:rFonts w:hint="eastAsia" w:ascii="仿宋_GB2312" w:hAnsi="华文细黑" w:eastAsia="仿宋_GB2312"/>
          <w:color w:val="auto"/>
          <w:szCs w:val="28"/>
        </w:rPr>
        <w:t>联系电话：</w:t>
      </w:r>
      <w:r>
        <w:rPr>
          <w:rFonts w:hint="eastAsia" w:ascii="仿宋_GB2312" w:hAnsi="华文细黑" w:eastAsia="仿宋_GB2312"/>
          <w:color w:val="auto"/>
          <w:szCs w:val="28"/>
          <w:lang w:val="en-US" w:eastAsia="zh-CN"/>
        </w:rPr>
        <w:t>05336679913</w:t>
      </w:r>
    </w:p>
    <w:p>
      <w:pPr>
        <w:keepNext w:val="0"/>
        <w:keepLines w:val="0"/>
        <w:pageBreakBefore w:val="0"/>
        <w:tabs>
          <w:tab w:val="left" w:pos="2868"/>
          <w:tab w:val="left" w:pos="8856"/>
        </w:tabs>
        <w:kinsoku/>
        <w:wordWrap/>
        <w:overflowPunct/>
        <w:topLinePunct w:val="0"/>
        <w:autoSpaceDE/>
        <w:autoSpaceDN/>
        <w:bidi w:val="0"/>
        <w:spacing w:line="480" w:lineRule="exact"/>
        <w:outlineLvl w:val="1"/>
        <w:rPr>
          <w:rFonts w:ascii="仿宋_GB2312" w:hAnsi="宋体" w:eastAsia="仿宋_GB2312"/>
          <w:color w:val="auto"/>
          <w:szCs w:val="28"/>
        </w:rPr>
      </w:pPr>
      <w:bookmarkStart w:id="9" w:name="_Toc15972"/>
      <w:r>
        <w:rPr>
          <w:rStyle w:val="74"/>
          <w:rFonts w:hint="eastAsia"/>
          <w:color w:val="auto"/>
        </w:rPr>
        <w:t>三、估价目的</w:t>
      </w:r>
      <w:bookmarkEnd w:id="9"/>
      <w:r>
        <w:rPr>
          <w:rFonts w:hint="eastAsia" w:ascii="仿宋_GB2312" w:hAnsi="宋体" w:eastAsia="仿宋_GB2312"/>
          <w:b/>
          <w:bCs/>
          <w:color w:val="auto"/>
          <w:spacing w:val="0"/>
          <w:szCs w:val="28"/>
        </w:rPr>
        <w:t xml:space="preserve">  </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为委托方执行涉及估价对象的司法裁决提供价值鉴定意见而评估房地产的市场价值。</w:t>
      </w:r>
    </w:p>
    <w:p>
      <w:pPr>
        <w:pStyle w:val="3"/>
        <w:keepLines w:val="0"/>
        <w:pageBreakBefore w:val="0"/>
        <w:kinsoku/>
        <w:wordWrap/>
        <w:overflowPunct/>
        <w:topLinePunct w:val="0"/>
        <w:autoSpaceDE/>
        <w:autoSpaceDN/>
        <w:bidi w:val="0"/>
        <w:spacing w:line="480" w:lineRule="exact"/>
        <w:rPr>
          <w:color w:val="auto"/>
        </w:rPr>
      </w:pPr>
      <w:bookmarkStart w:id="10" w:name="_Toc21184"/>
      <w:r>
        <w:rPr>
          <w:rFonts w:hint="eastAsia"/>
          <w:color w:val="auto"/>
        </w:rPr>
        <w:t>四、估价对象</w:t>
      </w:r>
      <w:bookmarkEnd w:id="10"/>
    </w:p>
    <w:p>
      <w:pPr>
        <w:keepNext w:val="0"/>
        <w:keepLines w:val="0"/>
        <w:pageBreakBefore w:val="0"/>
        <w:tabs>
          <w:tab w:val="left" w:pos="7797"/>
        </w:tabs>
        <w:kinsoku/>
        <w:wordWrap/>
        <w:overflowPunct/>
        <w:topLinePunct w:val="0"/>
        <w:autoSpaceDE/>
        <w:autoSpaceDN/>
        <w:bidi w:val="0"/>
        <w:spacing w:line="480" w:lineRule="exact"/>
        <w:ind w:firstLine="560" w:firstLineChars="200"/>
        <w:rPr>
          <w:rFonts w:hint="eastAsia" w:ascii="仿宋_GB2312" w:eastAsia="仿宋_GB2312"/>
          <w:color w:val="auto"/>
        </w:rPr>
      </w:pP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桓台县中心大街2877号天煜紫悦城43号楼三单元五层东户住宅</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632"/>
        <w:gridCol w:w="858"/>
        <w:gridCol w:w="2505"/>
        <w:gridCol w:w="2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08-1935638</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155.08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巩向习</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370321197609180616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5/7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2013</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bl>
    <w:p>
      <w:pPr>
        <w:keepNext w:val="0"/>
        <w:keepLines w:val="0"/>
        <w:pageBreakBefore w:val="0"/>
        <w:kinsoku/>
        <w:wordWrap/>
        <w:overflowPunct/>
        <w:topLinePunct w:val="0"/>
        <w:autoSpaceDE/>
        <w:autoSpaceDN/>
        <w:bidi w:val="0"/>
        <w:snapToGrid w:val="0"/>
        <w:spacing w:line="480" w:lineRule="exact"/>
        <w:ind w:firstLine="551" w:firstLineChars="196"/>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1、区位状况</w:t>
      </w:r>
    </w:p>
    <w:p>
      <w:pPr>
        <w:keepNext w:val="0"/>
        <w:keepLines w:val="0"/>
        <w:pageBreakBefore w:val="0"/>
        <w:kinsoku/>
        <w:wordWrap/>
        <w:overflowPunct/>
        <w:topLinePunct w:val="0"/>
        <w:autoSpaceDE/>
        <w:autoSpaceDN/>
        <w:bidi w:val="0"/>
        <w:snapToGrid w:val="0"/>
        <w:spacing w:line="480" w:lineRule="exact"/>
        <w:ind w:firstLine="600" w:firstLineChars="200"/>
        <w:outlineLvl w:val="9"/>
        <w:rPr>
          <w:rFonts w:ascii="仿宋_GB2312" w:eastAsia="仿宋_GB2312"/>
          <w:color w:val="auto"/>
        </w:rPr>
      </w:pPr>
      <w:r>
        <w:rPr>
          <w:rFonts w:hint="eastAsia" w:ascii="仿宋_GB2312" w:eastAsia="仿宋_GB2312"/>
          <w:color w:val="auto"/>
          <w:lang w:eastAsia="zh-CN"/>
        </w:rPr>
        <w:t>估价对象所在建筑物位于桓台县中心大街</w:t>
      </w:r>
      <w:r>
        <w:rPr>
          <w:rFonts w:hint="eastAsia" w:ascii="仿宋_GB2312" w:eastAsia="仿宋_GB2312"/>
          <w:color w:val="auto"/>
          <w:lang w:val="en-US" w:eastAsia="zh-CN"/>
        </w:rPr>
        <w:t>2877号天煜紫悦城43号楼三单元五层东户</w:t>
      </w:r>
      <w:r>
        <w:rPr>
          <w:rFonts w:hint="eastAsia" w:ascii="仿宋_GB2312" w:eastAsia="仿宋_GB2312"/>
          <w:color w:val="auto"/>
          <w:lang w:eastAsia="zh-CN"/>
        </w:rPr>
        <w:t>，</w:t>
      </w:r>
      <w:r>
        <w:rPr>
          <w:rFonts w:hint="eastAsia" w:ascii="仿宋_GB2312" w:eastAsia="仿宋_GB2312"/>
          <w:color w:val="auto"/>
        </w:rPr>
        <w:t>位于</w:t>
      </w:r>
      <w:r>
        <w:rPr>
          <w:rFonts w:hint="eastAsia" w:ascii="仿宋_GB2312" w:eastAsia="仿宋_GB2312"/>
          <w:color w:val="auto"/>
          <w:lang w:eastAsia="zh-CN"/>
        </w:rPr>
        <w:t>中心大街以南、柳泉北路以西</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80" w:lineRule="exact"/>
        <w:ind w:firstLine="600" w:firstLineChars="200"/>
        <w:outlineLvl w:val="9"/>
        <w:rPr>
          <w:rFonts w:ascii="仿宋_GB2312" w:eastAsia="仿宋_GB2312"/>
          <w:color w:val="auto"/>
        </w:rPr>
      </w:pPr>
      <w:r>
        <w:rPr>
          <w:rFonts w:hint="eastAsia" w:ascii="仿宋_GB2312" w:eastAsia="仿宋_GB2312"/>
          <w:color w:val="auto"/>
        </w:rPr>
        <w:t>项目城市配套齐全；</w:t>
      </w:r>
      <w:r>
        <w:rPr>
          <w:rFonts w:hint="eastAsia" w:ascii="仿宋_GB2312" w:eastAsia="仿宋_GB2312"/>
          <w:color w:val="auto"/>
          <w:lang w:eastAsia="zh-CN"/>
        </w:rPr>
        <w:t>位于桓台县中心大街以南、柳泉北路以西</w:t>
      </w:r>
      <w:r>
        <w:rPr>
          <w:rFonts w:hint="eastAsia" w:ascii="仿宋_GB2312" w:eastAsia="仿宋_GB2312"/>
          <w:color w:val="auto"/>
        </w:rPr>
        <w:t>，交通非常方便。</w:t>
      </w:r>
      <w:r>
        <w:rPr>
          <w:rFonts w:hint="eastAsia" w:ascii="仿宋_GB2312" w:eastAsia="仿宋_GB2312"/>
          <w:color w:val="auto"/>
          <w:lang w:eastAsia="zh-CN"/>
        </w:rPr>
        <w:t>周围超市、医院等生活配套设施齐全</w:t>
      </w:r>
      <w:r>
        <w:rPr>
          <w:rFonts w:hint="eastAsia" w:ascii="仿宋_GB2312" w:eastAsia="仿宋_GB2312"/>
          <w:color w:val="auto"/>
        </w:rPr>
        <w:t>，</w:t>
      </w:r>
      <w:r>
        <w:rPr>
          <w:rFonts w:hint="eastAsia" w:ascii="仿宋_GB2312" w:eastAsia="仿宋_GB2312"/>
          <w:color w:val="auto"/>
          <w:lang w:eastAsia="zh-CN"/>
        </w:rPr>
        <w:t>商业、居住氛围较好生活便利</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8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学校：</w:t>
      </w:r>
      <w:r>
        <w:rPr>
          <w:rFonts w:hint="eastAsia" w:ascii="仿宋_GB2312" w:eastAsia="仿宋_GB2312"/>
          <w:color w:val="auto"/>
          <w:lang w:eastAsia="zh-CN"/>
        </w:rPr>
        <w:t>桓台第二中学、山东省桓台第一中学</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8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lang w:eastAsia="zh-CN"/>
        </w:rPr>
        <w:t>购物中心</w:t>
      </w:r>
      <w:r>
        <w:rPr>
          <w:rFonts w:hint="eastAsia" w:ascii="仿宋_GB2312" w:eastAsia="仿宋_GB2312"/>
          <w:color w:val="auto"/>
        </w:rPr>
        <w:t>：</w:t>
      </w:r>
      <w:r>
        <w:rPr>
          <w:rFonts w:hint="eastAsia" w:ascii="仿宋_GB2312" w:eastAsia="仿宋_GB2312"/>
          <w:color w:val="auto"/>
          <w:lang w:eastAsia="zh-CN"/>
        </w:rPr>
        <w:t>惠仟佳购物广场</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8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银行：中国</w:t>
      </w:r>
      <w:r>
        <w:rPr>
          <w:rFonts w:hint="eastAsia" w:ascii="仿宋_GB2312" w:eastAsia="仿宋_GB2312"/>
          <w:color w:val="auto"/>
          <w:lang w:eastAsia="zh-CN"/>
        </w:rPr>
        <w:t>农业</w:t>
      </w:r>
      <w:r>
        <w:rPr>
          <w:rFonts w:hint="eastAsia" w:ascii="仿宋_GB2312" w:eastAsia="仿宋_GB2312"/>
          <w:color w:val="auto"/>
        </w:rPr>
        <w:t>银行、</w:t>
      </w:r>
      <w:r>
        <w:rPr>
          <w:rFonts w:hint="eastAsia" w:ascii="仿宋_GB2312" w:eastAsia="仿宋_GB2312"/>
          <w:color w:val="auto"/>
          <w:lang w:eastAsia="zh-CN"/>
        </w:rPr>
        <w:t>山东桓台县农村商业银行</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80" w:lineRule="exact"/>
        <w:ind w:firstLine="562" w:firstLineChars="200"/>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2、实物状况</w:t>
      </w:r>
    </w:p>
    <w:p>
      <w:pPr>
        <w:keepNext w:val="0"/>
        <w:keepLines w:val="0"/>
        <w:pageBreakBefore w:val="0"/>
        <w:kinsoku/>
        <w:wordWrap/>
        <w:overflowPunct/>
        <w:topLinePunct w:val="0"/>
        <w:autoSpaceDE/>
        <w:autoSpaceDN/>
        <w:bidi w:val="0"/>
        <w:spacing w:line="480" w:lineRule="exact"/>
        <w:ind w:firstLine="560" w:firstLineChars="200"/>
        <w:outlineLvl w:val="9"/>
        <w:rPr>
          <w:rFonts w:ascii="仿宋_GB2312" w:hAnsi="宋体" w:eastAsia="仿宋_GB2312" w:cs="宋体"/>
          <w:color w:val="auto"/>
          <w:spacing w:val="0"/>
          <w:szCs w:val="28"/>
        </w:rPr>
      </w:pPr>
      <w:r>
        <w:rPr>
          <w:rFonts w:hint="eastAsia" w:ascii="仿宋_GB2312" w:hAnsi="宋体" w:eastAsia="仿宋_GB2312"/>
          <w:color w:val="auto"/>
          <w:spacing w:val="0"/>
          <w:szCs w:val="28"/>
        </w:rPr>
        <w:t>⑴土地实物状况</w:t>
      </w:r>
    </w:p>
    <w:p>
      <w:pPr>
        <w:pStyle w:val="16"/>
        <w:keepNext w:val="0"/>
        <w:keepLines w:val="0"/>
        <w:pageBreakBefore w:val="0"/>
        <w:tabs>
          <w:tab w:val="left" w:pos="180"/>
        </w:tabs>
        <w:kinsoku/>
        <w:wordWrap/>
        <w:overflowPunct/>
        <w:topLinePunct w:val="0"/>
        <w:autoSpaceDE/>
        <w:autoSpaceDN/>
        <w:bidi w:val="0"/>
        <w:spacing w:line="480" w:lineRule="exact"/>
        <w:ind w:firstLine="560" w:firstLineChars="200"/>
        <w:outlineLvl w:val="9"/>
        <w:rPr>
          <w:rFonts w:ascii="仿宋_GB2312" w:hAnsi="宋体" w:eastAsia="仿宋_GB2312"/>
          <w:color w:val="auto"/>
          <w:sz w:val="28"/>
          <w:szCs w:val="28"/>
        </w:rPr>
      </w:pPr>
      <w:r>
        <w:rPr>
          <w:rFonts w:hint="eastAsia" w:ascii="仿宋_GB2312" w:hAnsi="宋体" w:eastAsia="仿宋_GB2312"/>
          <w:color w:val="auto"/>
          <w:sz w:val="28"/>
          <w:szCs w:val="28"/>
          <w:lang w:eastAsia="zh-CN"/>
        </w:rPr>
        <w:t>委托方未提供估价对象国有土地使用权证</w:t>
      </w:r>
      <w:r>
        <w:rPr>
          <w:rFonts w:hint="eastAsia" w:ascii="仿宋_GB2312" w:hAnsi="宋体" w:eastAsia="仿宋_GB2312"/>
          <w:color w:val="auto"/>
          <w:sz w:val="28"/>
          <w:szCs w:val="28"/>
        </w:rPr>
        <w:t>。</w:t>
      </w:r>
    </w:p>
    <w:p>
      <w:pPr>
        <w:keepNext w:val="0"/>
        <w:keepLines w:val="0"/>
        <w:pageBreakBefore w:val="0"/>
        <w:kinsoku/>
        <w:wordWrap/>
        <w:overflowPunct/>
        <w:topLinePunct w:val="0"/>
        <w:autoSpaceDE/>
        <w:autoSpaceDN/>
        <w:bidi w:val="0"/>
        <w:snapToGrid w:val="0"/>
        <w:spacing w:line="480" w:lineRule="exact"/>
        <w:ind w:firstLine="560" w:firstLineChars="200"/>
        <w:outlineLvl w:val="9"/>
        <w:rPr>
          <w:rFonts w:ascii="仿宋_GB2312" w:eastAsia="仿宋_GB2312"/>
          <w:color w:val="auto"/>
        </w:rPr>
      </w:pPr>
      <w:r>
        <w:rPr>
          <w:rFonts w:hint="eastAsia" w:ascii="仿宋_GB2312" w:hAnsi="宋体" w:eastAsia="仿宋_GB2312"/>
          <w:color w:val="auto"/>
          <w:spacing w:val="0"/>
          <w:szCs w:val="28"/>
        </w:rPr>
        <w:t>开发程度：土地开发程度达到“七通一平”，即宗地外通路、通上水、通下水、通电、通讯、通燃气、通热和宗地内</w:t>
      </w:r>
      <w:r>
        <w:rPr>
          <w:rFonts w:hint="eastAsia" w:ascii="仿宋_GB2312" w:eastAsia="仿宋_GB2312"/>
          <w:color w:val="auto"/>
        </w:rPr>
        <w:t>平整；</w:t>
      </w:r>
    </w:p>
    <w:p>
      <w:pPr>
        <w:pStyle w:val="16"/>
        <w:keepNext w:val="0"/>
        <w:keepLines w:val="0"/>
        <w:pageBreakBefore w:val="0"/>
        <w:tabs>
          <w:tab w:val="left" w:pos="180"/>
        </w:tabs>
        <w:kinsoku/>
        <w:wordWrap/>
        <w:overflowPunct/>
        <w:topLinePunct w:val="0"/>
        <w:autoSpaceDE/>
        <w:autoSpaceDN/>
        <w:bidi w:val="0"/>
        <w:spacing w:line="480" w:lineRule="exact"/>
        <w:ind w:firstLine="560" w:firstLineChars="200"/>
        <w:outlineLvl w:val="9"/>
        <w:rPr>
          <w:rFonts w:ascii="仿宋_GB2312" w:eastAsia="仿宋_GB2312"/>
          <w:color w:val="auto"/>
          <w:sz w:val="28"/>
          <w:szCs w:val="28"/>
        </w:rPr>
      </w:pPr>
      <w:r>
        <w:rPr>
          <w:rFonts w:hint="eastAsia" w:ascii="仿宋_GB2312" w:eastAsia="仿宋_GB2312"/>
          <w:color w:val="auto"/>
          <w:sz w:val="28"/>
          <w:szCs w:val="28"/>
        </w:rPr>
        <w:t>⑵地上建筑物实物状况</w:t>
      </w:r>
    </w:p>
    <w:p>
      <w:pPr>
        <w:keepNext w:val="0"/>
        <w:keepLines w:val="0"/>
        <w:pageBreakBefore w:val="0"/>
        <w:tabs>
          <w:tab w:val="left" w:pos="2868"/>
          <w:tab w:val="left" w:pos="8856"/>
        </w:tabs>
        <w:kinsoku/>
        <w:wordWrap/>
        <w:overflowPunct/>
        <w:topLinePunct w:val="0"/>
        <w:autoSpaceDE/>
        <w:autoSpaceDN/>
        <w:bidi w:val="0"/>
        <w:spacing w:line="480" w:lineRule="exact"/>
        <w:ind w:firstLine="600" w:firstLineChars="200"/>
        <w:outlineLvl w:val="9"/>
        <w:rPr>
          <w:rFonts w:hint="eastAsia" w:ascii="仿宋_GB2312" w:eastAsia="仿宋_GB2312"/>
          <w:color w:val="auto"/>
          <w:lang w:val="en-US" w:eastAsia="zh-CN"/>
        </w:rPr>
      </w:pPr>
      <w:r>
        <w:rPr>
          <w:rFonts w:hint="eastAsia" w:ascii="仿宋_GB2312" w:eastAsia="仿宋_GB2312"/>
          <w:color w:val="auto"/>
          <w:lang w:eastAsia="zh-CN"/>
        </w:rPr>
        <w:t>估价对象所在建筑物</w:t>
      </w:r>
      <w:r>
        <w:rPr>
          <w:rFonts w:hint="eastAsia" w:ascii="仿宋_GB2312" w:eastAsia="仿宋_GB2312"/>
          <w:color w:val="auto"/>
        </w:rPr>
        <w:t>为</w:t>
      </w:r>
      <w:r>
        <w:rPr>
          <w:rFonts w:hint="eastAsia" w:ascii="仿宋_GB2312" w:eastAsia="仿宋_GB2312"/>
          <w:color w:val="auto"/>
          <w:lang w:eastAsia="zh-CN"/>
        </w:rPr>
        <w:t>总层数</w:t>
      </w:r>
      <w:r>
        <w:rPr>
          <w:rFonts w:hint="eastAsia" w:ascii="仿宋_GB2312" w:eastAsia="仿宋_GB2312"/>
          <w:color w:val="auto"/>
          <w:lang w:val="en-US" w:eastAsia="zh-CN"/>
        </w:rPr>
        <w:t>7</w:t>
      </w:r>
      <w:r>
        <w:rPr>
          <w:rFonts w:hint="eastAsia" w:ascii="仿宋_GB2312" w:eastAsia="仿宋_GB2312"/>
          <w:color w:val="auto"/>
        </w:rPr>
        <w:t>层的</w:t>
      </w:r>
      <w:r>
        <w:rPr>
          <w:rFonts w:hint="eastAsia" w:ascii="仿宋_GB2312" w:eastAsia="仿宋_GB2312"/>
          <w:color w:val="auto"/>
          <w:lang w:eastAsia="zh-CN"/>
        </w:rPr>
        <w:t>多</w:t>
      </w:r>
      <w:r>
        <w:rPr>
          <w:rFonts w:hint="eastAsia" w:ascii="仿宋_GB2312" w:eastAsia="仿宋_GB2312"/>
          <w:color w:val="auto"/>
        </w:rPr>
        <w:t>层住宅，</w:t>
      </w:r>
      <w:r>
        <w:rPr>
          <w:rFonts w:hint="eastAsia" w:ascii="仿宋_GB2312" w:eastAsia="仿宋_GB2312"/>
          <w:color w:val="auto"/>
          <w:lang w:eastAsia="zh-CN"/>
        </w:rPr>
        <w:t>内部带电梯，</w:t>
      </w:r>
      <w:r>
        <w:rPr>
          <w:rFonts w:hint="eastAsia" w:ascii="仿宋_GB2312" w:eastAsia="仿宋_GB2312"/>
          <w:color w:val="auto"/>
        </w:rPr>
        <w:t>其</w:t>
      </w:r>
      <w:r>
        <w:rPr>
          <w:rFonts w:hint="eastAsia" w:ascii="仿宋_GB2312" w:hAnsi="Courier New" w:eastAsia="仿宋_GB2312"/>
          <w:color w:val="auto"/>
          <w:szCs w:val="28"/>
        </w:rPr>
        <w:t>外墙为</w:t>
      </w:r>
      <w:r>
        <w:rPr>
          <w:rFonts w:hint="eastAsia" w:ascii="仿宋_GB2312" w:hAnsi="Courier New" w:eastAsia="仿宋_GB2312"/>
          <w:color w:val="auto"/>
          <w:szCs w:val="28"/>
          <w:lang w:eastAsia="zh-CN"/>
        </w:rPr>
        <w:t>防水涂料</w:t>
      </w:r>
      <w:r>
        <w:rPr>
          <w:rFonts w:hint="eastAsia" w:ascii="仿宋_GB2312" w:hAnsi="Courier New" w:eastAsia="仿宋_GB2312"/>
          <w:color w:val="auto"/>
          <w:szCs w:val="28"/>
        </w:rPr>
        <w:t>。</w:t>
      </w:r>
      <w:r>
        <w:rPr>
          <w:rFonts w:hint="eastAsia" w:ascii="仿宋_GB2312" w:hAnsi="宋体" w:eastAsia="仿宋_GB2312"/>
          <w:color w:val="auto"/>
          <w:spacing w:val="0"/>
          <w:szCs w:val="28"/>
        </w:rPr>
        <w:t>估价对象位于第</w:t>
      </w:r>
      <w:r>
        <w:rPr>
          <w:rFonts w:hint="eastAsia" w:ascii="仿宋_GB2312" w:hAnsi="宋体" w:eastAsia="仿宋_GB2312"/>
          <w:color w:val="auto"/>
          <w:spacing w:val="0"/>
          <w:szCs w:val="28"/>
          <w:lang w:val="en-US" w:eastAsia="zh-CN"/>
        </w:rPr>
        <w:t>5</w:t>
      </w:r>
      <w:r>
        <w:rPr>
          <w:rFonts w:hint="eastAsia" w:ascii="仿宋_GB2312" w:hAnsi="宋体" w:eastAsia="仿宋_GB2312"/>
          <w:color w:val="auto"/>
          <w:spacing w:val="0"/>
          <w:szCs w:val="28"/>
        </w:rPr>
        <w:t>层，</w:t>
      </w:r>
      <w:r>
        <w:rPr>
          <w:rFonts w:hint="eastAsia" w:ascii="仿宋_GB2312" w:hAnsi="宋体" w:eastAsia="仿宋_GB2312"/>
          <w:color w:val="auto"/>
          <w:spacing w:val="0"/>
          <w:szCs w:val="28"/>
          <w:lang w:eastAsia="zh-CN"/>
        </w:rPr>
        <w:t>防盗门，塑钢窗，水、电、暖、卫、通讯等设施齐全</w:t>
      </w:r>
      <w:r>
        <w:rPr>
          <w:rFonts w:hint="eastAsia" w:ascii="仿宋_GB2312" w:hAnsi="宋体" w:eastAsia="仿宋_GB2312"/>
          <w:color w:val="auto"/>
          <w:spacing w:val="0"/>
          <w:szCs w:val="28"/>
          <w:lang w:val="en-US" w:eastAsia="zh-CN"/>
        </w:rPr>
        <w:t>。由于当事产权人未予配合，估价师未能进入房屋内部进行现场查勘，所以室内装修状况不详。</w:t>
      </w:r>
    </w:p>
    <w:p>
      <w:pPr>
        <w:pStyle w:val="16"/>
        <w:keepNext w:val="0"/>
        <w:keepLines w:val="0"/>
        <w:pageBreakBefore w:val="0"/>
        <w:tabs>
          <w:tab w:val="left" w:pos="180"/>
        </w:tabs>
        <w:kinsoku/>
        <w:wordWrap/>
        <w:overflowPunct/>
        <w:topLinePunct w:val="0"/>
        <w:autoSpaceDE/>
        <w:autoSpaceDN/>
        <w:bidi w:val="0"/>
        <w:spacing w:line="480" w:lineRule="exact"/>
        <w:ind w:left="-3" w:leftChars="-1" w:firstLine="600" w:firstLineChars="200"/>
        <w:outlineLvl w:val="9"/>
        <w:rPr>
          <w:rFonts w:hint="eastAsia" w:ascii="仿宋_GB2312" w:hAnsi="宋体" w:eastAsia="仿宋_GB2312"/>
          <w:color w:val="auto"/>
          <w:spacing w:val="10"/>
          <w:sz w:val="28"/>
          <w:lang w:eastAsia="zh-CN"/>
        </w:rPr>
      </w:pPr>
      <w:r>
        <w:rPr>
          <w:rFonts w:hint="eastAsia" w:ascii="仿宋_GB2312" w:hAnsi="宋体" w:eastAsia="仿宋_GB2312"/>
          <w:color w:val="auto"/>
          <w:spacing w:val="10"/>
          <w:sz w:val="28"/>
        </w:rPr>
        <w:t>法定用途和实际用途</w:t>
      </w:r>
      <w:r>
        <w:rPr>
          <w:rFonts w:hint="eastAsia" w:ascii="仿宋_GB2312" w:hAnsi="宋体" w:eastAsia="仿宋_GB2312"/>
          <w:color w:val="auto"/>
          <w:spacing w:val="10"/>
          <w:sz w:val="28"/>
          <w:lang w:eastAsia="zh-CN"/>
        </w:rPr>
        <w:t>：</w:t>
      </w:r>
      <w:r>
        <w:rPr>
          <w:rFonts w:hint="eastAsia" w:ascii="仿宋_GB2312" w:hAnsi="宋体" w:eastAsia="仿宋_GB2312"/>
          <w:color w:val="auto"/>
          <w:spacing w:val="10"/>
          <w:sz w:val="28"/>
        </w:rPr>
        <w:t>法定用途</w:t>
      </w:r>
      <w:r>
        <w:rPr>
          <w:rFonts w:hint="eastAsia" w:ascii="仿宋_GB2312" w:hAnsi="宋体" w:eastAsia="仿宋_GB2312"/>
          <w:color w:val="auto"/>
          <w:spacing w:val="10"/>
          <w:sz w:val="28"/>
          <w:lang w:eastAsia="zh-CN"/>
        </w:rPr>
        <w:t>为成套住宅；</w:t>
      </w:r>
      <w:r>
        <w:rPr>
          <w:rFonts w:hint="eastAsia" w:ascii="仿宋_GB2312" w:hAnsi="宋体" w:eastAsia="仿宋_GB2312"/>
          <w:color w:val="auto"/>
          <w:spacing w:val="10"/>
          <w:sz w:val="28"/>
        </w:rPr>
        <w:t>实际用途为</w:t>
      </w:r>
      <w:r>
        <w:rPr>
          <w:rFonts w:hint="eastAsia" w:ascii="仿宋_GB2312" w:hAnsi="宋体" w:eastAsia="仿宋_GB2312"/>
          <w:color w:val="auto"/>
          <w:spacing w:val="10"/>
          <w:sz w:val="28"/>
          <w:lang w:eastAsia="zh-CN"/>
        </w:rPr>
        <w:t>住宅</w:t>
      </w:r>
    </w:p>
    <w:p>
      <w:pPr>
        <w:keepNext w:val="0"/>
        <w:keepLines w:val="0"/>
        <w:pageBreakBefore w:val="0"/>
        <w:tabs>
          <w:tab w:val="left" w:pos="2868"/>
          <w:tab w:val="left" w:pos="8856"/>
        </w:tabs>
        <w:kinsoku/>
        <w:wordWrap/>
        <w:overflowPunct/>
        <w:topLinePunct w:val="0"/>
        <w:autoSpaceDE/>
        <w:autoSpaceDN/>
        <w:bidi w:val="0"/>
        <w:spacing w:line="480" w:lineRule="exact"/>
        <w:ind w:firstLine="600" w:firstLineChars="200"/>
        <w:outlineLvl w:val="9"/>
        <w:rPr>
          <w:rFonts w:ascii="仿宋_GB2312" w:eastAsia="仿宋_GB2312"/>
          <w:color w:val="auto"/>
          <w:lang w:val="en-GB"/>
        </w:rPr>
      </w:pPr>
      <w:r>
        <w:rPr>
          <w:rFonts w:hint="eastAsia" w:ascii="仿宋_GB2312" w:hAnsi="宋体" w:eastAsia="仿宋_GB2312"/>
          <w:color w:val="auto"/>
        </w:rPr>
        <w:t>使用及维护状况：于价值时</w:t>
      </w:r>
      <w:r>
        <w:rPr>
          <w:rFonts w:hint="eastAsia" w:ascii="仿宋_GB2312" w:hAnsi="宋体" w:eastAsia="仿宋_GB2312"/>
          <w:color w:val="auto"/>
          <w:szCs w:val="28"/>
        </w:rPr>
        <w:t>点，估价对象正常使用中，维护保养状况</w:t>
      </w:r>
      <w:r>
        <w:rPr>
          <w:rFonts w:hint="eastAsia" w:ascii="仿宋_GB2312" w:hAnsi="宋体" w:eastAsia="仿宋_GB2312"/>
          <w:color w:val="auto"/>
          <w:szCs w:val="28"/>
          <w:lang w:eastAsia="zh-CN"/>
        </w:rPr>
        <w:t>较好</w:t>
      </w:r>
      <w:r>
        <w:rPr>
          <w:rFonts w:hint="eastAsia" w:ascii="仿宋_GB2312" w:hAnsi="宋体" w:eastAsia="仿宋_GB2312"/>
          <w:color w:val="auto"/>
          <w:szCs w:val="28"/>
        </w:rPr>
        <w:t>。</w:t>
      </w:r>
    </w:p>
    <w:p>
      <w:pPr>
        <w:keepNext w:val="0"/>
        <w:keepLines w:val="0"/>
        <w:pageBreakBefore w:val="0"/>
        <w:tabs>
          <w:tab w:val="left" w:pos="2868"/>
          <w:tab w:val="left" w:pos="8856"/>
        </w:tabs>
        <w:kinsoku/>
        <w:wordWrap/>
        <w:overflowPunct/>
        <w:topLinePunct w:val="0"/>
        <w:autoSpaceDE/>
        <w:autoSpaceDN/>
        <w:bidi w:val="0"/>
        <w:spacing w:line="48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rPr>
        <w:t>3、权益状况</w:t>
      </w:r>
    </w:p>
    <w:p>
      <w:pPr>
        <w:keepNext w:val="0"/>
        <w:keepLines w:val="0"/>
        <w:pageBreakBefore w:val="0"/>
        <w:kinsoku/>
        <w:wordWrap/>
        <w:overflowPunct/>
        <w:topLinePunct w:val="0"/>
        <w:autoSpaceDE/>
        <w:autoSpaceDN/>
        <w:bidi w:val="0"/>
        <w:snapToGrid w:val="0"/>
        <w:spacing w:line="480" w:lineRule="exact"/>
        <w:ind w:firstLine="560" w:firstLineChars="200"/>
        <w:rPr>
          <w:rFonts w:hint="eastAsia" w:ascii="仿宋_GB2312" w:eastAsia="仿宋_GB2312"/>
          <w:color w:val="auto"/>
        </w:rPr>
      </w:pPr>
      <w:bookmarkStart w:id="11" w:name="OLE_LINK1"/>
      <w:r>
        <w:rPr>
          <w:rFonts w:hint="eastAsia" w:ascii="仿宋_GB2312" w:hAnsi="宋体" w:eastAsia="仿宋_GB2312"/>
          <w:color w:val="auto"/>
          <w:spacing w:val="0"/>
          <w:szCs w:val="28"/>
        </w:rPr>
        <w:t>根据估价委托人提供的各项资料，</w:t>
      </w:r>
      <w:r>
        <w:rPr>
          <w:rFonts w:hint="eastAsia" w:ascii="仿宋_GB2312" w:eastAsia="仿宋_GB2312"/>
          <w:color w:val="auto"/>
        </w:rPr>
        <w:t>估价对象产权人为</w:t>
      </w:r>
      <w:r>
        <w:rPr>
          <w:rFonts w:hint="eastAsia" w:ascii="仿宋_GB2312" w:eastAsia="仿宋_GB2312"/>
          <w:color w:val="auto"/>
          <w:lang w:eastAsia="zh-CN"/>
        </w:rPr>
        <w:t>巩向习</w:t>
      </w:r>
      <w:r>
        <w:rPr>
          <w:rFonts w:hint="eastAsia" w:ascii="仿宋_GB2312" w:eastAsia="仿宋_GB2312"/>
          <w:color w:val="auto"/>
        </w:rPr>
        <w:t>。</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632"/>
        <w:gridCol w:w="858"/>
        <w:gridCol w:w="2505"/>
        <w:gridCol w:w="2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08-1935638</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155.08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巩向习</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370321197609180616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5/7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2013</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bl>
    <w:p>
      <w:pPr>
        <w:keepNext w:val="0"/>
        <w:keepLines w:val="0"/>
        <w:pageBreakBefore w:val="0"/>
        <w:kinsoku/>
        <w:wordWrap/>
        <w:overflowPunct/>
        <w:topLinePunct w:val="0"/>
        <w:autoSpaceDE/>
        <w:autoSpaceDN/>
        <w:bidi w:val="0"/>
        <w:snapToGrid/>
        <w:spacing w:line="480" w:lineRule="exact"/>
        <w:ind w:firstLine="588" w:firstLineChars="196"/>
        <w:rPr>
          <w:rFonts w:ascii="仿宋_GB2312" w:hAnsi="宋体" w:eastAsia="仿宋_GB2312"/>
          <w:color w:val="auto"/>
          <w:szCs w:val="28"/>
        </w:rPr>
      </w:pPr>
      <w:r>
        <w:rPr>
          <w:rFonts w:hint="eastAsia" w:ascii="仿宋_GB2312" w:eastAsia="仿宋_GB2312"/>
          <w:color w:val="auto"/>
          <w:szCs w:val="28"/>
        </w:rPr>
        <w:t>（1）抵押权：于价值时点，估价对象有设定的抵押债权，</w:t>
      </w:r>
      <w:r>
        <w:rPr>
          <w:rFonts w:hint="eastAsia" w:ascii="仿宋_GB2312" w:hAnsi="宋体" w:eastAsia="仿宋_GB2312"/>
          <w:color w:val="auto"/>
          <w:szCs w:val="28"/>
        </w:rPr>
        <w:t>抵押权人为中国建设银行股份有限公司桓台支行，</w:t>
      </w:r>
      <w:r>
        <w:rPr>
          <w:rFonts w:hint="eastAsia" w:ascii="仿宋_GB2312" w:hAnsi="宋体" w:eastAsia="仿宋_GB2312"/>
          <w:color w:val="auto"/>
          <w:szCs w:val="28"/>
          <w:lang w:eastAsia="zh-CN"/>
        </w:rPr>
        <w:t>被担保债权数额</w:t>
      </w:r>
      <w:r>
        <w:rPr>
          <w:rFonts w:hint="eastAsia" w:ascii="仿宋_GB2312" w:hAnsi="宋体" w:eastAsia="仿宋_GB2312"/>
          <w:color w:val="auto"/>
          <w:szCs w:val="28"/>
        </w:rPr>
        <w:t>为人民币</w:t>
      </w:r>
      <w:r>
        <w:rPr>
          <w:rFonts w:hint="eastAsia" w:ascii="仿宋_GB2312" w:hAnsi="宋体" w:eastAsia="仿宋_GB2312"/>
          <w:color w:val="auto"/>
          <w:szCs w:val="28"/>
          <w:lang w:val="en-US" w:eastAsia="zh-CN"/>
        </w:rPr>
        <w:t>370000</w:t>
      </w:r>
      <w:r>
        <w:rPr>
          <w:rFonts w:hint="eastAsia" w:ascii="仿宋_GB2312" w:hAnsi="宋体" w:eastAsia="仿宋_GB2312"/>
          <w:color w:val="auto"/>
          <w:szCs w:val="28"/>
        </w:rPr>
        <w:t>元，</w:t>
      </w:r>
      <w:r>
        <w:rPr>
          <w:rFonts w:hint="eastAsia" w:ascii="仿宋_GB2312" w:hAnsi="宋体" w:eastAsia="仿宋_GB2312"/>
          <w:color w:val="auto"/>
          <w:szCs w:val="28"/>
          <w:lang w:eastAsia="zh-CN"/>
        </w:rPr>
        <w:t>他项权利号：</w:t>
      </w:r>
      <w:r>
        <w:rPr>
          <w:rFonts w:hint="eastAsia" w:ascii="仿宋_GB2312" w:hAnsi="宋体" w:eastAsia="仿宋_GB2312"/>
          <w:color w:val="auto"/>
          <w:szCs w:val="28"/>
          <w:lang w:val="en-US" w:eastAsia="zh-CN"/>
        </w:rPr>
        <w:t>T08-1024138号，</w:t>
      </w:r>
      <w:r>
        <w:rPr>
          <w:rFonts w:hint="eastAsia" w:ascii="仿宋_GB2312" w:hAnsi="宋体" w:eastAsia="仿宋_GB2312"/>
          <w:color w:val="auto"/>
          <w:szCs w:val="28"/>
        </w:rPr>
        <w:t>抵押期限</w:t>
      </w:r>
      <w:r>
        <w:rPr>
          <w:rFonts w:hint="eastAsia" w:ascii="仿宋_GB2312" w:hAnsi="宋体" w:eastAsia="仿宋_GB2312"/>
          <w:color w:val="auto"/>
          <w:szCs w:val="28"/>
          <w:lang w:eastAsia="zh-CN"/>
        </w:rPr>
        <w:t>开始日期</w:t>
      </w:r>
      <w:r>
        <w:rPr>
          <w:rFonts w:hint="eastAsia" w:ascii="仿宋_GB2312" w:hAnsi="宋体" w:eastAsia="仿宋_GB2312"/>
          <w:color w:val="auto"/>
          <w:szCs w:val="28"/>
        </w:rPr>
        <w:t>2015-03-03，结束日期：2041-03-03。</w:t>
      </w:r>
    </w:p>
    <w:bookmarkEnd w:id="11"/>
    <w:p>
      <w:pPr>
        <w:pStyle w:val="3"/>
        <w:keepLines w:val="0"/>
        <w:pageBreakBefore w:val="0"/>
        <w:kinsoku/>
        <w:wordWrap/>
        <w:overflowPunct/>
        <w:topLinePunct w:val="0"/>
        <w:autoSpaceDE/>
        <w:autoSpaceDN/>
        <w:bidi w:val="0"/>
        <w:snapToGrid/>
        <w:spacing w:line="480" w:lineRule="exact"/>
        <w:rPr>
          <w:color w:val="auto"/>
        </w:rPr>
      </w:pPr>
      <w:bookmarkStart w:id="12" w:name="_Toc13416"/>
      <w:r>
        <w:rPr>
          <w:rFonts w:hint="eastAsia"/>
          <w:color w:val="auto"/>
        </w:rPr>
        <w:t>五、价值时点</w:t>
      </w:r>
      <w:bookmarkEnd w:id="12"/>
    </w:p>
    <w:p>
      <w:pPr>
        <w:keepNext w:val="0"/>
        <w:keepLines w:val="0"/>
        <w:pageBreakBefore w:val="0"/>
        <w:tabs>
          <w:tab w:val="left" w:pos="7797"/>
        </w:tabs>
        <w:kinsoku/>
        <w:wordWrap/>
        <w:overflowPunct/>
        <w:topLinePunct w:val="0"/>
        <w:autoSpaceDE/>
        <w:autoSpaceDN/>
        <w:bidi w:val="0"/>
        <w:snapToGrid/>
        <w:spacing w:line="480" w:lineRule="exact"/>
        <w:ind w:firstLine="560" w:firstLineChars="200"/>
        <w:rPr>
          <w:rFonts w:ascii="仿宋_GB2312" w:hAnsi="宋体" w:eastAsia="仿宋_GB2312"/>
          <w:color w:val="auto"/>
          <w:szCs w:val="28"/>
        </w:rPr>
      </w:pPr>
      <w:r>
        <w:rPr>
          <w:rFonts w:hint="eastAsia" w:ascii="仿宋_GB2312" w:hAnsi="宋体" w:eastAsia="仿宋_GB2312"/>
          <w:color w:val="auto"/>
          <w:spacing w:val="0"/>
          <w:szCs w:val="28"/>
        </w:rPr>
        <w:t>经委托方同意，以估价师现场勘查日</w:t>
      </w:r>
      <w:r>
        <w:rPr>
          <w:rFonts w:hint="eastAsia" w:ascii="仿宋_GB2312" w:hAnsi="宋体" w:eastAsia="仿宋_GB2312"/>
          <w:color w:val="auto"/>
          <w:spacing w:val="0"/>
          <w:szCs w:val="28"/>
          <w:lang w:eastAsia="zh-CN"/>
        </w:rPr>
        <w:t>2019年1月15日</w:t>
      </w:r>
      <w:r>
        <w:rPr>
          <w:rFonts w:hint="eastAsia" w:ascii="仿宋_GB2312" w:hAnsi="宋体" w:eastAsia="仿宋_GB2312"/>
          <w:color w:val="auto"/>
          <w:spacing w:val="0"/>
          <w:szCs w:val="28"/>
        </w:rPr>
        <w:t>为价值时点。</w:t>
      </w:r>
    </w:p>
    <w:p>
      <w:pPr>
        <w:pStyle w:val="3"/>
        <w:keepLines w:val="0"/>
        <w:pageBreakBefore w:val="0"/>
        <w:kinsoku/>
        <w:wordWrap/>
        <w:overflowPunct/>
        <w:topLinePunct w:val="0"/>
        <w:autoSpaceDE/>
        <w:autoSpaceDN/>
        <w:bidi w:val="0"/>
        <w:snapToGrid/>
        <w:spacing w:line="480" w:lineRule="exact"/>
        <w:rPr>
          <w:color w:val="auto"/>
        </w:rPr>
      </w:pPr>
      <w:bookmarkStart w:id="13" w:name="_Toc16365"/>
      <w:r>
        <w:rPr>
          <w:rFonts w:hint="eastAsia"/>
          <w:color w:val="auto"/>
        </w:rPr>
        <w:t>六、价值类型</w:t>
      </w:r>
      <w:bookmarkEnd w:id="13"/>
    </w:p>
    <w:p>
      <w:pPr>
        <w:pStyle w:val="11"/>
        <w:keepNext w:val="0"/>
        <w:keepLines w:val="0"/>
        <w:pageBreakBefore w:val="0"/>
        <w:kinsoku/>
        <w:wordWrap/>
        <w:overflowPunct/>
        <w:topLinePunct w:val="0"/>
        <w:autoSpaceDE/>
        <w:autoSpaceDN/>
        <w:bidi w:val="0"/>
        <w:snapToGrid/>
        <w:spacing w:after="0"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本次估价采用公开市场价值标准，市场价值是估价对象在</w:t>
      </w:r>
      <w:r>
        <w:rPr>
          <w:rFonts w:hint="eastAsia" w:ascii="仿宋_GB2312" w:eastAsia="仿宋_GB2312"/>
          <w:color w:val="auto"/>
          <w:sz w:val="28"/>
          <w:szCs w:val="28"/>
          <w:lang w:eastAsia="zh-CN"/>
        </w:rPr>
        <w:t>2019年1月15日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wordWrap/>
        <w:overflowPunct/>
        <w:topLinePunct w:val="0"/>
        <w:autoSpaceDE/>
        <w:autoSpaceDN/>
        <w:bidi w:val="0"/>
        <w:snapToGrid/>
        <w:spacing w:after="0" w:line="48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桓台县中心大街2877号天煜紫悦城43号楼三单元五层东户住宅</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附属设施及应分摊的土地使用权；</w:t>
      </w:r>
    </w:p>
    <w:p>
      <w:pPr>
        <w:pStyle w:val="11"/>
        <w:keepNext w:val="0"/>
        <w:keepLines w:val="0"/>
        <w:pageBreakBefore w:val="0"/>
        <w:kinsoku/>
        <w:wordWrap/>
        <w:overflowPunct/>
        <w:topLinePunct w:val="0"/>
        <w:autoSpaceDE/>
        <w:autoSpaceDN/>
        <w:bidi w:val="0"/>
        <w:snapToGrid/>
        <w:spacing w:after="0" w:line="48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估价对象已于20</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日办理了房屋按揭贷款，本次评估没有考虑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3"/>
        <w:keepLines w:val="0"/>
        <w:pageBreakBefore w:val="0"/>
        <w:kinsoku/>
        <w:wordWrap/>
        <w:overflowPunct/>
        <w:topLinePunct w:val="0"/>
        <w:autoSpaceDE/>
        <w:autoSpaceDN/>
        <w:bidi w:val="0"/>
        <w:snapToGrid/>
        <w:spacing w:line="480" w:lineRule="exact"/>
        <w:rPr>
          <w:color w:val="auto"/>
        </w:rPr>
      </w:pPr>
      <w:bookmarkStart w:id="14" w:name="_Toc9684"/>
      <w:r>
        <w:rPr>
          <w:rFonts w:hint="eastAsia"/>
          <w:color w:val="auto"/>
        </w:rPr>
        <w:t>七、估价原则</w:t>
      </w:r>
      <w:bookmarkEnd w:id="14"/>
    </w:p>
    <w:p>
      <w:pPr>
        <w:pStyle w:val="18"/>
        <w:keepNext w:val="0"/>
        <w:keepLines w:val="0"/>
        <w:pageBreakBefore w:val="0"/>
        <w:kinsoku/>
        <w:wordWrap/>
        <w:overflowPunct/>
        <w:topLinePunct w:val="0"/>
        <w:autoSpaceDE/>
        <w:autoSpaceDN/>
        <w:bidi w:val="0"/>
        <w:snapToGrid/>
        <w:spacing w:line="480" w:lineRule="exact"/>
        <w:ind w:firstLine="601"/>
        <w:rPr>
          <w:rFonts w:ascii="仿宋_GB2312" w:hAnsi="宋体" w:eastAsia="仿宋_GB2312"/>
          <w:color w:val="auto"/>
          <w:spacing w:val="0"/>
          <w:szCs w:val="28"/>
        </w:rPr>
      </w:pPr>
      <w:r>
        <w:rPr>
          <w:rFonts w:hint="eastAsia" w:ascii="仿宋_GB2312" w:hAnsi="宋体" w:eastAsia="仿宋_GB2312"/>
          <w:color w:val="auto"/>
          <w:spacing w:val="0"/>
          <w:szCs w:val="28"/>
        </w:rPr>
        <w:t>在遵循独立、客观、公正原则的前提下，具体依据如下原则：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1.合法原则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评估价值应为在依法判定的估价对象状态下的价值或价格。</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估价对象已</w:t>
      </w:r>
      <w:r>
        <w:rPr>
          <w:rFonts w:hint="eastAsia" w:ascii="仿宋_GB2312" w:hAnsi="宋体" w:eastAsia="仿宋_GB2312"/>
          <w:color w:val="auto"/>
          <w:spacing w:val="0"/>
          <w:szCs w:val="28"/>
          <w:lang w:eastAsia="zh-CN"/>
        </w:rPr>
        <w:t>办理相关产权证</w:t>
      </w:r>
      <w:r>
        <w:rPr>
          <w:rFonts w:hint="eastAsia" w:ascii="仿宋_GB2312" w:hAnsi="宋体" w:eastAsia="仿宋_GB2312"/>
          <w:color w:val="auto"/>
          <w:spacing w:val="0"/>
          <w:szCs w:val="28"/>
        </w:rPr>
        <w:t>，估价对象现状用途为</w:t>
      </w:r>
      <w:r>
        <w:rPr>
          <w:rFonts w:hint="eastAsia" w:ascii="仿宋_GB2312" w:hAnsi="宋体" w:eastAsia="仿宋_GB2312"/>
          <w:color w:val="auto"/>
          <w:spacing w:val="0"/>
          <w:szCs w:val="28"/>
          <w:lang w:eastAsia="zh-CN"/>
        </w:rPr>
        <w:t>住宅</w:t>
      </w:r>
      <w:r>
        <w:rPr>
          <w:rFonts w:hint="eastAsia" w:ascii="仿宋_GB2312" w:hAnsi="宋体" w:eastAsia="仿宋_GB2312"/>
          <w:color w:val="auto"/>
          <w:spacing w:val="0"/>
          <w:szCs w:val="28"/>
        </w:rPr>
        <w:t>，符合合法原则。估价对象于</w:t>
      </w:r>
      <w:r>
        <w:rPr>
          <w:rFonts w:hint="eastAsia" w:ascii="仿宋_GB2312" w:hAnsi="宋体" w:eastAsia="仿宋_GB2312"/>
          <w:color w:val="auto"/>
          <w:spacing w:val="0"/>
          <w:szCs w:val="28"/>
          <w:lang w:eastAsia="zh-CN"/>
        </w:rPr>
        <w:t>价值</w:t>
      </w:r>
      <w:bookmarkStart w:id="26" w:name="_GoBack"/>
      <w:bookmarkEnd w:id="26"/>
      <w:r>
        <w:rPr>
          <w:rFonts w:hint="eastAsia" w:ascii="仿宋_GB2312" w:hAnsi="宋体" w:eastAsia="仿宋_GB2312"/>
          <w:color w:val="auto"/>
          <w:spacing w:val="0"/>
          <w:szCs w:val="28"/>
        </w:rPr>
        <w:t>时点交易或处分方式是合法的。</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2.最高最佳利用原则</w:t>
      </w:r>
    </w:p>
    <w:p>
      <w:pPr>
        <w:keepNext w:val="0"/>
        <w:keepLines w:val="0"/>
        <w:pageBreakBefore w:val="0"/>
        <w:shd w:val="clear" w:color="auto" w:fill="FFFFFF"/>
        <w:kinsoku/>
        <w:wordWrap/>
        <w:overflowPunct/>
        <w:topLinePunct w:val="0"/>
        <w:autoSpaceDE/>
        <w:autoSpaceDN/>
        <w:bidi w:val="0"/>
        <w:snapToGrid/>
        <w:spacing w:line="48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所谓最高最佳利用，是房地产在法律上允许、技术上可能、财务上可行并使价值最大的合理可能的利用，包括最佳的用途、规模、档次等。</w:t>
      </w:r>
    </w:p>
    <w:p>
      <w:pPr>
        <w:keepNext w:val="0"/>
        <w:keepLines w:val="0"/>
        <w:pageBreakBefore w:val="0"/>
        <w:shd w:val="clear" w:color="auto" w:fill="FFFFFF"/>
        <w:kinsoku/>
        <w:wordWrap/>
        <w:overflowPunct/>
        <w:topLinePunct w:val="0"/>
        <w:autoSpaceDE/>
        <w:autoSpaceDN/>
        <w:bidi w:val="0"/>
        <w:snapToGrid/>
        <w:spacing w:line="48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遵循</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原则，应以</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的最高最佳使用为前提估价。当</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已做了某种使用，估价时应根据</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原则对估价前提作出下列之一的判断和选择，并应在</w:t>
      </w:r>
      <w:r>
        <w:rPr>
          <w:color w:val="auto"/>
        </w:rPr>
        <w:fldChar w:fldCharType="begin"/>
      </w:r>
      <w:r>
        <w:rPr>
          <w:color w:val="auto"/>
        </w:rPr>
        <w:instrText xml:space="preserve"> HYPERLINK "http://baike.baidu.com/view/404699.htm" \t "_blank" </w:instrText>
      </w:r>
      <w:r>
        <w:rPr>
          <w:color w:val="auto"/>
        </w:rPr>
        <w:fldChar w:fldCharType="separate"/>
      </w:r>
      <w:r>
        <w:rPr>
          <w:rFonts w:hint="eastAsia" w:ascii="仿宋_GB2312" w:hAnsi="宋体" w:eastAsia="仿宋_GB2312"/>
          <w:color w:val="auto"/>
          <w:spacing w:val="0"/>
          <w:szCs w:val="28"/>
        </w:rPr>
        <w:t>估价报告</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中予以说明： l维持现状前提； 2更新改造前提；3转换用途前提；4改变规模前提；5重新开发前提；6上述前提的某种组合或其他特殊利用前提。</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根据</w:t>
      </w:r>
      <w:r>
        <w:rPr>
          <w:rFonts w:hint="eastAsia" w:ascii="仿宋_GB2312" w:hAnsi="宋体" w:eastAsia="仿宋_GB2312"/>
          <w:color w:val="auto"/>
          <w:spacing w:val="0"/>
          <w:szCs w:val="28"/>
          <w:lang w:eastAsia="zh-CN"/>
        </w:rPr>
        <w:t>张店区</w:t>
      </w:r>
      <w:r>
        <w:rPr>
          <w:rFonts w:hint="eastAsia" w:ascii="仿宋_GB2312" w:hAnsi="宋体" w:eastAsia="仿宋_GB2312"/>
          <w:color w:val="auto"/>
          <w:spacing w:val="0"/>
          <w:szCs w:val="28"/>
        </w:rPr>
        <w:t>总体规划及估价对象的实际情况和区位条件，估价对象用途维持现状使用为其最高最佳利用途径，本次评估以此体现最高最佳利用原则。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3.价值时点原则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要求估价结果应为在根据估价目的确定的某一特定时间的价值或价格的原则。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4.替代原则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要求估价结果与估价对象的类似房地产在同等条件下的价值或价格偏差在合理范围内的原则。</w:t>
      </w:r>
    </w:p>
    <w:p>
      <w:pPr>
        <w:pStyle w:val="3"/>
        <w:keepLines w:val="0"/>
        <w:pageBreakBefore w:val="0"/>
        <w:kinsoku/>
        <w:wordWrap/>
        <w:overflowPunct/>
        <w:topLinePunct w:val="0"/>
        <w:autoSpaceDE/>
        <w:autoSpaceDN/>
        <w:bidi w:val="0"/>
        <w:snapToGrid/>
        <w:spacing w:line="480" w:lineRule="exact"/>
        <w:rPr>
          <w:color w:val="auto"/>
        </w:rPr>
      </w:pPr>
      <w:bookmarkStart w:id="15" w:name="_Toc19690"/>
      <w:r>
        <w:rPr>
          <w:rFonts w:hint="eastAsia"/>
          <w:color w:val="auto"/>
        </w:rPr>
        <w:t>八、估价依据</w:t>
      </w:r>
      <w:bookmarkEnd w:id="15"/>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1、本次估价所依据的有关法律、法规和政策文件</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（1）《中华人民共和国土地管理法》；</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（2）《中华人民共和国城市房地产管理法》；</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（3）《中华人民共和国担保法》；</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（4）《中华人民共和国城市规划法》；</w:t>
      </w:r>
    </w:p>
    <w:p>
      <w:pPr>
        <w:keepNext w:val="0"/>
        <w:keepLines w:val="0"/>
        <w:pageBreakBefore w:val="0"/>
        <w:kinsoku/>
        <w:wordWrap/>
        <w:overflowPunct/>
        <w:topLinePunct w:val="0"/>
        <w:autoSpaceDE/>
        <w:autoSpaceDN/>
        <w:bidi w:val="0"/>
        <w:snapToGrid/>
        <w:spacing w:line="480" w:lineRule="exact"/>
        <w:ind w:firstLine="600" w:firstLineChars="200"/>
        <w:rPr>
          <w:rFonts w:hint="eastAsia" w:ascii="仿宋_GB2312" w:hAnsi="微软雅黑" w:eastAsia="仿宋_GB2312"/>
          <w:color w:val="auto"/>
          <w:szCs w:val="28"/>
        </w:rPr>
      </w:pPr>
      <w:r>
        <w:rPr>
          <w:rFonts w:hint="eastAsia" w:ascii="仿宋_GB2312" w:hAnsi="微软雅黑" w:eastAsia="仿宋_GB2312"/>
          <w:color w:val="auto"/>
          <w:szCs w:val="28"/>
        </w:rPr>
        <w:t>（5）《中华人民共和国</w:t>
      </w:r>
      <w:r>
        <w:rPr>
          <w:color w:val="auto"/>
        </w:rPr>
        <w:fldChar w:fldCharType="begin"/>
      </w:r>
      <w:r>
        <w:rPr>
          <w:color w:val="auto"/>
        </w:rPr>
        <w:instrText xml:space="preserve"> HYPERLINK "http://china.findlaw.cn/jingjifa/paimaifa/" \t "_blank" </w:instrText>
      </w:r>
      <w:r>
        <w:rPr>
          <w:color w:val="auto"/>
        </w:rPr>
        <w:fldChar w:fldCharType="separate"/>
      </w:r>
      <w:r>
        <w:rPr>
          <w:rStyle w:val="34"/>
          <w:rFonts w:hint="eastAsia" w:ascii="仿宋_GB2312" w:hAnsi="微软雅黑" w:eastAsia="仿宋_GB2312"/>
          <w:color w:val="auto"/>
          <w:szCs w:val="28"/>
        </w:rPr>
        <w:t>拍卖法</w:t>
      </w:r>
      <w:r>
        <w:rPr>
          <w:rStyle w:val="34"/>
          <w:rFonts w:hint="eastAsia" w:ascii="仿宋_GB2312" w:hAnsi="微软雅黑" w:eastAsia="仿宋_GB2312"/>
          <w:color w:val="auto"/>
          <w:szCs w:val="28"/>
        </w:rPr>
        <w:fldChar w:fldCharType="end"/>
      </w:r>
      <w:r>
        <w:rPr>
          <w:rFonts w:hint="eastAsia" w:ascii="仿宋_GB2312" w:hAnsi="微软雅黑" w:eastAsia="仿宋_GB2312"/>
          <w:color w:val="auto"/>
          <w:szCs w:val="28"/>
        </w:rPr>
        <w:t>》；</w:t>
      </w:r>
    </w:p>
    <w:p>
      <w:pPr>
        <w:keepNext w:val="0"/>
        <w:keepLines w:val="0"/>
        <w:pageBreakBefore w:val="0"/>
        <w:kinsoku/>
        <w:wordWrap/>
        <w:overflowPunct/>
        <w:topLinePunct w:val="0"/>
        <w:autoSpaceDE/>
        <w:autoSpaceDN/>
        <w:bidi w:val="0"/>
        <w:snapToGrid/>
        <w:spacing w:line="480" w:lineRule="exact"/>
        <w:ind w:firstLine="600" w:firstLineChars="200"/>
        <w:rPr>
          <w:rFonts w:ascii="仿宋_GB2312" w:hAnsi="宋体" w:eastAsia="仿宋_GB2312"/>
          <w:color w:val="auto"/>
          <w:spacing w:val="0"/>
          <w:szCs w:val="28"/>
        </w:rPr>
      </w:pPr>
      <w:r>
        <w:rPr>
          <w:rFonts w:hint="eastAsia" w:ascii="仿宋_GB2312" w:hAnsi="微软雅黑" w:eastAsia="仿宋_GB2312"/>
          <w:color w:val="auto"/>
          <w:szCs w:val="28"/>
        </w:rPr>
        <w:t>（6）、《中华人民共和国物权法》；</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（5）《中华人民共和国土地管理法实施条例》；</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（6）国务院55号令《中华人民共和国城镇国有土地使用权出让和转让暂行条例》；</w:t>
      </w:r>
    </w:p>
    <w:p>
      <w:pPr>
        <w:keepNext w:val="0"/>
        <w:keepLines w:val="0"/>
        <w:pageBreakBefore w:val="0"/>
        <w:kinsoku/>
        <w:wordWrap/>
        <w:overflowPunct/>
        <w:topLinePunct w:val="0"/>
        <w:autoSpaceDE/>
        <w:autoSpaceDN/>
        <w:bidi w:val="0"/>
        <w:snapToGrid/>
        <w:spacing w:line="480" w:lineRule="exact"/>
        <w:ind w:firstLine="600" w:firstLineChars="200"/>
        <w:rPr>
          <w:rFonts w:ascii="仿宋_GB2312" w:hAnsi="宋体" w:eastAsia="仿宋_GB2312" w:cs="宋体"/>
          <w:color w:val="auto"/>
          <w:kern w:val="0"/>
          <w:szCs w:val="28"/>
        </w:rPr>
      </w:pPr>
      <w:r>
        <w:rPr>
          <w:rFonts w:hint="eastAsia" w:ascii="宋体" w:hAnsi="宋体" w:cs="宋体"/>
          <w:color w:val="auto"/>
          <w:kern w:val="0"/>
          <w:szCs w:val="28"/>
        </w:rPr>
        <w:t>（</w:t>
      </w:r>
      <w:r>
        <w:rPr>
          <w:rFonts w:hint="eastAsia" w:ascii="仿宋_GB2312" w:hAnsi="宋体" w:eastAsia="仿宋_GB2312" w:cs="宋体"/>
          <w:color w:val="auto"/>
          <w:kern w:val="0"/>
          <w:szCs w:val="28"/>
        </w:rPr>
        <w:t>7）《</w:t>
      </w:r>
      <w:r>
        <w:rPr>
          <w:color w:val="auto"/>
        </w:rPr>
        <w:fldChar w:fldCharType="begin"/>
      </w:r>
      <w:r>
        <w:rPr>
          <w:color w:val="auto"/>
        </w:rPr>
        <w:instrText xml:space="preserve"> HYPERLINK "http://www.baike.com/sowiki/%E5%85%A8%E5%9B%BD%E4%BA%BA%E6%B0%91%E4%BB%A3%E8%A1%A8%E5%A4%A7%E4%BC%9A%E5%B8%B8%E5%8A%A1%E5%A7%94%E5%91%98%E4%BC%9A%E5%85%B3%E4%BA%8E%E5%8F%B8%E6%B3%95%E9%89%B4%E5%AE%9A%E7%AE%A1%E7%90%86%E9%97%AE%E9%A2%98%E7%9A%84%E5%86%B3%E5%AE%9A?prd=content_doc_search" \o "全国人民代表大会常务委员会关于司法鉴定管理问题的决定" </w:instrText>
      </w:r>
      <w:r>
        <w:rPr>
          <w:color w:val="auto"/>
        </w:rPr>
        <w:fldChar w:fldCharType="separate"/>
      </w:r>
      <w:r>
        <w:rPr>
          <w:rFonts w:hint="eastAsia" w:ascii="仿宋_GB2312" w:hAnsi="宋体" w:eastAsia="仿宋_GB2312" w:cs="宋体"/>
          <w:color w:val="auto"/>
          <w:kern w:val="0"/>
          <w:szCs w:val="28"/>
        </w:rPr>
        <w:t>全国人民代表大会常务委员会关于司法鉴定管理问题的决定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w:t>
      </w:r>
    </w:p>
    <w:p>
      <w:pPr>
        <w:keepNext w:val="0"/>
        <w:keepLines w:val="0"/>
        <w:pageBreakBefore w:val="0"/>
        <w:kinsoku/>
        <w:wordWrap/>
        <w:overflowPunct/>
        <w:topLinePunct w:val="0"/>
        <w:autoSpaceDE/>
        <w:autoSpaceDN/>
        <w:bidi w:val="0"/>
        <w:snapToGrid/>
        <w:spacing w:line="480" w:lineRule="exact"/>
        <w:ind w:firstLine="600" w:firstLineChars="200"/>
        <w:rPr>
          <w:rFonts w:ascii="仿宋_GB2312" w:hAnsi="宋体" w:eastAsia="仿宋_GB2312"/>
          <w:color w:val="auto"/>
          <w:spacing w:val="0"/>
          <w:szCs w:val="28"/>
        </w:rPr>
      </w:pPr>
      <w:r>
        <w:rPr>
          <w:rFonts w:hint="eastAsia" w:ascii="仿宋_GB2312" w:hAnsi="宋体" w:eastAsia="仿宋_GB2312" w:cs="宋体"/>
          <w:color w:val="auto"/>
          <w:kern w:val="0"/>
          <w:szCs w:val="28"/>
        </w:rPr>
        <w:t>（8）《</w:t>
      </w:r>
      <w:r>
        <w:rPr>
          <w:color w:val="auto"/>
        </w:rPr>
        <w:fldChar w:fldCharType="begin"/>
      </w:r>
      <w:r>
        <w:rPr>
          <w:color w:val="auto"/>
        </w:rPr>
        <w:instrText xml:space="preserve"> HYPERLINK "http://www.baike.com/sowiki/%E6%9C%80%E9%AB%98%E4%BA%BA%E6%B0%91%E6%B3%95%E9%99%A2%E5%85%B3%E4%BA%8E%E4%BA%BA%E6%B0%91%E6%B3%95%E9%99%A2%E5%A7%94%E6%89%98%E8%AF%84%E4%BC%B0%E3%80%81%E6%8B%8D%E5%8D%96%E5%92%8C%E5%8F%98%E5%8D%96%E5%B7%A5%E4%BD%9C%E7%9A%84%E8%8B%A5%E5%B9%B2%E8%A7%84%E5%AE%9A?prd=content_doc_search" \o "最高人民法院关于人民法院委托评估、拍卖和变卖工作的若干规定" </w:instrText>
      </w:r>
      <w:r>
        <w:rPr>
          <w:color w:val="auto"/>
        </w:rPr>
        <w:fldChar w:fldCharType="separate"/>
      </w:r>
      <w:r>
        <w:rPr>
          <w:rFonts w:hint="eastAsia" w:ascii="仿宋_GB2312" w:hAnsi="宋体" w:eastAsia="仿宋_GB2312" w:cs="宋体"/>
          <w:color w:val="auto"/>
          <w:kern w:val="0"/>
          <w:szCs w:val="28"/>
        </w:rPr>
        <w:t>最高人民法院关于人民法院委托评估、拍卖和变卖工作的若干规定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》（法释〔2009〕16号）：</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（7）其他法律规定、政策文件等。</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2、本次估价采用的技术规程</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（1）《房地产估价规范》（GB/T 50291-2015）；</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（2）《房地产估价基本术语标准》（GB/T 50899-2013）；</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（3）《城镇土地估价规程》（GB/T 18508-2014）；</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（4）《房地产抵押估价指导意见》。</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3、估价委托人提供的有关资料</w:t>
      </w:r>
    </w:p>
    <w:p>
      <w:pPr>
        <w:keepNext w:val="0"/>
        <w:keepLines w:val="0"/>
        <w:pageBreakBefore w:val="0"/>
        <w:kinsoku/>
        <w:wordWrap/>
        <w:overflowPunct/>
        <w:topLinePunct w:val="0"/>
        <w:autoSpaceDE/>
        <w:autoSpaceDN/>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w:t>
      </w:r>
      <w:r>
        <w:rPr>
          <w:rFonts w:hint="eastAsia" w:ascii="仿宋_GB2312" w:hAnsi="宋体" w:eastAsia="仿宋_GB2312"/>
          <w:color w:val="auto"/>
          <w:spacing w:val="0"/>
          <w:szCs w:val="28"/>
          <w:lang w:eastAsia="zh-CN"/>
        </w:rPr>
        <w:t>司法鉴定</w:t>
      </w:r>
      <w:r>
        <w:rPr>
          <w:rFonts w:hint="eastAsia" w:ascii="仿宋_GB2312" w:hAnsi="宋体" w:eastAsia="仿宋_GB2312"/>
          <w:color w:val="auto"/>
          <w:spacing w:val="0"/>
          <w:szCs w:val="28"/>
        </w:rPr>
        <w:t>委托书</w:t>
      </w:r>
      <w:r>
        <w:rPr>
          <w:rFonts w:hint="eastAsia" w:ascii="仿宋_GB2312" w:eastAsia="仿宋_GB2312"/>
          <w:color w:val="auto"/>
          <w:szCs w:val="28"/>
        </w:rPr>
        <w:t>（原件）；</w:t>
      </w:r>
    </w:p>
    <w:p>
      <w:pPr>
        <w:keepNext w:val="0"/>
        <w:keepLines w:val="0"/>
        <w:pageBreakBefore w:val="0"/>
        <w:kinsoku/>
        <w:wordWrap/>
        <w:overflowPunct/>
        <w:topLinePunct w:val="0"/>
        <w:autoSpaceDE/>
        <w:autoSpaceDN/>
        <w:bidi w:val="0"/>
        <w:snapToGrid/>
        <w:spacing w:line="480" w:lineRule="exact"/>
        <w:ind w:firstLine="600" w:firstLineChars="200"/>
        <w:rPr>
          <w:rFonts w:ascii="仿宋_GB2312" w:eastAsia="仿宋_GB2312"/>
          <w:color w:val="auto"/>
          <w:szCs w:val="28"/>
        </w:rPr>
      </w:pPr>
      <w:r>
        <w:rPr>
          <w:rFonts w:hint="eastAsia" w:ascii="仿宋_GB2312" w:eastAsia="仿宋_GB2312"/>
          <w:color w:val="auto"/>
          <w:szCs w:val="28"/>
        </w:rPr>
        <w:t>（2）民事判决书（复印件）；</w:t>
      </w:r>
    </w:p>
    <w:p>
      <w:pPr>
        <w:keepNext w:val="0"/>
        <w:keepLines w:val="0"/>
        <w:pageBreakBefore w:val="0"/>
        <w:kinsoku/>
        <w:wordWrap/>
        <w:overflowPunct/>
        <w:topLinePunct w:val="0"/>
        <w:autoSpaceDE/>
        <w:autoSpaceDN/>
        <w:bidi w:val="0"/>
        <w:snapToGrid/>
        <w:spacing w:line="480" w:lineRule="exact"/>
        <w:ind w:firstLine="600" w:firstLineChars="200"/>
        <w:rPr>
          <w:rFonts w:hint="eastAsia" w:ascii="仿宋_GB2312" w:eastAsia="仿宋_GB2312"/>
          <w:color w:val="auto"/>
          <w:szCs w:val="28"/>
          <w:lang w:eastAsia="zh-CN"/>
        </w:rPr>
      </w:pPr>
      <w:r>
        <w:rPr>
          <w:rFonts w:hint="eastAsia" w:ascii="仿宋_GB2312" w:eastAsia="仿宋_GB2312"/>
          <w:color w:val="auto"/>
          <w:szCs w:val="28"/>
        </w:rPr>
        <w:t>（</w:t>
      </w:r>
      <w:r>
        <w:rPr>
          <w:rFonts w:hint="eastAsia" w:ascii="仿宋_GB2312" w:eastAsia="仿宋_GB2312"/>
          <w:color w:val="auto"/>
          <w:szCs w:val="28"/>
          <w:lang w:val="en-US" w:eastAsia="zh-CN"/>
        </w:rPr>
        <w:t>3</w:t>
      </w:r>
      <w:r>
        <w:rPr>
          <w:rFonts w:hint="eastAsia" w:ascii="仿宋_GB2312" w:eastAsia="仿宋_GB2312"/>
          <w:color w:val="auto"/>
          <w:szCs w:val="28"/>
        </w:rPr>
        <w:t>）</w:t>
      </w:r>
      <w:r>
        <w:rPr>
          <w:rFonts w:hint="eastAsia" w:ascii="仿宋_GB2312" w:eastAsia="仿宋_GB2312"/>
          <w:color w:val="auto"/>
          <w:szCs w:val="28"/>
          <w:lang w:eastAsia="zh-CN"/>
        </w:rPr>
        <w:t>产权、产籍档案证明</w:t>
      </w:r>
      <w:r>
        <w:rPr>
          <w:rFonts w:hint="eastAsia" w:ascii="仿宋_GB2312" w:eastAsia="仿宋_GB2312"/>
          <w:color w:val="auto"/>
          <w:szCs w:val="28"/>
        </w:rPr>
        <w:t>（</w:t>
      </w:r>
      <w:r>
        <w:rPr>
          <w:rFonts w:hint="eastAsia" w:ascii="仿宋_GB2312" w:eastAsia="仿宋_GB2312"/>
          <w:color w:val="auto"/>
          <w:szCs w:val="28"/>
          <w:lang w:eastAsia="zh-CN"/>
        </w:rPr>
        <w:t>复印件</w:t>
      </w:r>
      <w:r>
        <w:rPr>
          <w:rFonts w:hint="eastAsia" w:ascii="仿宋_GB2312" w:eastAsia="仿宋_GB2312"/>
          <w:color w:val="auto"/>
          <w:szCs w:val="28"/>
        </w:rPr>
        <w:t>）</w:t>
      </w:r>
      <w:r>
        <w:rPr>
          <w:rFonts w:hint="eastAsia" w:ascii="仿宋_GB2312" w:eastAsia="仿宋_GB2312"/>
          <w:color w:val="auto"/>
          <w:szCs w:val="28"/>
          <w:lang w:eastAsia="zh-CN"/>
        </w:rPr>
        <w:t>。</w:t>
      </w:r>
    </w:p>
    <w:p>
      <w:pPr>
        <w:keepNext w:val="0"/>
        <w:keepLines w:val="0"/>
        <w:pageBreakBefore w:val="0"/>
        <w:kinsoku/>
        <w:wordWrap/>
        <w:overflowPunct/>
        <w:topLinePunct w:val="0"/>
        <w:bidi w:val="0"/>
        <w:snapToGrid/>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4、估价机构掌握的有关资料和估价人员实地查勘、调查所获取的资料等。</w:t>
      </w:r>
    </w:p>
    <w:p>
      <w:pPr>
        <w:pStyle w:val="3"/>
        <w:keepLines w:val="0"/>
        <w:pageBreakBefore w:val="0"/>
        <w:kinsoku/>
        <w:wordWrap/>
        <w:overflowPunct/>
        <w:topLinePunct w:val="0"/>
        <w:bidi w:val="0"/>
        <w:snapToGrid/>
        <w:spacing w:line="480" w:lineRule="exact"/>
        <w:rPr>
          <w:color w:val="auto"/>
        </w:rPr>
      </w:pPr>
      <w:bookmarkStart w:id="16" w:name="_Toc14005"/>
      <w:r>
        <w:rPr>
          <w:rFonts w:hint="eastAsia"/>
          <w:color w:val="auto"/>
        </w:rPr>
        <w:t>九、估价方法</w:t>
      </w:r>
      <w:bookmarkEnd w:id="16"/>
    </w:p>
    <w:p>
      <w:pPr>
        <w:pStyle w:val="18"/>
        <w:keepNext w:val="0"/>
        <w:keepLines w:val="0"/>
        <w:pageBreakBefore w:val="0"/>
        <w:widowControl w:val="0"/>
        <w:kinsoku/>
        <w:wordWrap/>
        <w:overflowPunct/>
        <w:topLinePunct w:val="0"/>
        <w:autoSpaceDE/>
        <w:autoSpaceDN/>
        <w:bidi w:val="0"/>
        <w:adjustRightInd w:val="0"/>
        <w:snapToGrid/>
        <w:spacing w:line="480" w:lineRule="exact"/>
        <w:ind w:firstLine="601"/>
        <w:textAlignment w:val="baseline"/>
        <w:outlineLvl w:val="9"/>
        <w:rPr>
          <w:rFonts w:ascii="仿宋_GB2312" w:eastAsia="仿宋_GB2312"/>
          <w:color w:val="auto"/>
        </w:rPr>
      </w:pPr>
      <w:r>
        <w:rPr>
          <w:rFonts w:hint="eastAsia" w:ascii="仿宋_GB2312" w:eastAsia="仿宋_GB2312"/>
          <w:color w:val="auto"/>
          <w:spacing w:val="0"/>
        </w:rPr>
        <w:t>根据估价对象的特点，估价对象处于成熟的</w:t>
      </w:r>
      <w:r>
        <w:rPr>
          <w:rFonts w:hint="eastAsia" w:ascii="仿宋_GB2312" w:eastAsia="仿宋_GB2312"/>
          <w:color w:val="auto"/>
          <w:spacing w:val="0"/>
          <w:lang w:eastAsia="zh-CN"/>
        </w:rPr>
        <w:t>商圈</w:t>
      </w:r>
      <w:r>
        <w:rPr>
          <w:rFonts w:hint="eastAsia" w:ascii="仿宋_GB2312" w:eastAsia="仿宋_GB2312"/>
          <w:color w:val="auto"/>
          <w:spacing w:val="0"/>
        </w:rPr>
        <w:t>，周边类似物业交易案例很多，且估价对象属于收益型房地产，故本次评估采用</w:t>
      </w:r>
      <w:r>
        <w:rPr>
          <w:rFonts w:hint="eastAsia" w:ascii="仿宋_GB2312" w:eastAsia="仿宋_GB2312"/>
          <w:color w:val="auto"/>
          <w:spacing w:val="0"/>
          <w:lang w:eastAsia="zh-CN"/>
        </w:rPr>
        <w:t>市场</w:t>
      </w:r>
      <w:r>
        <w:rPr>
          <w:rFonts w:hint="eastAsia" w:ascii="仿宋_GB2312" w:eastAsia="仿宋_GB2312"/>
          <w:color w:val="auto"/>
          <w:spacing w:val="0"/>
        </w:rPr>
        <w:t>比较法和收益法分别求取估价对象房地产价值；</w:t>
      </w:r>
      <w:r>
        <w:rPr>
          <w:rFonts w:hint="eastAsia" w:ascii="仿宋_GB2312" w:eastAsia="仿宋_GB2312"/>
          <w:color w:val="auto"/>
        </w:rPr>
        <w:t>然后根据各种方法评估价值与市场价值的接近程度对其赋予不同权重进行加权平均求得估价对象房地产评估价值。</w:t>
      </w:r>
    </w:p>
    <w:p>
      <w:pPr>
        <w:pStyle w:val="18"/>
        <w:keepNext w:val="0"/>
        <w:keepLines w:val="0"/>
        <w:pageBreakBefore w:val="0"/>
        <w:widowControl w:val="0"/>
        <w:kinsoku/>
        <w:wordWrap/>
        <w:overflowPunct/>
        <w:topLinePunct w:val="0"/>
        <w:autoSpaceDE/>
        <w:autoSpaceDN/>
        <w:bidi w:val="0"/>
        <w:adjustRightInd w:val="0"/>
        <w:snapToGrid/>
        <w:spacing w:line="480" w:lineRule="exact"/>
        <w:textAlignment w:val="baseline"/>
        <w:outlineLvl w:val="9"/>
        <w:rPr>
          <w:rFonts w:ascii="仿宋_GB2312" w:eastAsia="仿宋_GB2312"/>
          <w:color w:val="auto"/>
        </w:rPr>
      </w:pPr>
      <w:r>
        <w:rPr>
          <w:rFonts w:hint="eastAsia" w:ascii="仿宋_GB2312" w:eastAsia="仿宋_GB2312"/>
          <w:color w:val="auto"/>
          <w:lang w:eastAsia="zh-CN"/>
        </w:rPr>
        <w:t>市场</w:t>
      </w:r>
      <w:r>
        <w:rPr>
          <w:rFonts w:hint="eastAsia" w:ascii="仿宋_GB2312" w:eastAsia="仿宋_GB2312"/>
          <w:color w:val="auto"/>
        </w:rPr>
        <w:t>比较法定义：选取一定数量的可比实例，将它们与估价对象进行比较，根据其间的差异对可比实例成交价格进行处理后得到估价对象价值或价格的方法。</w:t>
      </w:r>
    </w:p>
    <w:p>
      <w:pPr>
        <w:keepNext w:val="0"/>
        <w:keepLines w:val="0"/>
        <w:pageBreakBefore w:val="0"/>
        <w:widowControl w:val="0"/>
        <w:kinsoku/>
        <w:wordWrap/>
        <w:overflowPunct/>
        <w:topLinePunct w:val="0"/>
        <w:autoSpaceDE/>
        <w:autoSpaceDN/>
        <w:bidi w:val="0"/>
        <w:adjustRightInd w:val="0"/>
        <w:snapToGrid/>
        <w:spacing w:line="480" w:lineRule="exact"/>
        <w:ind w:firstLine="600" w:firstLineChars="200"/>
        <w:textAlignment w:val="baseline"/>
        <w:outlineLvl w:val="9"/>
        <w:rPr>
          <w:rFonts w:ascii="仿宋_GB2312" w:eastAsia="仿宋_GB2312"/>
          <w:color w:val="auto"/>
          <w:szCs w:val="28"/>
        </w:rPr>
      </w:pPr>
      <w:r>
        <w:rPr>
          <w:rFonts w:hint="eastAsia" w:ascii="仿宋_GB2312" w:eastAsia="仿宋_GB2312"/>
          <w:color w:val="auto"/>
          <w:szCs w:val="28"/>
        </w:rPr>
        <w:t>收益法定义：</w:t>
      </w:r>
      <w:r>
        <w:rPr>
          <w:rFonts w:hint="eastAsia" w:ascii="仿宋_GB2312" w:eastAsia="仿宋_GB2312"/>
          <w:color w:val="auto"/>
        </w:rPr>
        <w:t>预期估价对象的未来收益，利用报酬率或资本化率，收益乘数将未来收益转换为价值得到估价对象价值或价格的方法</w:t>
      </w:r>
      <w:r>
        <w:rPr>
          <w:rFonts w:hint="eastAsia" w:ascii="仿宋_GB2312" w:eastAsia="仿宋_GB2312"/>
          <w:color w:val="auto"/>
          <w:szCs w:val="28"/>
        </w:rPr>
        <w:t>。</w:t>
      </w:r>
    </w:p>
    <w:p>
      <w:pPr>
        <w:pStyle w:val="3"/>
        <w:keepLines w:val="0"/>
        <w:pageBreakBefore w:val="0"/>
        <w:kinsoku/>
        <w:wordWrap/>
        <w:overflowPunct/>
        <w:topLinePunct w:val="0"/>
        <w:bidi w:val="0"/>
        <w:snapToGrid/>
        <w:spacing w:line="480" w:lineRule="exact"/>
        <w:rPr>
          <w:color w:val="auto"/>
        </w:rPr>
      </w:pPr>
      <w:bookmarkStart w:id="17" w:name="_Toc24541"/>
      <w:r>
        <w:rPr>
          <w:rFonts w:hint="eastAsia"/>
          <w:color w:val="auto"/>
        </w:rPr>
        <w:t>十、估价结果</w:t>
      </w:r>
      <w:bookmarkEnd w:id="17"/>
    </w:p>
    <w:p>
      <w:pPr>
        <w:keepNext w:val="0"/>
        <w:keepLines w:val="0"/>
        <w:pageBreakBefore w:val="0"/>
        <w:kinsoku/>
        <w:wordWrap/>
        <w:overflowPunct/>
        <w:topLinePunct w:val="0"/>
        <w:autoSpaceDE w:val="0"/>
        <w:autoSpaceDN w:val="0"/>
        <w:bidi w:val="0"/>
        <w:snapToGrid/>
        <w:spacing w:line="480" w:lineRule="exact"/>
        <w:ind w:firstLine="560" w:firstLineChars="200"/>
        <w:rPr>
          <w:rFonts w:hint="eastAsia" w:ascii="仿宋_GB2312" w:eastAsia="仿宋_GB2312"/>
          <w:color w:val="auto"/>
          <w:szCs w:val="28"/>
        </w:rPr>
      </w:pPr>
      <w:bookmarkStart w:id="18" w:name="_Toc318812514"/>
      <w:r>
        <w:rPr>
          <w:rFonts w:hint="eastAsia" w:ascii="仿宋_GB2312" w:hAnsi="宋体" w:eastAsia="仿宋_GB2312"/>
          <w:color w:val="auto"/>
          <w:spacing w:val="0"/>
          <w:szCs w:val="28"/>
        </w:rPr>
        <w:t>估价人员根据估价目的，遵循估价原则，按照估价程序，采用科学的估价方法，在认真分析现有资料的基础上，经过周密准确的测算，并结合估价经验与对影响房地产价格因素的分析，估价对象</w:t>
      </w:r>
      <w:r>
        <w:rPr>
          <w:rFonts w:hint="eastAsia" w:ascii="仿宋_GB2312" w:hAnsi="宋体" w:eastAsia="仿宋_GB2312"/>
          <w:color w:val="auto"/>
          <w:spacing w:val="0"/>
          <w:szCs w:val="28"/>
          <w:lang w:eastAsia="zh-CN"/>
        </w:rPr>
        <w:t>在</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w:t>
      </w:r>
      <w:r>
        <w:rPr>
          <w:rFonts w:hint="eastAsia" w:ascii="仿宋_GB2312" w:eastAsia="仿宋_GB2312"/>
          <w:color w:val="auto"/>
          <w:szCs w:val="28"/>
          <w:lang w:eastAsia="zh-CN"/>
        </w:rPr>
        <w:t>总</w:t>
      </w:r>
      <w:r>
        <w:rPr>
          <w:rFonts w:hint="eastAsia" w:ascii="仿宋_GB2312" w:eastAsia="仿宋_GB2312"/>
          <w:color w:val="auto"/>
          <w:szCs w:val="28"/>
        </w:rPr>
        <w:t>价值为</w:t>
      </w:r>
      <w:r>
        <w:rPr>
          <w:rFonts w:hint="eastAsia" w:ascii="仿宋_GB2312" w:eastAsia="仿宋_GB2312"/>
          <w:color w:val="auto"/>
          <w:szCs w:val="28"/>
          <w:lang w:val="en-US" w:eastAsia="zh-CN"/>
        </w:rPr>
        <w:t>147.64</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1476400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壹佰肆拾柒万陆仟肆佰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，房屋单价</w:t>
      </w:r>
      <w:r>
        <w:rPr>
          <w:rFonts w:hint="eastAsia" w:ascii="仿宋_GB2312" w:eastAsia="仿宋_GB2312"/>
          <w:color w:val="auto"/>
          <w:szCs w:val="28"/>
          <w:lang w:val="en-US" w:eastAsia="zh-CN"/>
        </w:rPr>
        <w:t>9520元/平方米</w:t>
      </w:r>
      <w:r>
        <w:rPr>
          <w:rFonts w:hint="eastAsia" w:ascii="仿宋_GB2312" w:eastAsia="仿宋_GB2312"/>
          <w:color w:val="auto"/>
          <w:szCs w:val="28"/>
        </w:rPr>
        <w:t>。</w:t>
      </w:r>
    </w:p>
    <w:bookmarkEnd w:id="18"/>
    <w:p>
      <w:pPr>
        <w:pStyle w:val="3"/>
        <w:rPr>
          <w:color w:val="auto"/>
        </w:rPr>
      </w:pPr>
      <w:bookmarkStart w:id="19" w:name="_Toc26043"/>
      <w:r>
        <w:rPr>
          <w:rFonts w:hint="eastAsia"/>
          <w:color w:val="auto"/>
        </w:rPr>
        <w:t>十一、注册房地产估价师</w:t>
      </w:r>
      <w:bookmarkEnd w:id="19"/>
    </w:p>
    <w:tbl>
      <w:tblPr>
        <w:tblStyle w:val="36"/>
        <w:tblW w:w="9795" w:type="dxa"/>
        <w:tblInd w:w="-34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10"/>
        <w:gridCol w:w="3810"/>
        <w:gridCol w:w="30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both"/>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bl>
    <w:p>
      <w:pPr>
        <w:pStyle w:val="3"/>
        <w:rPr>
          <w:color w:val="auto"/>
        </w:rPr>
      </w:pPr>
      <w:bookmarkStart w:id="20" w:name="_Toc29007"/>
      <w:r>
        <w:rPr>
          <w:rFonts w:hint="eastAsia"/>
          <w:color w:val="auto"/>
        </w:rPr>
        <w:t>十二、实地查勘期</w:t>
      </w:r>
      <w:bookmarkEnd w:id="20"/>
      <w:r>
        <w:rPr>
          <w:rFonts w:hint="eastAsia"/>
          <w:color w:val="auto"/>
        </w:rPr>
        <w:t xml:space="preserve">   </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lang w:eastAsia="zh-CN"/>
        </w:rPr>
        <w:t>2019年1月15日</w:t>
      </w:r>
      <w:r>
        <w:rPr>
          <w:rFonts w:hint="eastAsia" w:ascii="仿宋_GB2312" w:eastAsia="仿宋_GB2312"/>
          <w:color w:val="auto"/>
          <w:szCs w:val="28"/>
        </w:rPr>
        <w:t>。</w:t>
      </w:r>
    </w:p>
    <w:p>
      <w:pPr>
        <w:keepNext w:val="0"/>
        <w:keepLines w:val="0"/>
        <w:pageBreakBefore w:val="0"/>
        <w:kinsoku/>
        <w:overflowPunct/>
        <w:topLinePunct w:val="0"/>
        <w:bidi w:val="0"/>
        <w:spacing w:line="540" w:lineRule="exact"/>
        <w:outlineLvl w:val="1"/>
        <w:rPr>
          <w:rFonts w:ascii="仿宋_GB2312" w:hAnsi="宋体" w:eastAsia="仿宋_GB2312"/>
          <w:b/>
          <w:bCs/>
          <w:color w:val="auto"/>
          <w:spacing w:val="0"/>
          <w:szCs w:val="28"/>
        </w:rPr>
      </w:pPr>
      <w:bookmarkStart w:id="21" w:name="_Toc21373"/>
      <w:bookmarkStart w:id="22" w:name="_Toc403995623"/>
      <w:r>
        <w:rPr>
          <w:rStyle w:val="74"/>
          <w:rFonts w:hint="eastAsia"/>
          <w:color w:val="auto"/>
        </w:rPr>
        <w:t>十三、估价作业期</w:t>
      </w:r>
      <w:bookmarkEnd w:id="21"/>
      <w:r>
        <w:rPr>
          <w:rStyle w:val="74"/>
          <w:rFonts w:hint="eastAsia"/>
          <w:color w:val="auto"/>
        </w:rPr>
        <w:t xml:space="preserve">  </w:t>
      </w:r>
      <w:r>
        <w:rPr>
          <w:rFonts w:hint="eastAsia" w:ascii="仿宋_GB2312" w:hAnsi="宋体" w:eastAsia="仿宋_GB2312"/>
          <w:b/>
          <w:bCs/>
          <w:color w:val="auto"/>
          <w:spacing w:val="0"/>
          <w:szCs w:val="28"/>
        </w:rPr>
        <w:t xml:space="preserve"> </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rPr>
      </w:pPr>
      <w:r>
        <w:rPr>
          <w:rFonts w:hint="eastAsia" w:ascii="仿宋_GB2312" w:eastAsia="仿宋_GB2312"/>
          <w:color w:val="auto"/>
          <w:szCs w:val="28"/>
        </w:rPr>
        <w:t>自</w:t>
      </w:r>
      <w:r>
        <w:rPr>
          <w:rFonts w:hint="eastAsia" w:ascii="仿宋_GB2312" w:eastAsia="仿宋_GB2312"/>
          <w:color w:val="auto"/>
          <w:szCs w:val="28"/>
          <w:lang w:eastAsia="zh-CN"/>
        </w:rPr>
        <w:t>2019年1月15日</w:t>
      </w:r>
      <w:r>
        <w:rPr>
          <w:rFonts w:hint="eastAsia" w:ascii="仿宋_GB2312" w:eastAsia="仿宋_GB2312"/>
          <w:color w:val="auto"/>
          <w:szCs w:val="28"/>
        </w:rPr>
        <w:t>起至</w:t>
      </w:r>
      <w:bookmarkEnd w:id="22"/>
      <w:r>
        <w:rPr>
          <w:rFonts w:hint="eastAsia" w:ascii="仿宋_GB2312" w:eastAsia="仿宋_GB2312"/>
          <w:color w:val="auto"/>
          <w:szCs w:val="28"/>
          <w:lang w:eastAsia="zh-CN"/>
        </w:rPr>
        <w:t>2019年1月18日</w:t>
      </w:r>
      <w:r>
        <w:rPr>
          <w:rFonts w:hint="eastAsia" w:ascii="仿宋_GB2312" w:eastAsia="仿宋_GB2312"/>
          <w:color w:val="auto"/>
          <w:szCs w:val="28"/>
        </w:rPr>
        <w:t>止。</w:t>
      </w: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kinsoku/>
        <w:overflowPunct/>
        <w:topLinePunct w:val="0"/>
        <w:bidi w:val="0"/>
        <w:spacing w:line="540" w:lineRule="exact"/>
        <w:ind w:firstLine="560" w:firstLineChars="200"/>
        <w:jc w:val="right"/>
        <w:rPr>
          <w:rFonts w:hint="eastAsia" w:ascii="仿宋_GB2312" w:eastAsia="仿宋_GB2312"/>
          <w:color w:val="auto"/>
          <w:spacing w:val="0"/>
          <w:szCs w:val="28"/>
          <w:lang w:eastAsia="zh-CN"/>
        </w:rPr>
      </w:pPr>
      <w:bookmarkStart w:id="23" w:name="_Toc318812518"/>
      <w:r>
        <w:rPr>
          <w:rFonts w:hint="eastAsia" w:ascii="仿宋_GB2312" w:hAnsi="宋体" w:eastAsia="仿宋_GB2312"/>
          <w:color w:val="auto"/>
          <w:spacing w:val="0"/>
          <w:szCs w:val="28"/>
          <w:lang w:eastAsia="zh-CN"/>
        </w:rPr>
        <w:t>二零一九年一月十八日</w:t>
      </w:r>
    </w:p>
    <w:p>
      <w:pPr>
        <w:rPr>
          <w:rFonts w:hint="eastAsia" w:ascii="仿宋_GB2312" w:eastAsia="黑体"/>
          <w:b/>
          <w:color w:val="auto"/>
          <w:lang w:eastAsia="zh-CN"/>
        </w:rPr>
      </w:pPr>
      <w:r>
        <w:rPr>
          <w:rFonts w:hint="eastAsia" w:ascii="仿宋_GB2312" w:eastAsia="仿宋_GB2312"/>
          <w:color w:val="auto"/>
          <w:spacing w:val="0"/>
          <w:szCs w:val="28"/>
        </w:rPr>
        <w:br w:type="page"/>
      </w:r>
      <w:bookmarkEnd w:id="23"/>
    </w:p>
    <w:p>
      <w:pPr>
        <w:pStyle w:val="2"/>
        <w:numPr>
          <w:ilvl w:val="0"/>
          <w:numId w:val="0"/>
        </w:numPr>
        <w:tabs>
          <w:tab w:val="clear" w:pos="-510"/>
        </w:tabs>
        <w:ind w:left="-540" w:leftChars="0"/>
        <w:jc w:val="center"/>
        <w:rPr>
          <w:rFonts w:hint="eastAsia" w:eastAsia="黑体"/>
          <w:color w:val="auto"/>
          <w:lang w:val="en-US" w:eastAsia="zh-CN"/>
        </w:rPr>
      </w:pPr>
      <w:bookmarkStart w:id="24" w:name="_Toc18660"/>
      <w:r>
        <w:rPr>
          <w:rFonts w:hint="eastAsia"/>
          <w:color w:val="auto"/>
          <w:lang w:val="en-US" w:eastAsia="zh-CN"/>
        </w:rPr>
        <w:t>四、估价技术报告（估价机构留存）</w:t>
      </w:r>
      <w:bookmarkEnd w:id="24"/>
    </w:p>
    <w:p>
      <w:pPr>
        <w:pStyle w:val="2"/>
        <w:numPr>
          <w:ilvl w:val="0"/>
          <w:numId w:val="0"/>
        </w:numPr>
        <w:tabs>
          <w:tab w:val="clear" w:pos="-510"/>
        </w:tabs>
        <w:ind w:left="-540" w:leftChars="0"/>
        <w:jc w:val="center"/>
        <w:rPr>
          <w:color w:val="auto"/>
        </w:rPr>
      </w:pPr>
      <w:bookmarkStart w:id="25" w:name="_Toc21712"/>
      <w:r>
        <w:rPr>
          <w:rFonts w:hint="eastAsia"/>
          <w:color w:val="auto"/>
          <w:lang w:eastAsia="zh-CN"/>
        </w:rPr>
        <w:t>五、</w:t>
      </w:r>
      <w:r>
        <w:rPr>
          <w:rFonts w:hint="eastAsia"/>
          <w:color w:val="auto"/>
        </w:rPr>
        <w:t>附件</w:t>
      </w:r>
      <w:bookmarkEnd w:id="25"/>
    </w:p>
    <w:p>
      <w:pPr>
        <w:keepNext w:val="0"/>
        <w:keepLines w:val="0"/>
        <w:pageBreakBefore w:val="0"/>
        <w:kinsoku/>
        <w:overflowPunct/>
        <w:topLinePunct w:val="0"/>
        <w:bidi w:val="0"/>
        <w:spacing w:beforeLines="50" w:line="540" w:lineRule="exact"/>
        <w:ind w:firstLine="456" w:firstLineChars="152"/>
        <w:rPr>
          <w:rStyle w:val="34"/>
          <w:rFonts w:ascii="仿宋_GB2312" w:hAnsi="宋体" w:eastAsia="仿宋_GB2312"/>
          <w:bCs/>
          <w:color w:val="auto"/>
        </w:rPr>
      </w:pPr>
      <w:r>
        <w:rPr>
          <w:rFonts w:hint="eastAsia" w:ascii="仿宋_GB2312" w:eastAsia="仿宋_GB2312"/>
          <w:color w:val="auto"/>
          <w:szCs w:val="28"/>
        </w:rPr>
        <w:t>1、</w:t>
      </w:r>
      <w:r>
        <w:rPr>
          <w:rStyle w:val="34"/>
          <w:rFonts w:hint="eastAsia" w:ascii="仿宋_GB2312" w:hAnsi="宋体" w:eastAsia="仿宋_GB2312"/>
          <w:bCs/>
          <w:color w:val="auto"/>
        </w:rPr>
        <w:t xml:space="preserve"> </w:t>
      </w:r>
      <w:r>
        <w:rPr>
          <w:rStyle w:val="34"/>
          <w:rFonts w:hint="eastAsia" w:ascii="仿宋_GB2312" w:hAnsi="宋体" w:eastAsia="仿宋_GB2312"/>
          <w:bCs/>
          <w:color w:val="auto"/>
          <w:lang w:eastAsia="zh-CN"/>
        </w:rPr>
        <w:t>司法鉴定</w:t>
      </w:r>
      <w:r>
        <w:rPr>
          <w:rStyle w:val="34"/>
          <w:rFonts w:hint="eastAsia" w:ascii="仿宋_GB2312" w:hAnsi="宋体" w:eastAsia="仿宋_GB2312"/>
          <w:bCs/>
          <w:color w:val="auto"/>
        </w:rPr>
        <w:t>委托书复印件；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Style w:val="34"/>
          <w:rFonts w:hint="eastAsia" w:ascii="仿宋_GB2312" w:hAnsi="宋体" w:eastAsia="仿宋_GB2312"/>
          <w:bCs/>
          <w:color w:val="auto"/>
        </w:rPr>
        <w:t>2、</w:t>
      </w:r>
      <w:r>
        <w:rPr>
          <w:rFonts w:hint="eastAsia" w:ascii="仿宋_GB2312" w:eastAsia="仿宋_GB2312"/>
          <w:color w:val="auto"/>
          <w:szCs w:val="28"/>
        </w:rPr>
        <w:t>估价对象照片及位置图；</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rPr>
        <w:t>3、</w:t>
      </w:r>
      <w:r>
        <w:rPr>
          <w:rFonts w:hint="eastAsia" w:ascii="仿宋_GB2312" w:eastAsia="仿宋_GB2312"/>
          <w:color w:val="auto"/>
          <w:szCs w:val="28"/>
        </w:rPr>
        <w:t>产权证明文书复印件；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4、房地产估价机构营业执照；</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5、房地产估价机构资质证书；</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6、注册房地产估价师资格证书。</w:t>
      </w:r>
    </w:p>
    <w:p>
      <w:pPr>
        <w:keepNext w:val="0"/>
        <w:keepLines w:val="0"/>
        <w:pageBreakBefore w:val="0"/>
        <w:kinsoku/>
        <w:overflowPunct/>
        <w:topLinePunct w:val="0"/>
        <w:bidi w:val="0"/>
        <w:spacing w:line="540" w:lineRule="exact"/>
        <w:rPr>
          <w:rFonts w:ascii="仿宋_GB2312" w:eastAsia="仿宋_GB2312"/>
          <w:color w:val="auto"/>
        </w:rPr>
      </w:pPr>
    </w:p>
    <w:sectPr>
      <w:headerReference r:id="rId3" w:type="default"/>
      <w:footerReference r:id="rId4" w:type="default"/>
      <w:footerReference r:id="rId5" w:type="even"/>
      <w:pgSz w:w="11906" w:h="16838"/>
      <w:pgMar w:top="1418" w:right="1381" w:bottom="1242" w:left="1745" w:header="680" w:footer="1100" w:gutter="0"/>
      <w:pgNumType w:start="0"/>
      <w:cols w:space="425" w:num="1"/>
      <w:titlePg/>
      <w:docGrid w:type="lines" w:linePitch="414" w:charSpace="-9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814" w:y="10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0"/>
      <w:ind w:right="360"/>
    </w:pPr>
    <w:r>
      <w:rPr>
        <w:sz w:val="18"/>
      </w:rPr>
      <w:pict>
        <v:line id="_x0000_s4098" o:spid="_x0000_s4098" o:spt="20" style="position:absolute;left:0pt;margin-left:1.55pt;margin-top:5.45pt;height:0.05pt;width:436.5pt;z-index:251658240;mso-width-relative:page;mso-height-relative:page;" filled="f" stroked="t" coordsize="21600,21600">
          <v:path arrowok="t"/>
          <v:fill on="f" focussize="0,0"/>
          <v:stroke weight="0.25pt" color="#000000"/>
          <v:imagedata o:title=""/>
          <o:lock v:ext="edit"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Theme="minorEastAsia" w:hAnsiTheme="minorEastAsia" w:eastAsiaTheme="minorEastAsia" w:cstheme="minorEastAsia"/>
        <w:spacing w:val="0"/>
        <w:kern w:val="0"/>
        <w:sz w:val="20"/>
        <w:szCs w:val="18"/>
        <w:lang w:eastAsia="zh-CN"/>
      </w:rPr>
    </w:pPr>
    <w:r>
      <w:rPr>
        <w:rFonts w:hint="eastAsia" w:asciiTheme="minorEastAsia" w:hAnsiTheme="minorEastAsia" w:eastAsiaTheme="minorEastAsia" w:cstheme="minorEastAsia"/>
        <w:spacing w:val="0"/>
        <w:kern w:val="0"/>
        <w:sz w:val="20"/>
        <w:szCs w:val="18"/>
        <w:lang w:eastAsia="zh-CN"/>
      </w:rPr>
      <w:t>山东明嘉正德土地房地产评估有限公司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5BFB"/>
    <w:multiLevelType w:val="singleLevel"/>
    <w:tmpl w:val="12975BFB"/>
    <w:lvl w:ilvl="0" w:tentative="0">
      <w:start w:val="1"/>
      <w:numFmt w:val="upperRoman"/>
      <w:pStyle w:val="8"/>
      <w:lvlText w:val="%1."/>
      <w:lvlJc w:val="left"/>
      <w:pPr>
        <w:tabs>
          <w:tab w:val="left" w:pos="720"/>
        </w:tabs>
        <w:ind w:left="0" w:firstLine="0"/>
      </w:pPr>
      <w:rPr>
        <w:rFonts w:hint="eastAsia"/>
      </w:rPr>
    </w:lvl>
  </w:abstractNum>
  <w:abstractNum w:abstractNumId="1">
    <w:nsid w:val="166B2BD5"/>
    <w:multiLevelType w:val="singleLevel"/>
    <w:tmpl w:val="166B2BD5"/>
    <w:lvl w:ilvl="0" w:tentative="0">
      <w:start w:val="1"/>
      <w:numFmt w:val="upperLetter"/>
      <w:pStyle w:val="2"/>
      <w:lvlText w:val="%1．"/>
      <w:lvlJc w:val="left"/>
      <w:pPr>
        <w:tabs>
          <w:tab w:val="left" w:pos="-510"/>
        </w:tabs>
        <w:ind w:left="-510" w:hanging="30"/>
      </w:pPr>
      <w:rPr>
        <w:rFonts w:hint="eastAsia"/>
      </w:rPr>
    </w:lvl>
  </w:abstractNum>
  <w:abstractNum w:abstractNumId="2">
    <w:nsid w:val="2607E1C8"/>
    <w:multiLevelType w:val="singleLevel"/>
    <w:tmpl w:val="2607E1C8"/>
    <w:lvl w:ilvl="0" w:tentative="0">
      <w:start w:val="2"/>
      <w:numFmt w:val="chineseCounting"/>
      <w:suff w:val="nothing"/>
      <w:lvlText w:val="%1、"/>
      <w:lvlJc w:val="left"/>
      <w:rPr>
        <w:rFonts w:hint="eastAsia"/>
      </w:rPr>
    </w:lvl>
  </w:abstractNum>
  <w:abstractNum w:abstractNumId="3">
    <w:nsid w:val="261D6975"/>
    <w:multiLevelType w:val="singleLevel"/>
    <w:tmpl w:val="261D6975"/>
    <w:lvl w:ilvl="0" w:tentative="0">
      <w:start w:val="1"/>
      <w:numFmt w:val="upperLetter"/>
      <w:pStyle w:val="7"/>
      <w:lvlText w:val="%1．"/>
      <w:lvlJc w:val="left"/>
      <w:pPr>
        <w:tabs>
          <w:tab w:val="left" w:pos="720"/>
        </w:tabs>
        <w:ind w:left="0" w:firstLine="0"/>
      </w:pPr>
      <w:rPr>
        <w:rFonts w:hint="eastAsia"/>
      </w:rPr>
    </w:lvl>
  </w:abstractNum>
  <w:abstractNum w:abstractNumId="4">
    <w:nsid w:val="64112089"/>
    <w:multiLevelType w:val="singleLevel"/>
    <w:tmpl w:val="64112089"/>
    <w:lvl w:ilvl="0" w:tentative="0">
      <w:start w:val="1"/>
      <w:numFmt w:val="upperLetter"/>
      <w:pStyle w:val="4"/>
      <w:lvlText w:val="%1."/>
      <w:lvlJc w:val="left"/>
      <w:pPr>
        <w:tabs>
          <w:tab w:val="left" w:pos="927"/>
        </w:tabs>
        <w:ind w:left="397" w:firstLine="170"/>
      </w:pPr>
      <w:rPr>
        <w:rFonts w:hint="eastAsia"/>
      </w:rPr>
    </w:lvl>
  </w:abstractNum>
  <w:abstractNum w:abstractNumId="5">
    <w:nsid w:val="6420597C"/>
    <w:multiLevelType w:val="singleLevel"/>
    <w:tmpl w:val="6420597C"/>
    <w:lvl w:ilvl="0" w:tentative="0">
      <w:start w:val="1"/>
      <w:numFmt w:val="upperRoman"/>
      <w:pStyle w:val="6"/>
      <w:lvlText w:val="%1."/>
      <w:lvlJc w:val="left"/>
      <w:pPr>
        <w:tabs>
          <w:tab w:val="left" w:pos="720"/>
        </w:tabs>
        <w:ind w:left="0" w:firstLine="0"/>
      </w:pPr>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5"/>
  <w:drawingGridHorizontalSpacing w:val="251"/>
  <w:drawingGridVerticalSpacing w:val="207"/>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A341E6"/>
    <w:rsid w:val="000013DB"/>
    <w:rsid w:val="00001B08"/>
    <w:rsid w:val="0000210B"/>
    <w:rsid w:val="000022E0"/>
    <w:rsid w:val="00002F6E"/>
    <w:rsid w:val="00003501"/>
    <w:rsid w:val="000047B6"/>
    <w:rsid w:val="00004C8A"/>
    <w:rsid w:val="000060C3"/>
    <w:rsid w:val="000146BA"/>
    <w:rsid w:val="00014B84"/>
    <w:rsid w:val="00015449"/>
    <w:rsid w:val="000157EF"/>
    <w:rsid w:val="00015B1D"/>
    <w:rsid w:val="000170BD"/>
    <w:rsid w:val="000172E2"/>
    <w:rsid w:val="00021298"/>
    <w:rsid w:val="0002150F"/>
    <w:rsid w:val="000219BF"/>
    <w:rsid w:val="000221D8"/>
    <w:rsid w:val="000225A9"/>
    <w:rsid w:val="00022CA8"/>
    <w:rsid w:val="00022EF4"/>
    <w:rsid w:val="00023643"/>
    <w:rsid w:val="000258FB"/>
    <w:rsid w:val="00025C2E"/>
    <w:rsid w:val="00025EAC"/>
    <w:rsid w:val="00026200"/>
    <w:rsid w:val="00030B27"/>
    <w:rsid w:val="000317A9"/>
    <w:rsid w:val="00032689"/>
    <w:rsid w:val="00032C2B"/>
    <w:rsid w:val="00032CDA"/>
    <w:rsid w:val="00034C48"/>
    <w:rsid w:val="00034EA8"/>
    <w:rsid w:val="000352BE"/>
    <w:rsid w:val="00035562"/>
    <w:rsid w:val="000359A3"/>
    <w:rsid w:val="00035D03"/>
    <w:rsid w:val="00036D57"/>
    <w:rsid w:val="000401EC"/>
    <w:rsid w:val="000408C3"/>
    <w:rsid w:val="000414D5"/>
    <w:rsid w:val="00041575"/>
    <w:rsid w:val="0004214C"/>
    <w:rsid w:val="00042629"/>
    <w:rsid w:val="00042E82"/>
    <w:rsid w:val="00043A7B"/>
    <w:rsid w:val="00044206"/>
    <w:rsid w:val="00044FDB"/>
    <w:rsid w:val="00047D7F"/>
    <w:rsid w:val="00050385"/>
    <w:rsid w:val="000515B8"/>
    <w:rsid w:val="00052776"/>
    <w:rsid w:val="00052DB9"/>
    <w:rsid w:val="00053203"/>
    <w:rsid w:val="00053313"/>
    <w:rsid w:val="00053DD2"/>
    <w:rsid w:val="0005413F"/>
    <w:rsid w:val="00054892"/>
    <w:rsid w:val="00055043"/>
    <w:rsid w:val="000554AE"/>
    <w:rsid w:val="000561F2"/>
    <w:rsid w:val="000566F2"/>
    <w:rsid w:val="000570AA"/>
    <w:rsid w:val="0006083E"/>
    <w:rsid w:val="00060A22"/>
    <w:rsid w:val="00061569"/>
    <w:rsid w:val="000616C3"/>
    <w:rsid w:val="00061C28"/>
    <w:rsid w:val="000621D8"/>
    <w:rsid w:val="00062227"/>
    <w:rsid w:val="0006347F"/>
    <w:rsid w:val="00063D4B"/>
    <w:rsid w:val="00064AF9"/>
    <w:rsid w:val="000678D2"/>
    <w:rsid w:val="000707D7"/>
    <w:rsid w:val="000716FC"/>
    <w:rsid w:val="00074FF3"/>
    <w:rsid w:val="00075F02"/>
    <w:rsid w:val="000762EE"/>
    <w:rsid w:val="0007664F"/>
    <w:rsid w:val="000774CD"/>
    <w:rsid w:val="000777EC"/>
    <w:rsid w:val="000809D7"/>
    <w:rsid w:val="0008110A"/>
    <w:rsid w:val="0008132D"/>
    <w:rsid w:val="00081CB4"/>
    <w:rsid w:val="00081CD4"/>
    <w:rsid w:val="0008247A"/>
    <w:rsid w:val="000841AC"/>
    <w:rsid w:val="00084646"/>
    <w:rsid w:val="000847EA"/>
    <w:rsid w:val="00084862"/>
    <w:rsid w:val="00084C3B"/>
    <w:rsid w:val="0008519A"/>
    <w:rsid w:val="00085AB1"/>
    <w:rsid w:val="00086892"/>
    <w:rsid w:val="00086FB1"/>
    <w:rsid w:val="00087A7B"/>
    <w:rsid w:val="00090102"/>
    <w:rsid w:val="0009031D"/>
    <w:rsid w:val="00091766"/>
    <w:rsid w:val="00092ADF"/>
    <w:rsid w:val="00093B9A"/>
    <w:rsid w:val="00093C4D"/>
    <w:rsid w:val="00093EAA"/>
    <w:rsid w:val="000951A5"/>
    <w:rsid w:val="00095239"/>
    <w:rsid w:val="000979BF"/>
    <w:rsid w:val="000A02F8"/>
    <w:rsid w:val="000A09B5"/>
    <w:rsid w:val="000A1FBC"/>
    <w:rsid w:val="000A256B"/>
    <w:rsid w:val="000A2E5B"/>
    <w:rsid w:val="000A304F"/>
    <w:rsid w:val="000A42BC"/>
    <w:rsid w:val="000A47D3"/>
    <w:rsid w:val="000A4F0E"/>
    <w:rsid w:val="000A4F6B"/>
    <w:rsid w:val="000A5E6C"/>
    <w:rsid w:val="000A63A8"/>
    <w:rsid w:val="000A6DC2"/>
    <w:rsid w:val="000A7528"/>
    <w:rsid w:val="000A7815"/>
    <w:rsid w:val="000B16FF"/>
    <w:rsid w:val="000B3BC5"/>
    <w:rsid w:val="000B3CB0"/>
    <w:rsid w:val="000B45FD"/>
    <w:rsid w:val="000B491F"/>
    <w:rsid w:val="000B4961"/>
    <w:rsid w:val="000B4BA2"/>
    <w:rsid w:val="000B4F5A"/>
    <w:rsid w:val="000B5505"/>
    <w:rsid w:val="000B62DD"/>
    <w:rsid w:val="000B7DE5"/>
    <w:rsid w:val="000C00FB"/>
    <w:rsid w:val="000C0113"/>
    <w:rsid w:val="000C0761"/>
    <w:rsid w:val="000C14AF"/>
    <w:rsid w:val="000C15FF"/>
    <w:rsid w:val="000C189C"/>
    <w:rsid w:val="000C2227"/>
    <w:rsid w:val="000C23D6"/>
    <w:rsid w:val="000C242D"/>
    <w:rsid w:val="000C2B6F"/>
    <w:rsid w:val="000C2E02"/>
    <w:rsid w:val="000C2E50"/>
    <w:rsid w:val="000C30E6"/>
    <w:rsid w:val="000C3C0B"/>
    <w:rsid w:val="000C42C5"/>
    <w:rsid w:val="000C4C77"/>
    <w:rsid w:val="000C72D0"/>
    <w:rsid w:val="000C7377"/>
    <w:rsid w:val="000C7E35"/>
    <w:rsid w:val="000C7F1E"/>
    <w:rsid w:val="000D05DD"/>
    <w:rsid w:val="000D0AA3"/>
    <w:rsid w:val="000D15F4"/>
    <w:rsid w:val="000D24CF"/>
    <w:rsid w:val="000D4AB7"/>
    <w:rsid w:val="000D5C98"/>
    <w:rsid w:val="000D5FDA"/>
    <w:rsid w:val="000D629A"/>
    <w:rsid w:val="000D65D3"/>
    <w:rsid w:val="000D703F"/>
    <w:rsid w:val="000D7A62"/>
    <w:rsid w:val="000E09F8"/>
    <w:rsid w:val="000E0BA4"/>
    <w:rsid w:val="000E15E0"/>
    <w:rsid w:val="000E1808"/>
    <w:rsid w:val="000E2CCC"/>
    <w:rsid w:val="000E3524"/>
    <w:rsid w:val="000E403A"/>
    <w:rsid w:val="000E41A3"/>
    <w:rsid w:val="000E48B4"/>
    <w:rsid w:val="000E4961"/>
    <w:rsid w:val="000E56E7"/>
    <w:rsid w:val="000E64E2"/>
    <w:rsid w:val="000E691A"/>
    <w:rsid w:val="000E6A1D"/>
    <w:rsid w:val="000E6E6C"/>
    <w:rsid w:val="000E6F23"/>
    <w:rsid w:val="000E6FE7"/>
    <w:rsid w:val="000E7746"/>
    <w:rsid w:val="000E7A73"/>
    <w:rsid w:val="000F06EA"/>
    <w:rsid w:val="000F1315"/>
    <w:rsid w:val="000F19F1"/>
    <w:rsid w:val="000F218C"/>
    <w:rsid w:val="000F2466"/>
    <w:rsid w:val="000F28B6"/>
    <w:rsid w:val="000F2F2C"/>
    <w:rsid w:val="000F317C"/>
    <w:rsid w:val="000F3434"/>
    <w:rsid w:val="000F3E8A"/>
    <w:rsid w:val="000F4301"/>
    <w:rsid w:val="000F4722"/>
    <w:rsid w:val="000F4EB2"/>
    <w:rsid w:val="000F5769"/>
    <w:rsid w:val="000F6FC3"/>
    <w:rsid w:val="000F7BB5"/>
    <w:rsid w:val="000F7F8F"/>
    <w:rsid w:val="000F7FEE"/>
    <w:rsid w:val="00100880"/>
    <w:rsid w:val="00100D3F"/>
    <w:rsid w:val="001012B8"/>
    <w:rsid w:val="00101B95"/>
    <w:rsid w:val="00101DD6"/>
    <w:rsid w:val="00102188"/>
    <w:rsid w:val="001021BF"/>
    <w:rsid w:val="00103168"/>
    <w:rsid w:val="001037BF"/>
    <w:rsid w:val="00103815"/>
    <w:rsid w:val="001070E9"/>
    <w:rsid w:val="001111B1"/>
    <w:rsid w:val="00111D47"/>
    <w:rsid w:val="001144D7"/>
    <w:rsid w:val="00115D2C"/>
    <w:rsid w:val="0011642A"/>
    <w:rsid w:val="00116AA8"/>
    <w:rsid w:val="00120FCD"/>
    <w:rsid w:val="00123C24"/>
    <w:rsid w:val="00123DBB"/>
    <w:rsid w:val="00124826"/>
    <w:rsid w:val="001262C3"/>
    <w:rsid w:val="00126E29"/>
    <w:rsid w:val="00127B12"/>
    <w:rsid w:val="00130103"/>
    <w:rsid w:val="00131799"/>
    <w:rsid w:val="00131CFB"/>
    <w:rsid w:val="001324A2"/>
    <w:rsid w:val="001329CE"/>
    <w:rsid w:val="00133684"/>
    <w:rsid w:val="00133EAC"/>
    <w:rsid w:val="00134551"/>
    <w:rsid w:val="0013501E"/>
    <w:rsid w:val="001355F8"/>
    <w:rsid w:val="00136CFF"/>
    <w:rsid w:val="001378B7"/>
    <w:rsid w:val="00140126"/>
    <w:rsid w:val="0014029D"/>
    <w:rsid w:val="00140381"/>
    <w:rsid w:val="0014095D"/>
    <w:rsid w:val="00141072"/>
    <w:rsid w:val="00141C41"/>
    <w:rsid w:val="00141FCE"/>
    <w:rsid w:val="00142A08"/>
    <w:rsid w:val="001435B7"/>
    <w:rsid w:val="00143972"/>
    <w:rsid w:val="00143CD6"/>
    <w:rsid w:val="00144679"/>
    <w:rsid w:val="00144C26"/>
    <w:rsid w:val="00144DAA"/>
    <w:rsid w:val="0014523E"/>
    <w:rsid w:val="0014547C"/>
    <w:rsid w:val="001462FE"/>
    <w:rsid w:val="00147868"/>
    <w:rsid w:val="00147F9C"/>
    <w:rsid w:val="0015087A"/>
    <w:rsid w:val="00150AF7"/>
    <w:rsid w:val="00150AFA"/>
    <w:rsid w:val="00151094"/>
    <w:rsid w:val="00151099"/>
    <w:rsid w:val="00151705"/>
    <w:rsid w:val="001526A8"/>
    <w:rsid w:val="0015399E"/>
    <w:rsid w:val="00154430"/>
    <w:rsid w:val="001545FE"/>
    <w:rsid w:val="00155AA6"/>
    <w:rsid w:val="00157756"/>
    <w:rsid w:val="001579A8"/>
    <w:rsid w:val="00157EBE"/>
    <w:rsid w:val="00160D04"/>
    <w:rsid w:val="00161DD5"/>
    <w:rsid w:val="00162A18"/>
    <w:rsid w:val="001633C6"/>
    <w:rsid w:val="00164355"/>
    <w:rsid w:val="0016470D"/>
    <w:rsid w:val="00165DF8"/>
    <w:rsid w:val="00165EBE"/>
    <w:rsid w:val="00167908"/>
    <w:rsid w:val="001701DD"/>
    <w:rsid w:val="00170368"/>
    <w:rsid w:val="001708FF"/>
    <w:rsid w:val="001719D9"/>
    <w:rsid w:val="001736C0"/>
    <w:rsid w:val="00174F00"/>
    <w:rsid w:val="001751C1"/>
    <w:rsid w:val="00175744"/>
    <w:rsid w:val="00176080"/>
    <w:rsid w:val="00180156"/>
    <w:rsid w:val="00180F8C"/>
    <w:rsid w:val="00181133"/>
    <w:rsid w:val="001813B0"/>
    <w:rsid w:val="001834C0"/>
    <w:rsid w:val="00183CAC"/>
    <w:rsid w:val="00184C0D"/>
    <w:rsid w:val="00184E1A"/>
    <w:rsid w:val="00184FCE"/>
    <w:rsid w:val="00186100"/>
    <w:rsid w:val="00186DF0"/>
    <w:rsid w:val="00187108"/>
    <w:rsid w:val="00187C47"/>
    <w:rsid w:val="00190617"/>
    <w:rsid w:val="001908BF"/>
    <w:rsid w:val="0019187A"/>
    <w:rsid w:val="00191880"/>
    <w:rsid w:val="00192495"/>
    <w:rsid w:val="00192895"/>
    <w:rsid w:val="00192EC7"/>
    <w:rsid w:val="001936B5"/>
    <w:rsid w:val="00193851"/>
    <w:rsid w:val="0019538E"/>
    <w:rsid w:val="0019646F"/>
    <w:rsid w:val="00196955"/>
    <w:rsid w:val="001969C3"/>
    <w:rsid w:val="001969CC"/>
    <w:rsid w:val="00197E9E"/>
    <w:rsid w:val="001A0460"/>
    <w:rsid w:val="001A2905"/>
    <w:rsid w:val="001A3BA6"/>
    <w:rsid w:val="001A4A0D"/>
    <w:rsid w:val="001A4EB4"/>
    <w:rsid w:val="001A5664"/>
    <w:rsid w:val="001A6E16"/>
    <w:rsid w:val="001A706B"/>
    <w:rsid w:val="001A745C"/>
    <w:rsid w:val="001A785F"/>
    <w:rsid w:val="001B1D76"/>
    <w:rsid w:val="001B2063"/>
    <w:rsid w:val="001B2320"/>
    <w:rsid w:val="001B2E07"/>
    <w:rsid w:val="001B35A5"/>
    <w:rsid w:val="001B35A9"/>
    <w:rsid w:val="001B60ED"/>
    <w:rsid w:val="001B6446"/>
    <w:rsid w:val="001B670F"/>
    <w:rsid w:val="001C092E"/>
    <w:rsid w:val="001C1885"/>
    <w:rsid w:val="001C23C3"/>
    <w:rsid w:val="001C26B2"/>
    <w:rsid w:val="001C3C61"/>
    <w:rsid w:val="001C3FAB"/>
    <w:rsid w:val="001C4551"/>
    <w:rsid w:val="001C4ADC"/>
    <w:rsid w:val="001C518E"/>
    <w:rsid w:val="001C5CA1"/>
    <w:rsid w:val="001C761C"/>
    <w:rsid w:val="001D07E0"/>
    <w:rsid w:val="001D07EA"/>
    <w:rsid w:val="001D083F"/>
    <w:rsid w:val="001D0C2E"/>
    <w:rsid w:val="001D1014"/>
    <w:rsid w:val="001D1451"/>
    <w:rsid w:val="001D19E3"/>
    <w:rsid w:val="001D1B21"/>
    <w:rsid w:val="001D2810"/>
    <w:rsid w:val="001D30E4"/>
    <w:rsid w:val="001D3E06"/>
    <w:rsid w:val="001D514B"/>
    <w:rsid w:val="001D55CE"/>
    <w:rsid w:val="001D5BC9"/>
    <w:rsid w:val="001D753B"/>
    <w:rsid w:val="001D7C9A"/>
    <w:rsid w:val="001E12A4"/>
    <w:rsid w:val="001E1586"/>
    <w:rsid w:val="001E1F0B"/>
    <w:rsid w:val="001E2657"/>
    <w:rsid w:val="001E29C0"/>
    <w:rsid w:val="001E3ACB"/>
    <w:rsid w:val="001E415F"/>
    <w:rsid w:val="001E41A3"/>
    <w:rsid w:val="001E4740"/>
    <w:rsid w:val="001E4F75"/>
    <w:rsid w:val="001E506E"/>
    <w:rsid w:val="001E6014"/>
    <w:rsid w:val="001E6304"/>
    <w:rsid w:val="001E6BB2"/>
    <w:rsid w:val="001E6F13"/>
    <w:rsid w:val="001E704C"/>
    <w:rsid w:val="001E760E"/>
    <w:rsid w:val="001E78FC"/>
    <w:rsid w:val="001F02DA"/>
    <w:rsid w:val="001F0969"/>
    <w:rsid w:val="001F17C4"/>
    <w:rsid w:val="001F1CFC"/>
    <w:rsid w:val="001F2F2A"/>
    <w:rsid w:val="001F49CE"/>
    <w:rsid w:val="001F5308"/>
    <w:rsid w:val="001F680D"/>
    <w:rsid w:val="001F69AE"/>
    <w:rsid w:val="001F6F69"/>
    <w:rsid w:val="001F705A"/>
    <w:rsid w:val="0020187B"/>
    <w:rsid w:val="00201990"/>
    <w:rsid w:val="00204209"/>
    <w:rsid w:val="00204C12"/>
    <w:rsid w:val="00204C17"/>
    <w:rsid w:val="00205410"/>
    <w:rsid w:val="00205A74"/>
    <w:rsid w:val="0020633F"/>
    <w:rsid w:val="00210728"/>
    <w:rsid w:val="00210BD4"/>
    <w:rsid w:val="00210D8B"/>
    <w:rsid w:val="002114D0"/>
    <w:rsid w:val="002123A5"/>
    <w:rsid w:val="00213233"/>
    <w:rsid w:val="002137D0"/>
    <w:rsid w:val="00213BDB"/>
    <w:rsid w:val="002141AD"/>
    <w:rsid w:val="002148CE"/>
    <w:rsid w:val="00214963"/>
    <w:rsid w:val="00214B14"/>
    <w:rsid w:val="00215865"/>
    <w:rsid w:val="002161C0"/>
    <w:rsid w:val="0021689E"/>
    <w:rsid w:val="002170CF"/>
    <w:rsid w:val="00217FA2"/>
    <w:rsid w:val="00220064"/>
    <w:rsid w:val="00220C62"/>
    <w:rsid w:val="002224C8"/>
    <w:rsid w:val="00222D73"/>
    <w:rsid w:val="00222FE0"/>
    <w:rsid w:val="00223F3E"/>
    <w:rsid w:val="00225BBE"/>
    <w:rsid w:val="0022780A"/>
    <w:rsid w:val="00230E1D"/>
    <w:rsid w:val="00231D3E"/>
    <w:rsid w:val="002325C9"/>
    <w:rsid w:val="002327F7"/>
    <w:rsid w:val="00232BC3"/>
    <w:rsid w:val="00235C9A"/>
    <w:rsid w:val="002374E2"/>
    <w:rsid w:val="00240248"/>
    <w:rsid w:val="002404D8"/>
    <w:rsid w:val="002411EA"/>
    <w:rsid w:val="00241C96"/>
    <w:rsid w:val="002421AA"/>
    <w:rsid w:val="00243172"/>
    <w:rsid w:val="00243740"/>
    <w:rsid w:val="00244BD8"/>
    <w:rsid w:val="00245159"/>
    <w:rsid w:val="00245F0E"/>
    <w:rsid w:val="00245F8B"/>
    <w:rsid w:val="002464A2"/>
    <w:rsid w:val="00246999"/>
    <w:rsid w:val="0024715F"/>
    <w:rsid w:val="002474C7"/>
    <w:rsid w:val="002503FA"/>
    <w:rsid w:val="00251319"/>
    <w:rsid w:val="00251F99"/>
    <w:rsid w:val="00252E55"/>
    <w:rsid w:val="002537E5"/>
    <w:rsid w:val="002538ED"/>
    <w:rsid w:val="00254F74"/>
    <w:rsid w:val="002551D3"/>
    <w:rsid w:val="002554DF"/>
    <w:rsid w:val="002564D0"/>
    <w:rsid w:val="002579F9"/>
    <w:rsid w:val="002602A9"/>
    <w:rsid w:val="00260EEE"/>
    <w:rsid w:val="00263C9A"/>
    <w:rsid w:val="0026425F"/>
    <w:rsid w:val="00265E70"/>
    <w:rsid w:val="00266C85"/>
    <w:rsid w:val="00267CD8"/>
    <w:rsid w:val="0027008D"/>
    <w:rsid w:val="00271298"/>
    <w:rsid w:val="00271B25"/>
    <w:rsid w:val="00271DCB"/>
    <w:rsid w:val="00273C41"/>
    <w:rsid w:val="002740EC"/>
    <w:rsid w:val="002761B0"/>
    <w:rsid w:val="00276C3B"/>
    <w:rsid w:val="00276FD9"/>
    <w:rsid w:val="002772B1"/>
    <w:rsid w:val="002802EC"/>
    <w:rsid w:val="002836B6"/>
    <w:rsid w:val="00283D3D"/>
    <w:rsid w:val="002843FB"/>
    <w:rsid w:val="002845D0"/>
    <w:rsid w:val="00284F51"/>
    <w:rsid w:val="00286B91"/>
    <w:rsid w:val="002870B0"/>
    <w:rsid w:val="00287A01"/>
    <w:rsid w:val="002907EB"/>
    <w:rsid w:val="002909CC"/>
    <w:rsid w:val="00291A6E"/>
    <w:rsid w:val="00292850"/>
    <w:rsid w:val="002932A8"/>
    <w:rsid w:val="00294266"/>
    <w:rsid w:val="002959E9"/>
    <w:rsid w:val="00295D99"/>
    <w:rsid w:val="00296368"/>
    <w:rsid w:val="00296BE0"/>
    <w:rsid w:val="00297555"/>
    <w:rsid w:val="002975A8"/>
    <w:rsid w:val="002A0833"/>
    <w:rsid w:val="002A1430"/>
    <w:rsid w:val="002A1629"/>
    <w:rsid w:val="002A17FD"/>
    <w:rsid w:val="002A26B8"/>
    <w:rsid w:val="002A30FD"/>
    <w:rsid w:val="002A4645"/>
    <w:rsid w:val="002A471D"/>
    <w:rsid w:val="002A4938"/>
    <w:rsid w:val="002A4CD9"/>
    <w:rsid w:val="002A66C9"/>
    <w:rsid w:val="002A6C72"/>
    <w:rsid w:val="002B0E0D"/>
    <w:rsid w:val="002B27CE"/>
    <w:rsid w:val="002B2893"/>
    <w:rsid w:val="002B3F8E"/>
    <w:rsid w:val="002B4A92"/>
    <w:rsid w:val="002B5006"/>
    <w:rsid w:val="002B592F"/>
    <w:rsid w:val="002B5969"/>
    <w:rsid w:val="002B6F36"/>
    <w:rsid w:val="002B726C"/>
    <w:rsid w:val="002B76F0"/>
    <w:rsid w:val="002C0ED5"/>
    <w:rsid w:val="002C17C8"/>
    <w:rsid w:val="002C1F20"/>
    <w:rsid w:val="002C27A4"/>
    <w:rsid w:val="002C27B9"/>
    <w:rsid w:val="002C3431"/>
    <w:rsid w:val="002C3DA4"/>
    <w:rsid w:val="002C485A"/>
    <w:rsid w:val="002C509B"/>
    <w:rsid w:val="002C61D2"/>
    <w:rsid w:val="002C6572"/>
    <w:rsid w:val="002C6A4A"/>
    <w:rsid w:val="002C7A7D"/>
    <w:rsid w:val="002D0842"/>
    <w:rsid w:val="002D0934"/>
    <w:rsid w:val="002D123B"/>
    <w:rsid w:val="002D18AF"/>
    <w:rsid w:val="002D3426"/>
    <w:rsid w:val="002D3764"/>
    <w:rsid w:val="002D460E"/>
    <w:rsid w:val="002D58E5"/>
    <w:rsid w:val="002D6F21"/>
    <w:rsid w:val="002D7115"/>
    <w:rsid w:val="002D7FA2"/>
    <w:rsid w:val="002E597A"/>
    <w:rsid w:val="002E62C8"/>
    <w:rsid w:val="002E6C34"/>
    <w:rsid w:val="002F0C53"/>
    <w:rsid w:val="002F0E38"/>
    <w:rsid w:val="002F11CA"/>
    <w:rsid w:val="002F1813"/>
    <w:rsid w:val="002F1B43"/>
    <w:rsid w:val="002F1E68"/>
    <w:rsid w:val="002F27F0"/>
    <w:rsid w:val="002F2918"/>
    <w:rsid w:val="002F2D35"/>
    <w:rsid w:val="002F3471"/>
    <w:rsid w:val="002F35F0"/>
    <w:rsid w:val="002F3933"/>
    <w:rsid w:val="002F3D1A"/>
    <w:rsid w:val="002F7D8C"/>
    <w:rsid w:val="003005A4"/>
    <w:rsid w:val="00301378"/>
    <w:rsid w:val="003016D8"/>
    <w:rsid w:val="003022B7"/>
    <w:rsid w:val="0030250E"/>
    <w:rsid w:val="003027E8"/>
    <w:rsid w:val="00302A01"/>
    <w:rsid w:val="00303874"/>
    <w:rsid w:val="00304063"/>
    <w:rsid w:val="003048AC"/>
    <w:rsid w:val="00305247"/>
    <w:rsid w:val="00305715"/>
    <w:rsid w:val="00306085"/>
    <w:rsid w:val="00306521"/>
    <w:rsid w:val="003066E3"/>
    <w:rsid w:val="00306B05"/>
    <w:rsid w:val="00307DF7"/>
    <w:rsid w:val="00310B0D"/>
    <w:rsid w:val="00310F86"/>
    <w:rsid w:val="00314599"/>
    <w:rsid w:val="003151D7"/>
    <w:rsid w:val="00316064"/>
    <w:rsid w:val="00317006"/>
    <w:rsid w:val="00317A24"/>
    <w:rsid w:val="003216BC"/>
    <w:rsid w:val="003221A0"/>
    <w:rsid w:val="0032221B"/>
    <w:rsid w:val="003230EF"/>
    <w:rsid w:val="00323890"/>
    <w:rsid w:val="003240A4"/>
    <w:rsid w:val="0032435A"/>
    <w:rsid w:val="003264B9"/>
    <w:rsid w:val="00326616"/>
    <w:rsid w:val="0032688C"/>
    <w:rsid w:val="003273F9"/>
    <w:rsid w:val="00327719"/>
    <w:rsid w:val="00330152"/>
    <w:rsid w:val="003302AA"/>
    <w:rsid w:val="0033082E"/>
    <w:rsid w:val="0033144F"/>
    <w:rsid w:val="003314C7"/>
    <w:rsid w:val="00332C23"/>
    <w:rsid w:val="00332EB2"/>
    <w:rsid w:val="00333B42"/>
    <w:rsid w:val="00333CEB"/>
    <w:rsid w:val="00335F95"/>
    <w:rsid w:val="00337131"/>
    <w:rsid w:val="00337F77"/>
    <w:rsid w:val="00343ECD"/>
    <w:rsid w:val="00344757"/>
    <w:rsid w:val="003450FE"/>
    <w:rsid w:val="0034531C"/>
    <w:rsid w:val="00346159"/>
    <w:rsid w:val="003472B2"/>
    <w:rsid w:val="00347E96"/>
    <w:rsid w:val="003505BA"/>
    <w:rsid w:val="00350B75"/>
    <w:rsid w:val="00350D96"/>
    <w:rsid w:val="00350E7D"/>
    <w:rsid w:val="0035140D"/>
    <w:rsid w:val="00351881"/>
    <w:rsid w:val="00352C8E"/>
    <w:rsid w:val="003533B9"/>
    <w:rsid w:val="00353D61"/>
    <w:rsid w:val="00354EA4"/>
    <w:rsid w:val="00355132"/>
    <w:rsid w:val="0035534A"/>
    <w:rsid w:val="00356AA4"/>
    <w:rsid w:val="00357426"/>
    <w:rsid w:val="00360B45"/>
    <w:rsid w:val="00361663"/>
    <w:rsid w:val="0036167B"/>
    <w:rsid w:val="00361A05"/>
    <w:rsid w:val="00361EE0"/>
    <w:rsid w:val="00363DED"/>
    <w:rsid w:val="00363FE3"/>
    <w:rsid w:val="0036519A"/>
    <w:rsid w:val="0036562F"/>
    <w:rsid w:val="00365EC5"/>
    <w:rsid w:val="00366511"/>
    <w:rsid w:val="00366E9A"/>
    <w:rsid w:val="00367D75"/>
    <w:rsid w:val="00367DEA"/>
    <w:rsid w:val="0037108B"/>
    <w:rsid w:val="003710E0"/>
    <w:rsid w:val="0037160D"/>
    <w:rsid w:val="0037172B"/>
    <w:rsid w:val="00371B0A"/>
    <w:rsid w:val="00372E74"/>
    <w:rsid w:val="00374036"/>
    <w:rsid w:val="00374168"/>
    <w:rsid w:val="00374478"/>
    <w:rsid w:val="003745C7"/>
    <w:rsid w:val="00374796"/>
    <w:rsid w:val="003751EF"/>
    <w:rsid w:val="0037592F"/>
    <w:rsid w:val="00375C73"/>
    <w:rsid w:val="00376336"/>
    <w:rsid w:val="00376D56"/>
    <w:rsid w:val="00377598"/>
    <w:rsid w:val="00377BC2"/>
    <w:rsid w:val="00377EEF"/>
    <w:rsid w:val="00380420"/>
    <w:rsid w:val="00381009"/>
    <w:rsid w:val="003813F2"/>
    <w:rsid w:val="00382F13"/>
    <w:rsid w:val="00383B05"/>
    <w:rsid w:val="003852AD"/>
    <w:rsid w:val="00385535"/>
    <w:rsid w:val="00385BE4"/>
    <w:rsid w:val="00387096"/>
    <w:rsid w:val="00390EC1"/>
    <w:rsid w:val="003910F7"/>
    <w:rsid w:val="00391F51"/>
    <w:rsid w:val="003926A0"/>
    <w:rsid w:val="003929D7"/>
    <w:rsid w:val="00393F4B"/>
    <w:rsid w:val="0039405D"/>
    <w:rsid w:val="003942E5"/>
    <w:rsid w:val="00394549"/>
    <w:rsid w:val="00394713"/>
    <w:rsid w:val="00395511"/>
    <w:rsid w:val="0039592A"/>
    <w:rsid w:val="00395A99"/>
    <w:rsid w:val="003962D2"/>
    <w:rsid w:val="003964AE"/>
    <w:rsid w:val="00397606"/>
    <w:rsid w:val="00397699"/>
    <w:rsid w:val="003A1744"/>
    <w:rsid w:val="003A26C9"/>
    <w:rsid w:val="003A29FE"/>
    <w:rsid w:val="003A2F8A"/>
    <w:rsid w:val="003A341A"/>
    <w:rsid w:val="003A35EF"/>
    <w:rsid w:val="003A4526"/>
    <w:rsid w:val="003A61E3"/>
    <w:rsid w:val="003B12ED"/>
    <w:rsid w:val="003B1B72"/>
    <w:rsid w:val="003B3DFE"/>
    <w:rsid w:val="003B754C"/>
    <w:rsid w:val="003B7562"/>
    <w:rsid w:val="003B7892"/>
    <w:rsid w:val="003C0974"/>
    <w:rsid w:val="003C0B95"/>
    <w:rsid w:val="003C0BED"/>
    <w:rsid w:val="003C13C4"/>
    <w:rsid w:val="003C1C56"/>
    <w:rsid w:val="003C23BC"/>
    <w:rsid w:val="003C2C89"/>
    <w:rsid w:val="003C3240"/>
    <w:rsid w:val="003C4E7D"/>
    <w:rsid w:val="003C5576"/>
    <w:rsid w:val="003C6639"/>
    <w:rsid w:val="003C7EB3"/>
    <w:rsid w:val="003C7EBD"/>
    <w:rsid w:val="003D0D4F"/>
    <w:rsid w:val="003D1110"/>
    <w:rsid w:val="003D278F"/>
    <w:rsid w:val="003D2B62"/>
    <w:rsid w:val="003D38F6"/>
    <w:rsid w:val="003D3ACC"/>
    <w:rsid w:val="003D41D9"/>
    <w:rsid w:val="003D4966"/>
    <w:rsid w:val="003D5211"/>
    <w:rsid w:val="003D5C33"/>
    <w:rsid w:val="003D6260"/>
    <w:rsid w:val="003D628D"/>
    <w:rsid w:val="003D6640"/>
    <w:rsid w:val="003D7365"/>
    <w:rsid w:val="003E00B2"/>
    <w:rsid w:val="003E0D81"/>
    <w:rsid w:val="003E11DB"/>
    <w:rsid w:val="003E1300"/>
    <w:rsid w:val="003E2A44"/>
    <w:rsid w:val="003E2FF2"/>
    <w:rsid w:val="003E3842"/>
    <w:rsid w:val="003E3E1A"/>
    <w:rsid w:val="003E4C16"/>
    <w:rsid w:val="003E4CDC"/>
    <w:rsid w:val="003E4D33"/>
    <w:rsid w:val="003E675E"/>
    <w:rsid w:val="003E7453"/>
    <w:rsid w:val="003E7B33"/>
    <w:rsid w:val="003F0542"/>
    <w:rsid w:val="003F06A2"/>
    <w:rsid w:val="003F34AD"/>
    <w:rsid w:val="003F4439"/>
    <w:rsid w:val="003F489A"/>
    <w:rsid w:val="003F4A2E"/>
    <w:rsid w:val="003F531E"/>
    <w:rsid w:val="003F5364"/>
    <w:rsid w:val="003F5840"/>
    <w:rsid w:val="003F5DEB"/>
    <w:rsid w:val="003F5E03"/>
    <w:rsid w:val="003F62FA"/>
    <w:rsid w:val="003F6CE0"/>
    <w:rsid w:val="003F7FCF"/>
    <w:rsid w:val="004013D4"/>
    <w:rsid w:val="004019E7"/>
    <w:rsid w:val="0040223D"/>
    <w:rsid w:val="004024BC"/>
    <w:rsid w:val="00405525"/>
    <w:rsid w:val="0040685D"/>
    <w:rsid w:val="00406C3B"/>
    <w:rsid w:val="00407CBB"/>
    <w:rsid w:val="0041040F"/>
    <w:rsid w:val="0041053F"/>
    <w:rsid w:val="00411B7B"/>
    <w:rsid w:val="00411BC6"/>
    <w:rsid w:val="00412ED1"/>
    <w:rsid w:val="0041303F"/>
    <w:rsid w:val="00413427"/>
    <w:rsid w:val="00413D6F"/>
    <w:rsid w:val="0041505E"/>
    <w:rsid w:val="00415DEA"/>
    <w:rsid w:val="00415F62"/>
    <w:rsid w:val="00416378"/>
    <w:rsid w:val="00417730"/>
    <w:rsid w:val="00417F4B"/>
    <w:rsid w:val="00420007"/>
    <w:rsid w:val="0042004F"/>
    <w:rsid w:val="004208A1"/>
    <w:rsid w:val="00420B61"/>
    <w:rsid w:val="004212E2"/>
    <w:rsid w:val="00421878"/>
    <w:rsid w:val="00422F81"/>
    <w:rsid w:val="00425846"/>
    <w:rsid w:val="004259BF"/>
    <w:rsid w:val="00427AE6"/>
    <w:rsid w:val="00430522"/>
    <w:rsid w:val="00430D69"/>
    <w:rsid w:val="004312AF"/>
    <w:rsid w:val="00432A2E"/>
    <w:rsid w:val="00432E91"/>
    <w:rsid w:val="00432F67"/>
    <w:rsid w:val="00433311"/>
    <w:rsid w:val="00433DE2"/>
    <w:rsid w:val="00435371"/>
    <w:rsid w:val="00435D5A"/>
    <w:rsid w:val="0043676F"/>
    <w:rsid w:val="00436C6F"/>
    <w:rsid w:val="00436F6A"/>
    <w:rsid w:val="00437118"/>
    <w:rsid w:val="00437F93"/>
    <w:rsid w:val="0044100B"/>
    <w:rsid w:val="004411D6"/>
    <w:rsid w:val="00442883"/>
    <w:rsid w:val="00442A92"/>
    <w:rsid w:val="00443891"/>
    <w:rsid w:val="00444602"/>
    <w:rsid w:val="004452C0"/>
    <w:rsid w:val="00445E46"/>
    <w:rsid w:val="00447398"/>
    <w:rsid w:val="0044797B"/>
    <w:rsid w:val="00450610"/>
    <w:rsid w:val="00451183"/>
    <w:rsid w:val="004516A5"/>
    <w:rsid w:val="00451D8A"/>
    <w:rsid w:val="00452A4D"/>
    <w:rsid w:val="00453046"/>
    <w:rsid w:val="00453876"/>
    <w:rsid w:val="00453E63"/>
    <w:rsid w:val="0045469A"/>
    <w:rsid w:val="004547BF"/>
    <w:rsid w:val="00454EEE"/>
    <w:rsid w:val="00456963"/>
    <w:rsid w:val="00457458"/>
    <w:rsid w:val="00457DDC"/>
    <w:rsid w:val="004608D9"/>
    <w:rsid w:val="00462771"/>
    <w:rsid w:val="00462D32"/>
    <w:rsid w:val="0046390A"/>
    <w:rsid w:val="00464F08"/>
    <w:rsid w:val="00465248"/>
    <w:rsid w:val="00465E45"/>
    <w:rsid w:val="00466104"/>
    <w:rsid w:val="004662F7"/>
    <w:rsid w:val="004667D8"/>
    <w:rsid w:val="00466A68"/>
    <w:rsid w:val="0046716F"/>
    <w:rsid w:val="0047145E"/>
    <w:rsid w:val="00471D80"/>
    <w:rsid w:val="004723AF"/>
    <w:rsid w:val="00472EF3"/>
    <w:rsid w:val="00473154"/>
    <w:rsid w:val="00473F2F"/>
    <w:rsid w:val="00474554"/>
    <w:rsid w:val="004748CC"/>
    <w:rsid w:val="004753A1"/>
    <w:rsid w:val="00475A07"/>
    <w:rsid w:val="0047653C"/>
    <w:rsid w:val="004768F5"/>
    <w:rsid w:val="00477832"/>
    <w:rsid w:val="00480DBF"/>
    <w:rsid w:val="00482B6B"/>
    <w:rsid w:val="004835E3"/>
    <w:rsid w:val="00483EA1"/>
    <w:rsid w:val="004846DC"/>
    <w:rsid w:val="00485E51"/>
    <w:rsid w:val="004864E5"/>
    <w:rsid w:val="00486F89"/>
    <w:rsid w:val="00487ECC"/>
    <w:rsid w:val="0049198E"/>
    <w:rsid w:val="00491B6F"/>
    <w:rsid w:val="00492777"/>
    <w:rsid w:val="004928A5"/>
    <w:rsid w:val="00493F6A"/>
    <w:rsid w:val="00494321"/>
    <w:rsid w:val="004967BB"/>
    <w:rsid w:val="0049788E"/>
    <w:rsid w:val="004A0690"/>
    <w:rsid w:val="004A2972"/>
    <w:rsid w:val="004A3238"/>
    <w:rsid w:val="004A4B33"/>
    <w:rsid w:val="004A693E"/>
    <w:rsid w:val="004A6DAC"/>
    <w:rsid w:val="004A7279"/>
    <w:rsid w:val="004B018C"/>
    <w:rsid w:val="004B062F"/>
    <w:rsid w:val="004B0C56"/>
    <w:rsid w:val="004B1B86"/>
    <w:rsid w:val="004B23F4"/>
    <w:rsid w:val="004B2471"/>
    <w:rsid w:val="004B356E"/>
    <w:rsid w:val="004B3B76"/>
    <w:rsid w:val="004B4220"/>
    <w:rsid w:val="004B5B68"/>
    <w:rsid w:val="004B60D1"/>
    <w:rsid w:val="004B6A5C"/>
    <w:rsid w:val="004B7344"/>
    <w:rsid w:val="004B74E5"/>
    <w:rsid w:val="004B74F2"/>
    <w:rsid w:val="004C0289"/>
    <w:rsid w:val="004C05A5"/>
    <w:rsid w:val="004C2204"/>
    <w:rsid w:val="004C2818"/>
    <w:rsid w:val="004C2E17"/>
    <w:rsid w:val="004C3450"/>
    <w:rsid w:val="004C47C2"/>
    <w:rsid w:val="004C498B"/>
    <w:rsid w:val="004C7408"/>
    <w:rsid w:val="004C7505"/>
    <w:rsid w:val="004C7B3B"/>
    <w:rsid w:val="004D1758"/>
    <w:rsid w:val="004D1A2A"/>
    <w:rsid w:val="004D1E97"/>
    <w:rsid w:val="004D2851"/>
    <w:rsid w:val="004D2B40"/>
    <w:rsid w:val="004D32F2"/>
    <w:rsid w:val="004D4499"/>
    <w:rsid w:val="004D4C0F"/>
    <w:rsid w:val="004D5629"/>
    <w:rsid w:val="004D7560"/>
    <w:rsid w:val="004E0138"/>
    <w:rsid w:val="004E138D"/>
    <w:rsid w:val="004E2304"/>
    <w:rsid w:val="004E237C"/>
    <w:rsid w:val="004E2883"/>
    <w:rsid w:val="004E3184"/>
    <w:rsid w:val="004E32F0"/>
    <w:rsid w:val="004E404F"/>
    <w:rsid w:val="004E45B4"/>
    <w:rsid w:val="004E4C18"/>
    <w:rsid w:val="004E5702"/>
    <w:rsid w:val="004E5FAE"/>
    <w:rsid w:val="004E6733"/>
    <w:rsid w:val="004E6BDF"/>
    <w:rsid w:val="004E7802"/>
    <w:rsid w:val="004F0225"/>
    <w:rsid w:val="004F2970"/>
    <w:rsid w:val="004F34D4"/>
    <w:rsid w:val="004F3F67"/>
    <w:rsid w:val="004F4894"/>
    <w:rsid w:val="0050005B"/>
    <w:rsid w:val="00500477"/>
    <w:rsid w:val="005007E7"/>
    <w:rsid w:val="005010F0"/>
    <w:rsid w:val="005016F5"/>
    <w:rsid w:val="00501DD8"/>
    <w:rsid w:val="005020F3"/>
    <w:rsid w:val="00502B97"/>
    <w:rsid w:val="0050370F"/>
    <w:rsid w:val="00504486"/>
    <w:rsid w:val="00504F1F"/>
    <w:rsid w:val="0050516E"/>
    <w:rsid w:val="00505389"/>
    <w:rsid w:val="005055CF"/>
    <w:rsid w:val="005066A4"/>
    <w:rsid w:val="00506B7B"/>
    <w:rsid w:val="00507168"/>
    <w:rsid w:val="00507313"/>
    <w:rsid w:val="00507F3F"/>
    <w:rsid w:val="00510F5F"/>
    <w:rsid w:val="00511122"/>
    <w:rsid w:val="005113A7"/>
    <w:rsid w:val="00511594"/>
    <w:rsid w:val="00511DF3"/>
    <w:rsid w:val="00511ED0"/>
    <w:rsid w:val="00512BD4"/>
    <w:rsid w:val="005138D1"/>
    <w:rsid w:val="00513940"/>
    <w:rsid w:val="005150ED"/>
    <w:rsid w:val="00516B05"/>
    <w:rsid w:val="00516B29"/>
    <w:rsid w:val="00517B14"/>
    <w:rsid w:val="00521710"/>
    <w:rsid w:val="00523469"/>
    <w:rsid w:val="00524F84"/>
    <w:rsid w:val="0052614E"/>
    <w:rsid w:val="0052637C"/>
    <w:rsid w:val="005269D3"/>
    <w:rsid w:val="00527177"/>
    <w:rsid w:val="00527C3D"/>
    <w:rsid w:val="00530309"/>
    <w:rsid w:val="00530BF0"/>
    <w:rsid w:val="0053208B"/>
    <w:rsid w:val="005326C8"/>
    <w:rsid w:val="00532BE2"/>
    <w:rsid w:val="00533364"/>
    <w:rsid w:val="00534D38"/>
    <w:rsid w:val="00535A2C"/>
    <w:rsid w:val="005371C9"/>
    <w:rsid w:val="00540ADC"/>
    <w:rsid w:val="00542BB7"/>
    <w:rsid w:val="005439B5"/>
    <w:rsid w:val="00543CB0"/>
    <w:rsid w:val="005441C4"/>
    <w:rsid w:val="0054486E"/>
    <w:rsid w:val="00544A73"/>
    <w:rsid w:val="005468A6"/>
    <w:rsid w:val="005476F9"/>
    <w:rsid w:val="00550592"/>
    <w:rsid w:val="00550727"/>
    <w:rsid w:val="00551733"/>
    <w:rsid w:val="00551BC4"/>
    <w:rsid w:val="00552537"/>
    <w:rsid w:val="00552A47"/>
    <w:rsid w:val="00552B02"/>
    <w:rsid w:val="00553651"/>
    <w:rsid w:val="0055460E"/>
    <w:rsid w:val="0055568A"/>
    <w:rsid w:val="00556D57"/>
    <w:rsid w:val="005577EB"/>
    <w:rsid w:val="00557A83"/>
    <w:rsid w:val="00557FC6"/>
    <w:rsid w:val="005601E7"/>
    <w:rsid w:val="00560232"/>
    <w:rsid w:val="00561B22"/>
    <w:rsid w:val="00561CE8"/>
    <w:rsid w:val="005620F3"/>
    <w:rsid w:val="005621BD"/>
    <w:rsid w:val="0056325B"/>
    <w:rsid w:val="00563307"/>
    <w:rsid w:val="0056399C"/>
    <w:rsid w:val="005643AA"/>
    <w:rsid w:val="005649F7"/>
    <w:rsid w:val="0056506C"/>
    <w:rsid w:val="005662C0"/>
    <w:rsid w:val="005666DA"/>
    <w:rsid w:val="00566E27"/>
    <w:rsid w:val="0056755A"/>
    <w:rsid w:val="00567BE5"/>
    <w:rsid w:val="0057078C"/>
    <w:rsid w:val="00570BE7"/>
    <w:rsid w:val="00571047"/>
    <w:rsid w:val="00571257"/>
    <w:rsid w:val="005714C2"/>
    <w:rsid w:val="00573A20"/>
    <w:rsid w:val="005741F2"/>
    <w:rsid w:val="005741F8"/>
    <w:rsid w:val="0057572E"/>
    <w:rsid w:val="005759C2"/>
    <w:rsid w:val="00575ADF"/>
    <w:rsid w:val="0057691D"/>
    <w:rsid w:val="00576C45"/>
    <w:rsid w:val="00577692"/>
    <w:rsid w:val="005778E9"/>
    <w:rsid w:val="00577A93"/>
    <w:rsid w:val="00580487"/>
    <w:rsid w:val="00580600"/>
    <w:rsid w:val="00580900"/>
    <w:rsid w:val="005817B9"/>
    <w:rsid w:val="005823C0"/>
    <w:rsid w:val="00582D3B"/>
    <w:rsid w:val="00584280"/>
    <w:rsid w:val="00584A02"/>
    <w:rsid w:val="005856EC"/>
    <w:rsid w:val="00585D0A"/>
    <w:rsid w:val="005867A4"/>
    <w:rsid w:val="00586938"/>
    <w:rsid w:val="00586C19"/>
    <w:rsid w:val="00587620"/>
    <w:rsid w:val="00587E8D"/>
    <w:rsid w:val="0059033F"/>
    <w:rsid w:val="005909BC"/>
    <w:rsid w:val="00591110"/>
    <w:rsid w:val="005928A1"/>
    <w:rsid w:val="00592949"/>
    <w:rsid w:val="0059374C"/>
    <w:rsid w:val="00594520"/>
    <w:rsid w:val="00594744"/>
    <w:rsid w:val="0059566F"/>
    <w:rsid w:val="00596518"/>
    <w:rsid w:val="00596C71"/>
    <w:rsid w:val="005972DE"/>
    <w:rsid w:val="005A28B0"/>
    <w:rsid w:val="005A3694"/>
    <w:rsid w:val="005A4508"/>
    <w:rsid w:val="005A48DC"/>
    <w:rsid w:val="005A4DF8"/>
    <w:rsid w:val="005A5001"/>
    <w:rsid w:val="005A5354"/>
    <w:rsid w:val="005A63D7"/>
    <w:rsid w:val="005A65FD"/>
    <w:rsid w:val="005A6BC0"/>
    <w:rsid w:val="005A728D"/>
    <w:rsid w:val="005A76CE"/>
    <w:rsid w:val="005A79C0"/>
    <w:rsid w:val="005A79F5"/>
    <w:rsid w:val="005A7A6B"/>
    <w:rsid w:val="005A7ADB"/>
    <w:rsid w:val="005B020F"/>
    <w:rsid w:val="005B071D"/>
    <w:rsid w:val="005B21E5"/>
    <w:rsid w:val="005B2880"/>
    <w:rsid w:val="005B29AE"/>
    <w:rsid w:val="005B2BB5"/>
    <w:rsid w:val="005B3F8F"/>
    <w:rsid w:val="005B44DE"/>
    <w:rsid w:val="005B46C4"/>
    <w:rsid w:val="005B57DF"/>
    <w:rsid w:val="005B77A7"/>
    <w:rsid w:val="005B7BC3"/>
    <w:rsid w:val="005B7E9A"/>
    <w:rsid w:val="005C090B"/>
    <w:rsid w:val="005C0E1F"/>
    <w:rsid w:val="005C129F"/>
    <w:rsid w:val="005C1561"/>
    <w:rsid w:val="005C23A8"/>
    <w:rsid w:val="005C28F8"/>
    <w:rsid w:val="005C2ACD"/>
    <w:rsid w:val="005C3D00"/>
    <w:rsid w:val="005C43EC"/>
    <w:rsid w:val="005C5DD1"/>
    <w:rsid w:val="005C69A9"/>
    <w:rsid w:val="005C6DBE"/>
    <w:rsid w:val="005C72A9"/>
    <w:rsid w:val="005C7A4A"/>
    <w:rsid w:val="005D045E"/>
    <w:rsid w:val="005D0D6E"/>
    <w:rsid w:val="005D117E"/>
    <w:rsid w:val="005D123F"/>
    <w:rsid w:val="005D217D"/>
    <w:rsid w:val="005D2FF4"/>
    <w:rsid w:val="005D4036"/>
    <w:rsid w:val="005D557F"/>
    <w:rsid w:val="005D5ECF"/>
    <w:rsid w:val="005D66AE"/>
    <w:rsid w:val="005D7D52"/>
    <w:rsid w:val="005E189D"/>
    <w:rsid w:val="005E1ADC"/>
    <w:rsid w:val="005E30A3"/>
    <w:rsid w:val="005E3888"/>
    <w:rsid w:val="005E42AC"/>
    <w:rsid w:val="005E5155"/>
    <w:rsid w:val="005E5391"/>
    <w:rsid w:val="005E5711"/>
    <w:rsid w:val="005E6291"/>
    <w:rsid w:val="005E6897"/>
    <w:rsid w:val="005E755D"/>
    <w:rsid w:val="005E7719"/>
    <w:rsid w:val="005F162E"/>
    <w:rsid w:val="005F1D41"/>
    <w:rsid w:val="005F1F2B"/>
    <w:rsid w:val="005F2B54"/>
    <w:rsid w:val="005F3A58"/>
    <w:rsid w:val="005F403F"/>
    <w:rsid w:val="005F4695"/>
    <w:rsid w:val="005F4807"/>
    <w:rsid w:val="005F5119"/>
    <w:rsid w:val="005F5C27"/>
    <w:rsid w:val="005F67A5"/>
    <w:rsid w:val="005F688A"/>
    <w:rsid w:val="005F76FC"/>
    <w:rsid w:val="00601227"/>
    <w:rsid w:val="006017CF"/>
    <w:rsid w:val="00601FDC"/>
    <w:rsid w:val="006029BF"/>
    <w:rsid w:val="00603125"/>
    <w:rsid w:val="00603813"/>
    <w:rsid w:val="0060405D"/>
    <w:rsid w:val="0060474C"/>
    <w:rsid w:val="00604FB6"/>
    <w:rsid w:val="0060632F"/>
    <w:rsid w:val="0060684B"/>
    <w:rsid w:val="0060685D"/>
    <w:rsid w:val="00610A63"/>
    <w:rsid w:val="00610D12"/>
    <w:rsid w:val="00611E80"/>
    <w:rsid w:val="006121C0"/>
    <w:rsid w:val="00613E41"/>
    <w:rsid w:val="006143EF"/>
    <w:rsid w:val="00614715"/>
    <w:rsid w:val="00620215"/>
    <w:rsid w:val="00621D91"/>
    <w:rsid w:val="006233AF"/>
    <w:rsid w:val="0062354D"/>
    <w:rsid w:val="006237E6"/>
    <w:rsid w:val="0062394F"/>
    <w:rsid w:val="00623DE3"/>
    <w:rsid w:val="006247C4"/>
    <w:rsid w:val="00624876"/>
    <w:rsid w:val="00624DFD"/>
    <w:rsid w:val="00625108"/>
    <w:rsid w:val="006253D8"/>
    <w:rsid w:val="006255D3"/>
    <w:rsid w:val="00625755"/>
    <w:rsid w:val="00625884"/>
    <w:rsid w:val="00626115"/>
    <w:rsid w:val="00627F15"/>
    <w:rsid w:val="00630626"/>
    <w:rsid w:val="00630704"/>
    <w:rsid w:val="006312D3"/>
    <w:rsid w:val="00631F1A"/>
    <w:rsid w:val="006325A1"/>
    <w:rsid w:val="00632C5D"/>
    <w:rsid w:val="00632CCB"/>
    <w:rsid w:val="006341D2"/>
    <w:rsid w:val="00634B89"/>
    <w:rsid w:val="00636EEB"/>
    <w:rsid w:val="006413CA"/>
    <w:rsid w:val="0064155A"/>
    <w:rsid w:val="00641ECF"/>
    <w:rsid w:val="00642F74"/>
    <w:rsid w:val="00644575"/>
    <w:rsid w:val="00644A8A"/>
    <w:rsid w:val="006464CD"/>
    <w:rsid w:val="00646AF9"/>
    <w:rsid w:val="00647910"/>
    <w:rsid w:val="00647EF8"/>
    <w:rsid w:val="00650278"/>
    <w:rsid w:val="006505E9"/>
    <w:rsid w:val="0065072D"/>
    <w:rsid w:val="006510B2"/>
    <w:rsid w:val="0065190A"/>
    <w:rsid w:val="00653595"/>
    <w:rsid w:val="00653EF1"/>
    <w:rsid w:val="0065463C"/>
    <w:rsid w:val="006552DA"/>
    <w:rsid w:val="0065557E"/>
    <w:rsid w:val="00656B8A"/>
    <w:rsid w:val="0065753C"/>
    <w:rsid w:val="006578F4"/>
    <w:rsid w:val="00657B02"/>
    <w:rsid w:val="00657E79"/>
    <w:rsid w:val="00660B03"/>
    <w:rsid w:val="0066161A"/>
    <w:rsid w:val="006621B9"/>
    <w:rsid w:val="006651F3"/>
    <w:rsid w:val="0066576F"/>
    <w:rsid w:val="00666AA2"/>
    <w:rsid w:val="00666C4D"/>
    <w:rsid w:val="00670FC3"/>
    <w:rsid w:val="00671DA1"/>
    <w:rsid w:val="0067214E"/>
    <w:rsid w:val="006735C9"/>
    <w:rsid w:val="0067480D"/>
    <w:rsid w:val="006755C5"/>
    <w:rsid w:val="00676063"/>
    <w:rsid w:val="006762DC"/>
    <w:rsid w:val="00680674"/>
    <w:rsid w:val="00681BD8"/>
    <w:rsid w:val="00681D03"/>
    <w:rsid w:val="00682232"/>
    <w:rsid w:val="006828F6"/>
    <w:rsid w:val="0068296C"/>
    <w:rsid w:val="00683065"/>
    <w:rsid w:val="006832D1"/>
    <w:rsid w:val="0068350C"/>
    <w:rsid w:val="006841F9"/>
    <w:rsid w:val="006874D8"/>
    <w:rsid w:val="00687C6E"/>
    <w:rsid w:val="00690D87"/>
    <w:rsid w:val="00691391"/>
    <w:rsid w:val="00691624"/>
    <w:rsid w:val="006920AA"/>
    <w:rsid w:val="00692C34"/>
    <w:rsid w:val="006935B0"/>
    <w:rsid w:val="006951E7"/>
    <w:rsid w:val="006954A8"/>
    <w:rsid w:val="00697198"/>
    <w:rsid w:val="006977D1"/>
    <w:rsid w:val="00697A91"/>
    <w:rsid w:val="00697E9D"/>
    <w:rsid w:val="006A00F7"/>
    <w:rsid w:val="006A0C5B"/>
    <w:rsid w:val="006A1144"/>
    <w:rsid w:val="006A2836"/>
    <w:rsid w:val="006A2E63"/>
    <w:rsid w:val="006A2F42"/>
    <w:rsid w:val="006A47AD"/>
    <w:rsid w:val="006A47F9"/>
    <w:rsid w:val="006A5446"/>
    <w:rsid w:val="006A545C"/>
    <w:rsid w:val="006A5541"/>
    <w:rsid w:val="006A5CAE"/>
    <w:rsid w:val="006A6200"/>
    <w:rsid w:val="006A6549"/>
    <w:rsid w:val="006A71B5"/>
    <w:rsid w:val="006B021B"/>
    <w:rsid w:val="006B1542"/>
    <w:rsid w:val="006B29C7"/>
    <w:rsid w:val="006B32AE"/>
    <w:rsid w:val="006B3E40"/>
    <w:rsid w:val="006B5305"/>
    <w:rsid w:val="006B570F"/>
    <w:rsid w:val="006B592D"/>
    <w:rsid w:val="006B749A"/>
    <w:rsid w:val="006B793D"/>
    <w:rsid w:val="006B7A04"/>
    <w:rsid w:val="006B7F08"/>
    <w:rsid w:val="006C1A2C"/>
    <w:rsid w:val="006C1C42"/>
    <w:rsid w:val="006C24CB"/>
    <w:rsid w:val="006C342B"/>
    <w:rsid w:val="006C478D"/>
    <w:rsid w:val="006C65D5"/>
    <w:rsid w:val="006C691C"/>
    <w:rsid w:val="006C72B5"/>
    <w:rsid w:val="006D0818"/>
    <w:rsid w:val="006D124A"/>
    <w:rsid w:val="006D17D8"/>
    <w:rsid w:val="006D1C2D"/>
    <w:rsid w:val="006D307C"/>
    <w:rsid w:val="006D3FB9"/>
    <w:rsid w:val="006D7572"/>
    <w:rsid w:val="006D7EEB"/>
    <w:rsid w:val="006E0450"/>
    <w:rsid w:val="006E069B"/>
    <w:rsid w:val="006E0A85"/>
    <w:rsid w:val="006E0C94"/>
    <w:rsid w:val="006E3A6C"/>
    <w:rsid w:val="006E3F70"/>
    <w:rsid w:val="006E48EB"/>
    <w:rsid w:val="006E4E5C"/>
    <w:rsid w:val="006E68CC"/>
    <w:rsid w:val="006E6DDF"/>
    <w:rsid w:val="006E720A"/>
    <w:rsid w:val="006E76A7"/>
    <w:rsid w:val="006F01DF"/>
    <w:rsid w:val="006F0316"/>
    <w:rsid w:val="006F115D"/>
    <w:rsid w:val="006F13D0"/>
    <w:rsid w:val="006F166B"/>
    <w:rsid w:val="006F229D"/>
    <w:rsid w:val="006F3556"/>
    <w:rsid w:val="006F363C"/>
    <w:rsid w:val="006F3C9E"/>
    <w:rsid w:val="006F3F09"/>
    <w:rsid w:val="006F457A"/>
    <w:rsid w:val="006F4709"/>
    <w:rsid w:val="006F5969"/>
    <w:rsid w:val="006F6383"/>
    <w:rsid w:val="00700308"/>
    <w:rsid w:val="0070107E"/>
    <w:rsid w:val="00701962"/>
    <w:rsid w:val="00701C9F"/>
    <w:rsid w:val="0070238A"/>
    <w:rsid w:val="0070249A"/>
    <w:rsid w:val="0070393D"/>
    <w:rsid w:val="00703CF1"/>
    <w:rsid w:val="0070458A"/>
    <w:rsid w:val="00705129"/>
    <w:rsid w:val="0070681F"/>
    <w:rsid w:val="00706BE8"/>
    <w:rsid w:val="0070777D"/>
    <w:rsid w:val="00707FAC"/>
    <w:rsid w:val="00710801"/>
    <w:rsid w:val="00711352"/>
    <w:rsid w:val="00712101"/>
    <w:rsid w:val="00713AFE"/>
    <w:rsid w:val="007165DE"/>
    <w:rsid w:val="0071683C"/>
    <w:rsid w:val="00717A33"/>
    <w:rsid w:val="00720AA8"/>
    <w:rsid w:val="0072125E"/>
    <w:rsid w:val="00721FEF"/>
    <w:rsid w:val="007225F7"/>
    <w:rsid w:val="00722FCB"/>
    <w:rsid w:val="00723F11"/>
    <w:rsid w:val="00724E8F"/>
    <w:rsid w:val="00725D6F"/>
    <w:rsid w:val="00726F37"/>
    <w:rsid w:val="007272EB"/>
    <w:rsid w:val="007308C9"/>
    <w:rsid w:val="00732006"/>
    <w:rsid w:val="00740050"/>
    <w:rsid w:val="007407C1"/>
    <w:rsid w:val="00741963"/>
    <w:rsid w:val="00741C7B"/>
    <w:rsid w:val="007423D6"/>
    <w:rsid w:val="00742B8F"/>
    <w:rsid w:val="0074447E"/>
    <w:rsid w:val="00744CC7"/>
    <w:rsid w:val="007454C6"/>
    <w:rsid w:val="00745EB9"/>
    <w:rsid w:val="0074610B"/>
    <w:rsid w:val="007475E6"/>
    <w:rsid w:val="00747784"/>
    <w:rsid w:val="00751C73"/>
    <w:rsid w:val="00751E39"/>
    <w:rsid w:val="00751EC3"/>
    <w:rsid w:val="0075337F"/>
    <w:rsid w:val="007536BE"/>
    <w:rsid w:val="00753963"/>
    <w:rsid w:val="00753C6A"/>
    <w:rsid w:val="0075495C"/>
    <w:rsid w:val="00754FE2"/>
    <w:rsid w:val="007552E4"/>
    <w:rsid w:val="00755A6A"/>
    <w:rsid w:val="00757B09"/>
    <w:rsid w:val="007600F3"/>
    <w:rsid w:val="00760421"/>
    <w:rsid w:val="007627EE"/>
    <w:rsid w:val="00762815"/>
    <w:rsid w:val="00763A52"/>
    <w:rsid w:val="00763C5D"/>
    <w:rsid w:val="00765471"/>
    <w:rsid w:val="007664AC"/>
    <w:rsid w:val="0076716B"/>
    <w:rsid w:val="00767AFA"/>
    <w:rsid w:val="00767BCF"/>
    <w:rsid w:val="00770152"/>
    <w:rsid w:val="0077015D"/>
    <w:rsid w:val="007704D5"/>
    <w:rsid w:val="007711F4"/>
    <w:rsid w:val="007717C5"/>
    <w:rsid w:val="007718B6"/>
    <w:rsid w:val="00772706"/>
    <w:rsid w:val="0077368C"/>
    <w:rsid w:val="00773DB3"/>
    <w:rsid w:val="00775981"/>
    <w:rsid w:val="00777018"/>
    <w:rsid w:val="00777FAD"/>
    <w:rsid w:val="00780836"/>
    <w:rsid w:val="00780A2B"/>
    <w:rsid w:val="00780C34"/>
    <w:rsid w:val="007812AB"/>
    <w:rsid w:val="00781CE7"/>
    <w:rsid w:val="00781EE6"/>
    <w:rsid w:val="007825D4"/>
    <w:rsid w:val="00782C58"/>
    <w:rsid w:val="007837B6"/>
    <w:rsid w:val="0078460C"/>
    <w:rsid w:val="007849FB"/>
    <w:rsid w:val="007853C3"/>
    <w:rsid w:val="00785572"/>
    <w:rsid w:val="00785CB4"/>
    <w:rsid w:val="007865F8"/>
    <w:rsid w:val="007909A2"/>
    <w:rsid w:val="00790BA2"/>
    <w:rsid w:val="00791088"/>
    <w:rsid w:val="007913BF"/>
    <w:rsid w:val="007916EC"/>
    <w:rsid w:val="00791976"/>
    <w:rsid w:val="007919E4"/>
    <w:rsid w:val="00792AF6"/>
    <w:rsid w:val="00792B83"/>
    <w:rsid w:val="0079308D"/>
    <w:rsid w:val="00794616"/>
    <w:rsid w:val="0079501A"/>
    <w:rsid w:val="00795343"/>
    <w:rsid w:val="00797623"/>
    <w:rsid w:val="00797ACF"/>
    <w:rsid w:val="00797DB2"/>
    <w:rsid w:val="007A011D"/>
    <w:rsid w:val="007A0533"/>
    <w:rsid w:val="007A0B0B"/>
    <w:rsid w:val="007A0DBF"/>
    <w:rsid w:val="007A2FB9"/>
    <w:rsid w:val="007A3906"/>
    <w:rsid w:val="007A39A4"/>
    <w:rsid w:val="007A4131"/>
    <w:rsid w:val="007A5C7D"/>
    <w:rsid w:val="007A79EE"/>
    <w:rsid w:val="007A7A41"/>
    <w:rsid w:val="007A7B28"/>
    <w:rsid w:val="007B0413"/>
    <w:rsid w:val="007B1155"/>
    <w:rsid w:val="007B16BC"/>
    <w:rsid w:val="007B241B"/>
    <w:rsid w:val="007B25F7"/>
    <w:rsid w:val="007B2618"/>
    <w:rsid w:val="007B2CFF"/>
    <w:rsid w:val="007B2FC4"/>
    <w:rsid w:val="007B4A82"/>
    <w:rsid w:val="007B4D63"/>
    <w:rsid w:val="007B4FC5"/>
    <w:rsid w:val="007B5FC0"/>
    <w:rsid w:val="007B6B6F"/>
    <w:rsid w:val="007C298E"/>
    <w:rsid w:val="007C33F2"/>
    <w:rsid w:val="007C36DE"/>
    <w:rsid w:val="007C3A0C"/>
    <w:rsid w:val="007C3D3C"/>
    <w:rsid w:val="007C4700"/>
    <w:rsid w:val="007C497C"/>
    <w:rsid w:val="007C6E83"/>
    <w:rsid w:val="007C716D"/>
    <w:rsid w:val="007D0121"/>
    <w:rsid w:val="007D0D9F"/>
    <w:rsid w:val="007D16F3"/>
    <w:rsid w:val="007D1E53"/>
    <w:rsid w:val="007D1F9E"/>
    <w:rsid w:val="007D3130"/>
    <w:rsid w:val="007D5171"/>
    <w:rsid w:val="007D53A7"/>
    <w:rsid w:val="007D5CDD"/>
    <w:rsid w:val="007D5D44"/>
    <w:rsid w:val="007D5D8A"/>
    <w:rsid w:val="007D5EBA"/>
    <w:rsid w:val="007D7705"/>
    <w:rsid w:val="007D7DBF"/>
    <w:rsid w:val="007E038B"/>
    <w:rsid w:val="007E1EB0"/>
    <w:rsid w:val="007E2082"/>
    <w:rsid w:val="007E20DE"/>
    <w:rsid w:val="007E2FC9"/>
    <w:rsid w:val="007E32D0"/>
    <w:rsid w:val="007E4689"/>
    <w:rsid w:val="007E5212"/>
    <w:rsid w:val="007E5F97"/>
    <w:rsid w:val="007E61DA"/>
    <w:rsid w:val="007E642C"/>
    <w:rsid w:val="007E7187"/>
    <w:rsid w:val="007E7D50"/>
    <w:rsid w:val="007E7F26"/>
    <w:rsid w:val="007F072F"/>
    <w:rsid w:val="007F226A"/>
    <w:rsid w:val="007F23F2"/>
    <w:rsid w:val="007F27A0"/>
    <w:rsid w:val="007F2F48"/>
    <w:rsid w:val="007F4961"/>
    <w:rsid w:val="007F559B"/>
    <w:rsid w:val="007F5EE0"/>
    <w:rsid w:val="007F5F21"/>
    <w:rsid w:val="007F5FD7"/>
    <w:rsid w:val="007F6022"/>
    <w:rsid w:val="007F69BE"/>
    <w:rsid w:val="007F77ED"/>
    <w:rsid w:val="007F79CA"/>
    <w:rsid w:val="00801644"/>
    <w:rsid w:val="00801744"/>
    <w:rsid w:val="00801E58"/>
    <w:rsid w:val="008021F4"/>
    <w:rsid w:val="00802D60"/>
    <w:rsid w:val="00803032"/>
    <w:rsid w:val="00803610"/>
    <w:rsid w:val="00803E11"/>
    <w:rsid w:val="008043A3"/>
    <w:rsid w:val="0080482E"/>
    <w:rsid w:val="008057F6"/>
    <w:rsid w:val="00806112"/>
    <w:rsid w:val="008065A1"/>
    <w:rsid w:val="00806C09"/>
    <w:rsid w:val="00806E16"/>
    <w:rsid w:val="00807B12"/>
    <w:rsid w:val="00807C44"/>
    <w:rsid w:val="008113C0"/>
    <w:rsid w:val="008121BD"/>
    <w:rsid w:val="00812B5C"/>
    <w:rsid w:val="00813A0B"/>
    <w:rsid w:val="00813B33"/>
    <w:rsid w:val="00813F9E"/>
    <w:rsid w:val="0081445F"/>
    <w:rsid w:val="00814A09"/>
    <w:rsid w:val="00815377"/>
    <w:rsid w:val="008154BC"/>
    <w:rsid w:val="008154E2"/>
    <w:rsid w:val="00815D70"/>
    <w:rsid w:val="00815F72"/>
    <w:rsid w:val="00816070"/>
    <w:rsid w:val="008171BC"/>
    <w:rsid w:val="00817411"/>
    <w:rsid w:val="00821796"/>
    <w:rsid w:val="00821BFC"/>
    <w:rsid w:val="0082241D"/>
    <w:rsid w:val="00822DD6"/>
    <w:rsid w:val="0082304B"/>
    <w:rsid w:val="0082383C"/>
    <w:rsid w:val="00823B54"/>
    <w:rsid w:val="00824108"/>
    <w:rsid w:val="00824863"/>
    <w:rsid w:val="00824D84"/>
    <w:rsid w:val="0083052F"/>
    <w:rsid w:val="008308BE"/>
    <w:rsid w:val="00830C9E"/>
    <w:rsid w:val="00831C96"/>
    <w:rsid w:val="008329A8"/>
    <w:rsid w:val="0083332A"/>
    <w:rsid w:val="0083405C"/>
    <w:rsid w:val="00834BAB"/>
    <w:rsid w:val="00834F97"/>
    <w:rsid w:val="008359BD"/>
    <w:rsid w:val="00835B71"/>
    <w:rsid w:val="00835E01"/>
    <w:rsid w:val="00836013"/>
    <w:rsid w:val="00836B63"/>
    <w:rsid w:val="00840055"/>
    <w:rsid w:val="0084036E"/>
    <w:rsid w:val="00840801"/>
    <w:rsid w:val="008411AB"/>
    <w:rsid w:val="008414F4"/>
    <w:rsid w:val="00841D52"/>
    <w:rsid w:val="00842012"/>
    <w:rsid w:val="00843776"/>
    <w:rsid w:val="008440EB"/>
    <w:rsid w:val="008441FF"/>
    <w:rsid w:val="00844398"/>
    <w:rsid w:val="00844618"/>
    <w:rsid w:val="008462B7"/>
    <w:rsid w:val="00846998"/>
    <w:rsid w:val="008470D6"/>
    <w:rsid w:val="00847330"/>
    <w:rsid w:val="0084740E"/>
    <w:rsid w:val="00847764"/>
    <w:rsid w:val="00847FF4"/>
    <w:rsid w:val="00850404"/>
    <w:rsid w:val="008504C8"/>
    <w:rsid w:val="008504D9"/>
    <w:rsid w:val="008508C0"/>
    <w:rsid w:val="00850FE8"/>
    <w:rsid w:val="00851C71"/>
    <w:rsid w:val="00851E11"/>
    <w:rsid w:val="008521FD"/>
    <w:rsid w:val="008529AD"/>
    <w:rsid w:val="0085356D"/>
    <w:rsid w:val="00855EC1"/>
    <w:rsid w:val="008562FE"/>
    <w:rsid w:val="0085637A"/>
    <w:rsid w:val="0085670C"/>
    <w:rsid w:val="008568C2"/>
    <w:rsid w:val="00856C4A"/>
    <w:rsid w:val="00856E31"/>
    <w:rsid w:val="008572D2"/>
    <w:rsid w:val="0086021E"/>
    <w:rsid w:val="00862790"/>
    <w:rsid w:val="00862D36"/>
    <w:rsid w:val="0086324D"/>
    <w:rsid w:val="00863B5E"/>
    <w:rsid w:val="008649A8"/>
    <w:rsid w:val="00866115"/>
    <w:rsid w:val="00866575"/>
    <w:rsid w:val="00866AB0"/>
    <w:rsid w:val="00867854"/>
    <w:rsid w:val="00867B3E"/>
    <w:rsid w:val="0087078C"/>
    <w:rsid w:val="0087158D"/>
    <w:rsid w:val="0087199A"/>
    <w:rsid w:val="00871D3D"/>
    <w:rsid w:val="00871E76"/>
    <w:rsid w:val="00873740"/>
    <w:rsid w:val="00873BBF"/>
    <w:rsid w:val="0087444D"/>
    <w:rsid w:val="00874BFA"/>
    <w:rsid w:val="008764A8"/>
    <w:rsid w:val="00881B53"/>
    <w:rsid w:val="00882B6C"/>
    <w:rsid w:val="00882E3C"/>
    <w:rsid w:val="00883911"/>
    <w:rsid w:val="0088434D"/>
    <w:rsid w:val="0088478F"/>
    <w:rsid w:val="00884AD0"/>
    <w:rsid w:val="00884E72"/>
    <w:rsid w:val="008859DD"/>
    <w:rsid w:val="00885C38"/>
    <w:rsid w:val="00886C95"/>
    <w:rsid w:val="008874B2"/>
    <w:rsid w:val="00887644"/>
    <w:rsid w:val="00890594"/>
    <w:rsid w:val="008912F4"/>
    <w:rsid w:val="00891F5D"/>
    <w:rsid w:val="0089322D"/>
    <w:rsid w:val="008934E4"/>
    <w:rsid w:val="00893CF2"/>
    <w:rsid w:val="008942B8"/>
    <w:rsid w:val="0089473D"/>
    <w:rsid w:val="00894FB2"/>
    <w:rsid w:val="00896200"/>
    <w:rsid w:val="0089752E"/>
    <w:rsid w:val="00897A95"/>
    <w:rsid w:val="008A00AD"/>
    <w:rsid w:val="008A025E"/>
    <w:rsid w:val="008A05B3"/>
    <w:rsid w:val="008A1DBC"/>
    <w:rsid w:val="008A1FFF"/>
    <w:rsid w:val="008A2281"/>
    <w:rsid w:val="008A276A"/>
    <w:rsid w:val="008A2784"/>
    <w:rsid w:val="008A2B2C"/>
    <w:rsid w:val="008A53C5"/>
    <w:rsid w:val="008A53EA"/>
    <w:rsid w:val="008A5531"/>
    <w:rsid w:val="008A554A"/>
    <w:rsid w:val="008A5B36"/>
    <w:rsid w:val="008A5DD3"/>
    <w:rsid w:val="008A65D6"/>
    <w:rsid w:val="008A687A"/>
    <w:rsid w:val="008A6B7E"/>
    <w:rsid w:val="008A6D7B"/>
    <w:rsid w:val="008A718C"/>
    <w:rsid w:val="008A7F80"/>
    <w:rsid w:val="008B090A"/>
    <w:rsid w:val="008B0A05"/>
    <w:rsid w:val="008B0AA1"/>
    <w:rsid w:val="008B13E4"/>
    <w:rsid w:val="008B1A2D"/>
    <w:rsid w:val="008B24C5"/>
    <w:rsid w:val="008B2789"/>
    <w:rsid w:val="008B2EF1"/>
    <w:rsid w:val="008B44CA"/>
    <w:rsid w:val="008B4F44"/>
    <w:rsid w:val="008B51FF"/>
    <w:rsid w:val="008B5290"/>
    <w:rsid w:val="008B5298"/>
    <w:rsid w:val="008B5335"/>
    <w:rsid w:val="008B589B"/>
    <w:rsid w:val="008B5B6C"/>
    <w:rsid w:val="008B6C8C"/>
    <w:rsid w:val="008C0EAF"/>
    <w:rsid w:val="008C1FC0"/>
    <w:rsid w:val="008C35DA"/>
    <w:rsid w:val="008C4ED8"/>
    <w:rsid w:val="008C55CF"/>
    <w:rsid w:val="008C55E7"/>
    <w:rsid w:val="008C57FB"/>
    <w:rsid w:val="008C6446"/>
    <w:rsid w:val="008C7D99"/>
    <w:rsid w:val="008D01CE"/>
    <w:rsid w:val="008D0B13"/>
    <w:rsid w:val="008D100A"/>
    <w:rsid w:val="008D1187"/>
    <w:rsid w:val="008D1659"/>
    <w:rsid w:val="008D1661"/>
    <w:rsid w:val="008D171C"/>
    <w:rsid w:val="008D1BD7"/>
    <w:rsid w:val="008D243F"/>
    <w:rsid w:val="008D2888"/>
    <w:rsid w:val="008D3006"/>
    <w:rsid w:val="008D3576"/>
    <w:rsid w:val="008D5238"/>
    <w:rsid w:val="008D52C1"/>
    <w:rsid w:val="008D584F"/>
    <w:rsid w:val="008D5EE2"/>
    <w:rsid w:val="008D63B5"/>
    <w:rsid w:val="008D642C"/>
    <w:rsid w:val="008D687A"/>
    <w:rsid w:val="008D6D44"/>
    <w:rsid w:val="008D7763"/>
    <w:rsid w:val="008D7AAD"/>
    <w:rsid w:val="008E0220"/>
    <w:rsid w:val="008E124A"/>
    <w:rsid w:val="008E288A"/>
    <w:rsid w:val="008E2E86"/>
    <w:rsid w:val="008E3312"/>
    <w:rsid w:val="008E35DF"/>
    <w:rsid w:val="008E38FF"/>
    <w:rsid w:val="008E4226"/>
    <w:rsid w:val="008E5A3E"/>
    <w:rsid w:val="008E5AC5"/>
    <w:rsid w:val="008E6696"/>
    <w:rsid w:val="008E7093"/>
    <w:rsid w:val="008F0219"/>
    <w:rsid w:val="008F0265"/>
    <w:rsid w:val="008F110A"/>
    <w:rsid w:val="008F17A3"/>
    <w:rsid w:val="008F1A1C"/>
    <w:rsid w:val="008F22A0"/>
    <w:rsid w:val="008F2907"/>
    <w:rsid w:val="008F29B4"/>
    <w:rsid w:val="008F3130"/>
    <w:rsid w:val="008F362B"/>
    <w:rsid w:val="008F39E8"/>
    <w:rsid w:val="008F53F0"/>
    <w:rsid w:val="008F654E"/>
    <w:rsid w:val="008F669C"/>
    <w:rsid w:val="008F7961"/>
    <w:rsid w:val="00900524"/>
    <w:rsid w:val="009007F9"/>
    <w:rsid w:val="00900FBB"/>
    <w:rsid w:val="00901EE2"/>
    <w:rsid w:val="00903334"/>
    <w:rsid w:val="00903EFD"/>
    <w:rsid w:val="00905C2D"/>
    <w:rsid w:val="00905FF0"/>
    <w:rsid w:val="00906430"/>
    <w:rsid w:val="0090685D"/>
    <w:rsid w:val="00906D80"/>
    <w:rsid w:val="00907327"/>
    <w:rsid w:val="00910C68"/>
    <w:rsid w:val="009110DE"/>
    <w:rsid w:val="00911D3C"/>
    <w:rsid w:val="0091235F"/>
    <w:rsid w:val="009128EE"/>
    <w:rsid w:val="009130A1"/>
    <w:rsid w:val="0091311C"/>
    <w:rsid w:val="009133EB"/>
    <w:rsid w:val="009142CE"/>
    <w:rsid w:val="00914942"/>
    <w:rsid w:val="00916735"/>
    <w:rsid w:val="009173EB"/>
    <w:rsid w:val="00917843"/>
    <w:rsid w:val="00920A89"/>
    <w:rsid w:val="009216A7"/>
    <w:rsid w:val="00921F5E"/>
    <w:rsid w:val="00922043"/>
    <w:rsid w:val="009221FB"/>
    <w:rsid w:val="0092529E"/>
    <w:rsid w:val="00925C43"/>
    <w:rsid w:val="00927B86"/>
    <w:rsid w:val="00927E3C"/>
    <w:rsid w:val="009304C1"/>
    <w:rsid w:val="00931982"/>
    <w:rsid w:val="00931C90"/>
    <w:rsid w:val="00931E1D"/>
    <w:rsid w:val="00932A83"/>
    <w:rsid w:val="00932AAC"/>
    <w:rsid w:val="00934999"/>
    <w:rsid w:val="00935507"/>
    <w:rsid w:val="009360AC"/>
    <w:rsid w:val="0093733F"/>
    <w:rsid w:val="009408B0"/>
    <w:rsid w:val="00940D09"/>
    <w:rsid w:val="00940E18"/>
    <w:rsid w:val="00940FEC"/>
    <w:rsid w:val="00941609"/>
    <w:rsid w:val="009418CD"/>
    <w:rsid w:val="00941A4F"/>
    <w:rsid w:val="009422A8"/>
    <w:rsid w:val="00943449"/>
    <w:rsid w:val="0094345B"/>
    <w:rsid w:val="00943732"/>
    <w:rsid w:val="00944341"/>
    <w:rsid w:val="00944412"/>
    <w:rsid w:val="009446E8"/>
    <w:rsid w:val="009450BC"/>
    <w:rsid w:val="00945415"/>
    <w:rsid w:val="00945D3E"/>
    <w:rsid w:val="00946368"/>
    <w:rsid w:val="00947B8E"/>
    <w:rsid w:val="0095082C"/>
    <w:rsid w:val="0095084B"/>
    <w:rsid w:val="00951298"/>
    <w:rsid w:val="009515F9"/>
    <w:rsid w:val="009516FC"/>
    <w:rsid w:val="00954611"/>
    <w:rsid w:val="0095489C"/>
    <w:rsid w:val="009548D9"/>
    <w:rsid w:val="00955472"/>
    <w:rsid w:val="00955C74"/>
    <w:rsid w:val="0095701A"/>
    <w:rsid w:val="00957833"/>
    <w:rsid w:val="0096006C"/>
    <w:rsid w:val="00960214"/>
    <w:rsid w:val="009609FD"/>
    <w:rsid w:val="0096251A"/>
    <w:rsid w:val="00963145"/>
    <w:rsid w:val="00963CFF"/>
    <w:rsid w:val="009649C1"/>
    <w:rsid w:val="0096590A"/>
    <w:rsid w:val="00965DA9"/>
    <w:rsid w:val="00965EE2"/>
    <w:rsid w:val="009667E3"/>
    <w:rsid w:val="00967312"/>
    <w:rsid w:val="00967B08"/>
    <w:rsid w:val="00967CE9"/>
    <w:rsid w:val="0097021B"/>
    <w:rsid w:val="009719EB"/>
    <w:rsid w:val="00972401"/>
    <w:rsid w:val="0097301A"/>
    <w:rsid w:val="00973212"/>
    <w:rsid w:val="009735B5"/>
    <w:rsid w:val="0097393D"/>
    <w:rsid w:val="00973D24"/>
    <w:rsid w:val="00974019"/>
    <w:rsid w:val="00974867"/>
    <w:rsid w:val="00976C8F"/>
    <w:rsid w:val="00976D96"/>
    <w:rsid w:val="00977DD7"/>
    <w:rsid w:val="00977ED3"/>
    <w:rsid w:val="009805C2"/>
    <w:rsid w:val="00980DB2"/>
    <w:rsid w:val="009816A6"/>
    <w:rsid w:val="009821A8"/>
    <w:rsid w:val="009821BC"/>
    <w:rsid w:val="00983C00"/>
    <w:rsid w:val="0098435C"/>
    <w:rsid w:val="009843BE"/>
    <w:rsid w:val="0098549C"/>
    <w:rsid w:val="00985743"/>
    <w:rsid w:val="00986737"/>
    <w:rsid w:val="00986EDC"/>
    <w:rsid w:val="00987F47"/>
    <w:rsid w:val="00987F5F"/>
    <w:rsid w:val="00990578"/>
    <w:rsid w:val="0099075B"/>
    <w:rsid w:val="00990D35"/>
    <w:rsid w:val="00991245"/>
    <w:rsid w:val="00991CF0"/>
    <w:rsid w:val="00991E77"/>
    <w:rsid w:val="009920D9"/>
    <w:rsid w:val="00992D3C"/>
    <w:rsid w:val="0099383F"/>
    <w:rsid w:val="00993F68"/>
    <w:rsid w:val="00995BB5"/>
    <w:rsid w:val="00996834"/>
    <w:rsid w:val="00997680"/>
    <w:rsid w:val="009979FC"/>
    <w:rsid w:val="00997CCB"/>
    <w:rsid w:val="009A0506"/>
    <w:rsid w:val="009A0AAF"/>
    <w:rsid w:val="009A0FF9"/>
    <w:rsid w:val="009A1763"/>
    <w:rsid w:val="009A1E3E"/>
    <w:rsid w:val="009A3116"/>
    <w:rsid w:val="009A3B09"/>
    <w:rsid w:val="009A3C08"/>
    <w:rsid w:val="009A3F50"/>
    <w:rsid w:val="009A5920"/>
    <w:rsid w:val="009A6229"/>
    <w:rsid w:val="009A6535"/>
    <w:rsid w:val="009B0699"/>
    <w:rsid w:val="009B1D75"/>
    <w:rsid w:val="009B2484"/>
    <w:rsid w:val="009B2FA6"/>
    <w:rsid w:val="009B3BAC"/>
    <w:rsid w:val="009B4099"/>
    <w:rsid w:val="009B55EC"/>
    <w:rsid w:val="009B5D5D"/>
    <w:rsid w:val="009B5DE6"/>
    <w:rsid w:val="009B6AA5"/>
    <w:rsid w:val="009B7876"/>
    <w:rsid w:val="009B7A5F"/>
    <w:rsid w:val="009C08FD"/>
    <w:rsid w:val="009C1BF8"/>
    <w:rsid w:val="009C375C"/>
    <w:rsid w:val="009C5764"/>
    <w:rsid w:val="009C5F58"/>
    <w:rsid w:val="009C6795"/>
    <w:rsid w:val="009C6ABC"/>
    <w:rsid w:val="009C7B19"/>
    <w:rsid w:val="009D0872"/>
    <w:rsid w:val="009D0926"/>
    <w:rsid w:val="009D0F92"/>
    <w:rsid w:val="009D0FC8"/>
    <w:rsid w:val="009D286A"/>
    <w:rsid w:val="009D29D2"/>
    <w:rsid w:val="009D2D10"/>
    <w:rsid w:val="009D4540"/>
    <w:rsid w:val="009D4603"/>
    <w:rsid w:val="009D4FE3"/>
    <w:rsid w:val="009D565A"/>
    <w:rsid w:val="009D66FD"/>
    <w:rsid w:val="009D6EC0"/>
    <w:rsid w:val="009D6F24"/>
    <w:rsid w:val="009E114C"/>
    <w:rsid w:val="009E1E0B"/>
    <w:rsid w:val="009E32C1"/>
    <w:rsid w:val="009E45C5"/>
    <w:rsid w:val="009E504C"/>
    <w:rsid w:val="009E586F"/>
    <w:rsid w:val="009E627A"/>
    <w:rsid w:val="009E758C"/>
    <w:rsid w:val="009E7888"/>
    <w:rsid w:val="009E7A54"/>
    <w:rsid w:val="009F0338"/>
    <w:rsid w:val="009F1732"/>
    <w:rsid w:val="009F1D2B"/>
    <w:rsid w:val="009F1D64"/>
    <w:rsid w:val="009F22D9"/>
    <w:rsid w:val="009F4ECA"/>
    <w:rsid w:val="00A00812"/>
    <w:rsid w:val="00A02096"/>
    <w:rsid w:val="00A020AE"/>
    <w:rsid w:val="00A0228A"/>
    <w:rsid w:val="00A03FE9"/>
    <w:rsid w:val="00A04375"/>
    <w:rsid w:val="00A04F42"/>
    <w:rsid w:val="00A07544"/>
    <w:rsid w:val="00A1019A"/>
    <w:rsid w:val="00A106EB"/>
    <w:rsid w:val="00A106F1"/>
    <w:rsid w:val="00A11BCA"/>
    <w:rsid w:val="00A11BD9"/>
    <w:rsid w:val="00A11E94"/>
    <w:rsid w:val="00A122C1"/>
    <w:rsid w:val="00A13023"/>
    <w:rsid w:val="00A136EE"/>
    <w:rsid w:val="00A14AB3"/>
    <w:rsid w:val="00A14FFA"/>
    <w:rsid w:val="00A160E1"/>
    <w:rsid w:val="00A17D57"/>
    <w:rsid w:val="00A2006A"/>
    <w:rsid w:val="00A20826"/>
    <w:rsid w:val="00A20A86"/>
    <w:rsid w:val="00A20CD8"/>
    <w:rsid w:val="00A20D99"/>
    <w:rsid w:val="00A21F25"/>
    <w:rsid w:val="00A224DD"/>
    <w:rsid w:val="00A22C09"/>
    <w:rsid w:val="00A22F8C"/>
    <w:rsid w:val="00A24147"/>
    <w:rsid w:val="00A24D1D"/>
    <w:rsid w:val="00A3084D"/>
    <w:rsid w:val="00A31C1A"/>
    <w:rsid w:val="00A320E3"/>
    <w:rsid w:val="00A32258"/>
    <w:rsid w:val="00A32760"/>
    <w:rsid w:val="00A32ED5"/>
    <w:rsid w:val="00A33337"/>
    <w:rsid w:val="00A33E1E"/>
    <w:rsid w:val="00A33F5D"/>
    <w:rsid w:val="00A341E6"/>
    <w:rsid w:val="00A34835"/>
    <w:rsid w:val="00A34A1C"/>
    <w:rsid w:val="00A35B26"/>
    <w:rsid w:val="00A36A5E"/>
    <w:rsid w:val="00A3742B"/>
    <w:rsid w:val="00A3771A"/>
    <w:rsid w:val="00A37D4B"/>
    <w:rsid w:val="00A37E0E"/>
    <w:rsid w:val="00A404D6"/>
    <w:rsid w:val="00A41324"/>
    <w:rsid w:val="00A43B31"/>
    <w:rsid w:val="00A43C12"/>
    <w:rsid w:val="00A44916"/>
    <w:rsid w:val="00A44998"/>
    <w:rsid w:val="00A451D7"/>
    <w:rsid w:val="00A45A51"/>
    <w:rsid w:val="00A45B18"/>
    <w:rsid w:val="00A46DF3"/>
    <w:rsid w:val="00A47194"/>
    <w:rsid w:val="00A472E8"/>
    <w:rsid w:val="00A47F99"/>
    <w:rsid w:val="00A51067"/>
    <w:rsid w:val="00A52AFF"/>
    <w:rsid w:val="00A530FF"/>
    <w:rsid w:val="00A536F1"/>
    <w:rsid w:val="00A53AB4"/>
    <w:rsid w:val="00A53C14"/>
    <w:rsid w:val="00A547FD"/>
    <w:rsid w:val="00A558A2"/>
    <w:rsid w:val="00A56410"/>
    <w:rsid w:val="00A56F68"/>
    <w:rsid w:val="00A6112E"/>
    <w:rsid w:val="00A614B4"/>
    <w:rsid w:val="00A616EC"/>
    <w:rsid w:val="00A617C6"/>
    <w:rsid w:val="00A62114"/>
    <w:rsid w:val="00A6238E"/>
    <w:rsid w:val="00A63911"/>
    <w:rsid w:val="00A642F9"/>
    <w:rsid w:val="00A645BC"/>
    <w:rsid w:val="00A64646"/>
    <w:rsid w:val="00A64A31"/>
    <w:rsid w:val="00A65177"/>
    <w:rsid w:val="00A65A96"/>
    <w:rsid w:val="00A65CF4"/>
    <w:rsid w:val="00A66395"/>
    <w:rsid w:val="00A67255"/>
    <w:rsid w:val="00A7011E"/>
    <w:rsid w:val="00A70B2E"/>
    <w:rsid w:val="00A70F0F"/>
    <w:rsid w:val="00A70FAA"/>
    <w:rsid w:val="00A7154F"/>
    <w:rsid w:val="00A7283D"/>
    <w:rsid w:val="00A72A3B"/>
    <w:rsid w:val="00A732D4"/>
    <w:rsid w:val="00A73786"/>
    <w:rsid w:val="00A737D9"/>
    <w:rsid w:val="00A73E4F"/>
    <w:rsid w:val="00A742EE"/>
    <w:rsid w:val="00A76AA0"/>
    <w:rsid w:val="00A76CA6"/>
    <w:rsid w:val="00A77183"/>
    <w:rsid w:val="00A7726D"/>
    <w:rsid w:val="00A77375"/>
    <w:rsid w:val="00A77B90"/>
    <w:rsid w:val="00A77F59"/>
    <w:rsid w:val="00A81560"/>
    <w:rsid w:val="00A81B25"/>
    <w:rsid w:val="00A829EF"/>
    <w:rsid w:val="00A831ED"/>
    <w:rsid w:val="00A839DF"/>
    <w:rsid w:val="00A8449E"/>
    <w:rsid w:val="00A84EAF"/>
    <w:rsid w:val="00A8572F"/>
    <w:rsid w:val="00A859FF"/>
    <w:rsid w:val="00A85BB5"/>
    <w:rsid w:val="00A8697A"/>
    <w:rsid w:val="00A86DD8"/>
    <w:rsid w:val="00A8776A"/>
    <w:rsid w:val="00A8783F"/>
    <w:rsid w:val="00A87A28"/>
    <w:rsid w:val="00A87D3D"/>
    <w:rsid w:val="00A912AA"/>
    <w:rsid w:val="00A915AD"/>
    <w:rsid w:val="00A916E9"/>
    <w:rsid w:val="00A92561"/>
    <w:rsid w:val="00A92A7E"/>
    <w:rsid w:val="00A93C32"/>
    <w:rsid w:val="00A93DAA"/>
    <w:rsid w:val="00A95605"/>
    <w:rsid w:val="00A95BC5"/>
    <w:rsid w:val="00A96861"/>
    <w:rsid w:val="00A96AC3"/>
    <w:rsid w:val="00A96B16"/>
    <w:rsid w:val="00A96BD8"/>
    <w:rsid w:val="00AA0F44"/>
    <w:rsid w:val="00AA244A"/>
    <w:rsid w:val="00AA250D"/>
    <w:rsid w:val="00AA34B4"/>
    <w:rsid w:val="00AA3FBE"/>
    <w:rsid w:val="00AA6B63"/>
    <w:rsid w:val="00AB0949"/>
    <w:rsid w:val="00AB0DD2"/>
    <w:rsid w:val="00AB23E6"/>
    <w:rsid w:val="00AB2D21"/>
    <w:rsid w:val="00AB2F3F"/>
    <w:rsid w:val="00AB5164"/>
    <w:rsid w:val="00AB52E2"/>
    <w:rsid w:val="00AB54E7"/>
    <w:rsid w:val="00AB6088"/>
    <w:rsid w:val="00AB6749"/>
    <w:rsid w:val="00AB7841"/>
    <w:rsid w:val="00AB7CBD"/>
    <w:rsid w:val="00AB7CF0"/>
    <w:rsid w:val="00AC0470"/>
    <w:rsid w:val="00AC082B"/>
    <w:rsid w:val="00AC0936"/>
    <w:rsid w:val="00AC1277"/>
    <w:rsid w:val="00AC3104"/>
    <w:rsid w:val="00AC3B76"/>
    <w:rsid w:val="00AC4D82"/>
    <w:rsid w:val="00AC65B1"/>
    <w:rsid w:val="00AC65D4"/>
    <w:rsid w:val="00AC698E"/>
    <w:rsid w:val="00AC783F"/>
    <w:rsid w:val="00AC7903"/>
    <w:rsid w:val="00AC7F1A"/>
    <w:rsid w:val="00AD0308"/>
    <w:rsid w:val="00AD148F"/>
    <w:rsid w:val="00AD168D"/>
    <w:rsid w:val="00AD1AFF"/>
    <w:rsid w:val="00AD1C44"/>
    <w:rsid w:val="00AD1F21"/>
    <w:rsid w:val="00AD2E66"/>
    <w:rsid w:val="00AD37B5"/>
    <w:rsid w:val="00AD5FED"/>
    <w:rsid w:val="00AD6EEA"/>
    <w:rsid w:val="00AD7A91"/>
    <w:rsid w:val="00AD7D31"/>
    <w:rsid w:val="00AD7F56"/>
    <w:rsid w:val="00AE040A"/>
    <w:rsid w:val="00AE0486"/>
    <w:rsid w:val="00AE0492"/>
    <w:rsid w:val="00AE0E9D"/>
    <w:rsid w:val="00AE12D9"/>
    <w:rsid w:val="00AE130F"/>
    <w:rsid w:val="00AE26C8"/>
    <w:rsid w:val="00AE306A"/>
    <w:rsid w:val="00AE37C1"/>
    <w:rsid w:val="00AE44A0"/>
    <w:rsid w:val="00AE50E9"/>
    <w:rsid w:val="00AE50F4"/>
    <w:rsid w:val="00AE52F7"/>
    <w:rsid w:val="00AE596F"/>
    <w:rsid w:val="00AE5C20"/>
    <w:rsid w:val="00AE6BF9"/>
    <w:rsid w:val="00AE7C18"/>
    <w:rsid w:val="00AF0794"/>
    <w:rsid w:val="00AF2529"/>
    <w:rsid w:val="00AF272A"/>
    <w:rsid w:val="00AF2C57"/>
    <w:rsid w:val="00AF2CB6"/>
    <w:rsid w:val="00AF37B4"/>
    <w:rsid w:val="00AF3D12"/>
    <w:rsid w:val="00AF424F"/>
    <w:rsid w:val="00AF53A2"/>
    <w:rsid w:val="00AF58F3"/>
    <w:rsid w:val="00B0030C"/>
    <w:rsid w:val="00B0058C"/>
    <w:rsid w:val="00B0100E"/>
    <w:rsid w:val="00B02D30"/>
    <w:rsid w:val="00B0436C"/>
    <w:rsid w:val="00B04479"/>
    <w:rsid w:val="00B04979"/>
    <w:rsid w:val="00B04C3A"/>
    <w:rsid w:val="00B05244"/>
    <w:rsid w:val="00B0666D"/>
    <w:rsid w:val="00B076F1"/>
    <w:rsid w:val="00B10AB9"/>
    <w:rsid w:val="00B10C85"/>
    <w:rsid w:val="00B14065"/>
    <w:rsid w:val="00B147CF"/>
    <w:rsid w:val="00B1658C"/>
    <w:rsid w:val="00B17200"/>
    <w:rsid w:val="00B1739F"/>
    <w:rsid w:val="00B176BD"/>
    <w:rsid w:val="00B17DC9"/>
    <w:rsid w:val="00B205DE"/>
    <w:rsid w:val="00B20FCA"/>
    <w:rsid w:val="00B219EF"/>
    <w:rsid w:val="00B21D0A"/>
    <w:rsid w:val="00B22AF9"/>
    <w:rsid w:val="00B232DE"/>
    <w:rsid w:val="00B2469E"/>
    <w:rsid w:val="00B24952"/>
    <w:rsid w:val="00B24A4F"/>
    <w:rsid w:val="00B25AC6"/>
    <w:rsid w:val="00B25F66"/>
    <w:rsid w:val="00B2684A"/>
    <w:rsid w:val="00B26986"/>
    <w:rsid w:val="00B27CBD"/>
    <w:rsid w:val="00B303A7"/>
    <w:rsid w:val="00B303C4"/>
    <w:rsid w:val="00B30B33"/>
    <w:rsid w:val="00B30C72"/>
    <w:rsid w:val="00B32B46"/>
    <w:rsid w:val="00B3336A"/>
    <w:rsid w:val="00B3370A"/>
    <w:rsid w:val="00B33974"/>
    <w:rsid w:val="00B33C93"/>
    <w:rsid w:val="00B33F69"/>
    <w:rsid w:val="00B3449B"/>
    <w:rsid w:val="00B34564"/>
    <w:rsid w:val="00B34604"/>
    <w:rsid w:val="00B36029"/>
    <w:rsid w:val="00B3646D"/>
    <w:rsid w:val="00B36D04"/>
    <w:rsid w:val="00B37A4E"/>
    <w:rsid w:val="00B37C11"/>
    <w:rsid w:val="00B4100E"/>
    <w:rsid w:val="00B4166F"/>
    <w:rsid w:val="00B41BC8"/>
    <w:rsid w:val="00B4267E"/>
    <w:rsid w:val="00B42BC7"/>
    <w:rsid w:val="00B430B6"/>
    <w:rsid w:val="00B44002"/>
    <w:rsid w:val="00B44999"/>
    <w:rsid w:val="00B451AD"/>
    <w:rsid w:val="00B46121"/>
    <w:rsid w:val="00B46366"/>
    <w:rsid w:val="00B46E45"/>
    <w:rsid w:val="00B47883"/>
    <w:rsid w:val="00B5029E"/>
    <w:rsid w:val="00B503DC"/>
    <w:rsid w:val="00B50F7D"/>
    <w:rsid w:val="00B5159C"/>
    <w:rsid w:val="00B515B9"/>
    <w:rsid w:val="00B516A6"/>
    <w:rsid w:val="00B52496"/>
    <w:rsid w:val="00B5365D"/>
    <w:rsid w:val="00B5412B"/>
    <w:rsid w:val="00B547B5"/>
    <w:rsid w:val="00B54890"/>
    <w:rsid w:val="00B5527B"/>
    <w:rsid w:val="00B55556"/>
    <w:rsid w:val="00B55BB4"/>
    <w:rsid w:val="00B55EDF"/>
    <w:rsid w:val="00B56B9D"/>
    <w:rsid w:val="00B56DAA"/>
    <w:rsid w:val="00B57715"/>
    <w:rsid w:val="00B57B48"/>
    <w:rsid w:val="00B61616"/>
    <w:rsid w:val="00B63108"/>
    <w:rsid w:val="00B63585"/>
    <w:rsid w:val="00B63C62"/>
    <w:rsid w:val="00B641D3"/>
    <w:rsid w:val="00B644CB"/>
    <w:rsid w:val="00B64E39"/>
    <w:rsid w:val="00B65B7E"/>
    <w:rsid w:val="00B6620E"/>
    <w:rsid w:val="00B66781"/>
    <w:rsid w:val="00B667E8"/>
    <w:rsid w:val="00B66B4D"/>
    <w:rsid w:val="00B67129"/>
    <w:rsid w:val="00B71F32"/>
    <w:rsid w:val="00B722F0"/>
    <w:rsid w:val="00B73190"/>
    <w:rsid w:val="00B731EA"/>
    <w:rsid w:val="00B734E5"/>
    <w:rsid w:val="00B7364E"/>
    <w:rsid w:val="00B74509"/>
    <w:rsid w:val="00B7571A"/>
    <w:rsid w:val="00B77E50"/>
    <w:rsid w:val="00B77F28"/>
    <w:rsid w:val="00B808E9"/>
    <w:rsid w:val="00B8241D"/>
    <w:rsid w:val="00B82854"/>
    <w:rsid w:val="00B833AA"/>
    <w:rsid w:val="00B84164"/>
    <w:rsid w:val="00B84812"/>
    <w:rsid w:val="00B85F48"/>
    <w:rsid w:val="00B86FEC"/>
    <w:rsid w:val="00B86FF0"/>
    <w:rsid w:val="00B90075"/>
    <w:rsid w:val="00B90BA9"/>
    <w:rsid w:val="00B913BF"/>
    <w:rsid w:val="00B91835"/>
    <w:rsid w:val="00B91B49"/>
    <w:rsid w:val="00B92282"/>
    <w:rsid w:val="00B93E27"/>
    <w:rsid w:val="00B93FB3"/>
    <w:rsid w:val="00B942F5"/>
    <w:rsid w:val="00B956C9"/>
    <w:rsid w:val="00B957A2"/>
    <w:rsid w:val="00B95813"/>
    <w:rsid w:val="00B963D5"/>
    <w:rsid w:val="00B96CEA"/>
    <w:rsid w:val="00B970E8"/>
    <w:rsid w:val="00B97999"/>
    <w:rsid w:val="00B97A6F"/>
    <w:rsid w:val="00BA145C"/>
    <w:rsid w:val="00BA198A"/>
    <w:rsid w:val="00BA52D5"/>
    <w:rsid w:val="00BA55F7"/>
    <w:rsid w:val="00BA57F6"/>
    <w:rsid w:val="00BA675F"/>
    <w:rsid w:val="00BA69C6"/>
    <w:rsid w:val="00BA69E9"/>
    <w:rsid w:val="00BA7055"/>
    <w:rsid w:val="00BB07C3"/>
    <w:rsid w:val="00BB1561"/>
    <w:rsid w:val="00BB1874"/>
    <w:rsid w:val="00BB344A"/>
    <w:rsid w:val="00BB4023"/>
    <w:rsid w:val="00BB40F5"/>
    <w:rsid w:val="00BB5099"/>
    <w:rsid w:val="00BB55FC"/>
    <w:rsid w:val="00BB5668"/>
    <w:rsid w:val="00BB5EF9"/>
    <w:rsid w:val="00BB6047"/>
    <w:rsid w:val="00BB752C"/>
    <w:rsid w:val="00BC01FD"/>
    <w:rsid w:val="00BC0A36"/>
    <w:rsid w:val="00BC0D16"/>
    <w:rsid w:val="00BC0E5C"/>
    <w:rsid w:val="00BC0EEB"/>
    <w:rsid w:val="00BC0F2D"/>
    <w:rsid w:val="00BC3BEB"/>
    <w:rsid w:val="00BC4E96"/>
    <w:rsid w:val="00BC51E7"/>
    <w:rsid w:val="00BC5BA4"/>
    <w:rsid w:val="00BC5C19"/>
    <w:rsid w:val="00BC6961"/>
    <w:rsid w:val="00BC700A"/>
    <w:rsid w:val="00BC749E"/>
    <w:rsid w:val="00BC7B3D"/>
    <w:rsid w:val="00BC7D66"/>
    <w:rsid w:val="00BD430D"/>
    <w:rsid w:val="00BD54E0"/>
    <w:rsid w:val="00BD5C06"/>
    <w:rsid w:val="00BD6245"/>
    <w:rsid w:val="00BD6F39"/>
    <w:rsid w:val="00BD7416"/>
    <w:rsid w:val="00BD7A5F"/>
    <w:rsid w:val="00BD7D6B"/>
    <w:rsid w:val="00BE0A0A"/>
    <w:rsid w:val="00BE0AF8"/>
    <w:rsid w:val="00BE0E02"/>
    <w:rsid w:val="00BE1929"/>
    <w:rsid w:val="00BE2B81"/>
    <w:rsid w:val="00BE4B45"/>
    <w:rsid w:val="00BE550A"/>
    <w:rsid w:val="00BE6603"/>
    <w:rsid w:val="00BE66B8"/>
    <w:rsid w:val="00BE68CF"/>
    <w:rsid w:val="00BE759B"/>
    <w:rsid w:val="00BE760C"/>
    <w:rsid w:val="00BE7BB7"/>
    <w:rsid w:val="00BF050F"/>
    <w:rsid w:val="00BF18B7"/>
    <w:rsid w:val="00BF20BA"/>
    <w:rsid w:val="00BF20EA"/>
    <w:rsid w:val="00BF2439"/>
    <w:rsid w:val="00BF24B3"/>
    <w:rsid w:val="00BF43E5"/>
    <w:rsid w:val="00BF47CB"/>
    <w:rsid w:val="00BF4E8A"/>
    <w:rsid w:val="00BF562E"/>
    <w:rsid w:val="00BF5B5A"/>
    <w:rsid w:val="00BF643F"/>
    <w:rsid w:val="00BF6FE2"/>
    <w:rsid w:val="00BF7532"/>
    <w:rsid w:val="00BF7B12"/>
    <w:rsid w:val="00C008E1"/>
    <w:rsid w:val="00C0323B"/>
    <w:rsid w:val="00C040DB"/>
    <w:rsid w:val="00C048ED"/>
    <w:rsid w:val="00C04A95"/>
    <w:rsid w:val="00C04F0D"/>
    <w:rsid w:val="00C07B9E"/>
    <w:rsid w:val="00C07F78"/>
    <w:rsid w:val="00C1041F"/>
    <w:rsid w:val="00C10472"/>
    <w:rsid w:val="00C10533"/>
    <w:rsid w:val="00C119A5"/>
    <w:rsid w:val="00C1214B"/>
    <w:rsid w:val="00C12C5B"/>
    <w:rsid w:val="00C12E00"/>
    <w:rsid w:val="00C1315E"/>
    <w:rsid w:val="00C13440"/>
    <w:rsid w:val="00C1395D"/>
    <w:rsid w:val="00C14EBD"/>
    <w:rsid w:val="00C15232"/>
    <w:rsid w:val="00C16962"/>
    <w:rsid w:val="00C2013A"/>
    <w:rsid w:val="00C206BC"/>
    <w:rsid w:val="00C206C3"/>
    <w:rsid w:val="00C2071C"/>
    <w:rsid w:val="00C21C84"/>
    <w:rsid w:val="00C2224C"/>
    <w:rsid w:val="00C22DC5"/>
    <w:rsid w:val="00C242A8"/>
    <w:rsid w:val="00C24A3B"/>
    <w:rsid w:val="00C27CFC"/>
    <w:rsid w:val="00C3017E"/>
    <w:rsid w:val="00C30B51"/>
    <w:rsid w:val="00C30C95"/>
    <w:rsid w:val="00C32B35"/>
    <w:rsid w:val="00C3317C"/>
    <w:rsid w:val="00C342DF"/>
    <w:rsid w:val="00C35555"/>
    <w:rsid w:val="00C35E59"/>
    <w:rsid w:val="00C41351"/>
    <w:rsid w:val="00C42115"/>
    <w:rsid w:val="00C42923"/>
    <w:rsid w:val="00C42AD0"/>
    <w:rsid w:val="00C42EAD"/>
    <w:rsid w:val="00C430D2"/>
    <w:rsid w:val="00C4497C"/>
    <w:rsid w:val="00C44B74"/>
    <w:rsid w:val="00C473B6"/>
    <w:rsid w:val="00C47F5E"/>
    <w:rsid w:val="00C50C88"/>
    <w:rsid w:val="00C56876"/>
    <w:rsid w:val="00C56A6A"/>
    <w:rsid w:val="00C57D80"/>
    <w:rsid w:val="00C608F0"/>
    <w:rsid w:val="00C61050"/>
    <w:rsid w:val="00C62079"/>
    <w:rsid w:val="00C624A3"/>
    <w:rsid w:val="00C62AC9"/>
    <w:rsid w:val="00C63A08"/>
    <w:rsid w:val="00C63A86"/>
    <w:rsid w:val="00C6434F"/>
    <w:rsid w:val="00C649C2"/>
    <w:rsid w:val="00C649F6"/>
    <w:rsid w:val="00C65B5E"/>
    <w:rsid w:val="00C66137"/>
    <w:rsid w:val="00C666E5"/>
    <w:rsid w:val="00C67CB2"/>
    <w:rsid w:val="00C708E2"/>
    <w:rsid w:val="00C709E8"/>
    <w:rsid w:val="00C70E12"/>
    <w:rsid w:val="00C710B9"/>
    <w:rsid w:val="00C713C9"/>
    <w:rsid w:val="00C71992"/>
    <w:rsid w:val="00C7264E"/>
    <w:rsid w:val="00C72C51"/>
    <w:rsid w:val="00C73165"/>
    <w:rsid w:val="00C73893"/>
    <w:rsid w:val="00C73A7D"/>
    <w:rsid w:val="00C73B94"/>
    <w:rsid w:val="00C73EA6"/>
    <w:rsid w:val="00C742E3"/>
    <w:rsid w:val="00C74ECA"/>
    <w:rsid w:val="00C75759"/>
    <w:rsid w:val="00C76382"/>
    <w:rsid w:val="00C765A9"/>
    <w:rsid w:val="00C77C7C"/>
    <w:rsid w:val="00C80BA7"/>
    <w:rsid w:val="00C81F24"/>
    <w:rsid w:val="00C83DD7"/>
    <w:rsid w:val="00C84A72"/>
    <w:rsid w:val="00C84B2B"/>
    <w:rsid w:val="00C84ED8"/>
    <w:rsid w:val="00C86E92"/>
    <w:rsid w:val="00C86F99"/>
    <w:rsid w:val="00C904F0"/>
    <w:rsid w:val="00C908DC"/>
    <w:rsid w:val="00C9091C"/>
    <w:rsid w:val="00C90B0F"/>
    <w:rsid w:val="00C90DCD"/>
    <w:rsid w:val="00C92119"/>
    <w:rsid w:val="00C92636"/>
    <w:rsid w:val="00C9273A"/>
    <w:rsid w:val="00C93096"/>
    <w:rsid w:val="00C93DDC"/>
    <w:rsid w:val="00C94A82"/>
    <w:rsid w:val="00C94FFF"/>
    <w:rsid w:val="00C95698"/>
    <w:rsid w:val="00C96253"/>
    <w:rsid w:val="00C97101"/>
    <w:rsid w:val="00C9711B"/>
    <w:rsid w:val="00CA1669"/>
    <w:rsid w:val="00CA1BE4"/>
    <w:rsid w:val="00CA2122"/>
    <w:rsid w:val="00CA2CA8"/>
    <w:rsid w:val="00CA3293"/>
    <w:rsid w:val="00CA4803"/>
    <w:rsid w:val="00CA585B"/>
    <w:rsid w:val="00CA70C3"/>
    <w:rsid w:val="00CA77D5"/>
    <w:rsid w:val="00CA7F43"/>
    <w:rsid w:val="00CB0B24"/>
    <w:rsid w:val="00CB1B3A"/>
    <w:rsid w:val="00CB2AD1"/>
    <w:rsid w:val="00CB3CAB"/>
    <w:rsid w:val="00CB4480"/>
    <w:rsid w:val="00CB44BC"/>
    <w:rsid w:val="00CB4E3C"/>
    <w:rsid w:val="00CB5349"/>
    <w:rsid w:val="00CB5963"/>
    <w:rsid w:val="00CB59FD"/>
    <w:rsid w:val="00CB6118"/>
    <w:rsid w:val="00CB6AA4"/>
    <w:rsid w:val="00CB7679"/>
    <w:rsid w:val="00CB78AC"/>
    <w:rsid w:val="00CB7F53"/>
    <w:rsid w:val="00CC06EF"/>
    <w:rsid w:val="00CC12F6"/>
    <w:rsid w:val="00CC24F2"/>
    <w:rsid w:val="00CC2549"/>
    <w:rsid w:val="00CC2BE9"/>
    <w:rsid w:val="00CC2E35"/>
    <w:rsid w:val="00CC318C"/>
    <w:rsid w:val="00CC484E"/>
    <w:rsid w:val="00CC4EAF"/>
    <w:rsid w:val="00CC54E6"/>
    <w:rsid w:val="00CC5546"/>
    <w:rsid w:val="00CD01DA"/>
    <w:rsid w:val="00CD06E8"/>
    <w:rsid w:val="00CD08B0"/>
    <w:rsid w:val="00CD1EEE"/>
    <w:rsid w:val="00CD28B6"/>
    <w:rsid w:val="00CD28BA"/>
    <w:rsid w:val="00CD313B"/>
    <w:rsid w:val="00CD42D8"/>
    <w:rsid w:val="00CD4737"/>
    <w:rsid w:val="00CD527F"/>
    <w:rsid w:val="00CD54EA"/>
    <w:rsid w:val="00CD74CD"/>
    <w:rsid w:val="00CD7E98"/>
    <w:rsid w:val="00CE00AA"/>
    <w:rsid w:val="00CE18DF"/>
    <w:rsid w:val="00CE4F7D"/>
    <w:rsid w:val="00CE5105"/>
    <w:rsid w:val="00CF1188"/>
    <w:rsid w:val="00CF129F"/>
    <w:rsid w:val="00CF1BC2"/>
    <w:rsid w:val="00CF1FA2"/>
    <w:rsid w:val="00CF42C0"/>
    <w:rsid w:val="00CF467E"/>
    <w:rsid w:val="00CF4A7D"/>
    <w:rsid w:val="00CF60D5"/>
    <w:rsid w:val="00CF6982"/>
    <w:rsid w:val="00D00C21"/>
    <w:rsid w:val="00D00E3C"/>
    <w:rsid w:val="00D00FEC"/>
    <w:rsid w:val="00D01730"/>
    <w:rsid w:val="00D0173F"/>
    <w:rsid w:val="00D01B96"/>
    <w:rsid w:val="00D02943"/>
    <w:rsid w:val="00D03138"/>
    <w:rsid w:val="00D03D60"/>
    <w:rsid w:val="00D04232"/>
    <w:rsid w:val="00D05824"/>
    <w:rsid w:val="00D06B0B"/>
    <w:rsid w:val="00D06C63"/>
    <w:rsid w:val="00D06EC4"/>
    <w:rsid w:val="00D07C24"/>
    <w:rsid w:val="00D10806"/>
    <w:rsid w:val="00D120DC"/>
    <w:rsid w:val="00D12FFA"/>
    <w:rsid w:val="00D13517"/>
    <w:rsid w:val="00D1414F"/>
    <w:rsid w:val="00D15248"/>
    <w:rsid w:val="00D1537F"/>
    <w:rsid w:val="00D158BF"/>
    <w:rsid w:val="00D16EC3"/>
    <w:rsid w:val="00D172B5"/>
    <w:rsid w:val="00D1790E"/>
    <w:rsid w:val="00D20060"/>
    <w:rsid w:val="00D21AD7"/>
    <w:rsid w:val="00D21BC0"/>
    <w:rsid w:val="00D229C8"/>
    <w:rsid w:val="00D22EA0"/>
    <w:rsid w:val="00D23B72"/>
    <w:rsid w:val="00D24C7F"/>
    <w:rsid w:val="00D252BB"/>
    <w:rsid w:val="00D25ECD"/>
    <w:rsid w:val="00D25ECF"/>
    <w:rsid w:val="00D26CAF"/>
    <w:rsid w:val="00D26DCB"/>
    <w:rsid w:val="00D2744A"/>
    <w:rsid w:val="00D27530"/>
    <w:rsid w:val="00D279CB"/>
    <w:rsid w:val="00D30351"/>
    <w:rsid w:val="00D30D8C"/>
    <w:rsid w:val="00D32E04"/>
    <w:rsid w:val="00D339E0"/>
    <w:rsid w:val="00D33A18"/>
    <w:rsid w:val="00D34AEF"/>
    <w:rsid w:val="00D34CDB"/>
    <w:rsid w:val="00D35651"/>
    <w:rsid w:val="00D359A3"/>
    <w:rsid w:val="00D360B4"/>
    <w:rsid w:val="00D365A5"/>
    <w:rsid w:val="00D37C11"/>
    <w:rsid w:val="00D4255E"/>
    <w:rsid w:val="00D431CA"/>
    <w:rsid w:val="00D442F8"/>
    <w:rsid w:val="00D448AB"/>
    <w:rsid w:val="00D457EB"/>
    <w:rsid w:val="00D45DC8"/>
    <w:rsid w:val="00D4775F"/>
    <w:rsid w:val="00D501C8"/>
    <w:rsid w:val="00D501CF"/>
    <w:rsid w:val="00D5073E"/>
    <w:rsid w:val="00D5079E"/>
    <w:rsid w:val="00D50BA3"/>
    <w:rsid w:val="00D51439"/>
    <w:rsid w:val="00D52A26"/>
    <w:rsid w:val="00D52BB0"/>
    <w:rsid w:val="00D53A19"/>
    <w:rsid w:val="00D53A2F"/>
    <w:rsid w:val="00D54EFE"/>
    <w:rsid w:val="00D55089"/>
    <w:rsid w:val="00D55109"/>
    <w:rsid w:val="00D55A01"/>
    <w:rsid w:val="00D56B93"/>
    <w:rsid w:val="00D5756B"/>
    <w:rsid w:val="00D5772A"/>
    <w:rsid w:val="00D577A5"/>
    <w:rsid w:val="00D57895"/>
    <w:rsid w:val="00D57BCB"/>
    <w:rsid w:val="00D603DD"/>
    <w:rsid w:val="00D60F87"/>
    <w:rsid w:val="00D616C5"/>
    <w:rsid w:val="00D61D76"/>
    <w:rsid w:val="00D638BB"/>
    <w:rsid w:val="00D64381"/>
    <w:rsid w:val="00D6461C"/>
    <w:rsid w:val="00D65A64"/>
    <w:rsid w:val="00D673B6"/>
    <w:rsid w:val="00D67F02"/>
    <w:rsid w:val="00D70B85"/>
    <w:rsid w:val="00D710B5"/>
    <w:rsid w:val="00D72EA1"/>
    <w:rsid w:val="00D767EC"/>
    <w:rsid w:val="00D77654"/>
    <w:rsid w:val="00D8119C"/>
    <w:rsid w:val="00D813F3"/>
    <w:rsid w:val="00D817B0"/>
    <w:rsid w:val="00D83070"/>
    <w:rsid w:val="00D83592"/>
    <w:rsid w:val="00D8483A"/>
    <w:rsid w:val="00D84ABF"/>
    <w:rsid w:val="00D851A8"/>
    <w:rsid w:val="00D8577C"/>
    <w:rsid w:val="00D86095"/>
    <w:rsid w:val="00D86BCF"/>
    <w:rsid w:val="00D87C51"/>
    <w:rsid w:val="00D87F72"/>
    <w:rsid w:val="00D900D3"/>
    <w:rsid w:val="00D902A7"/>
    <w:rsid w:val="00D902D5"/>
    <w:rsid w:val="00D902DE"/>
    <w:rsid w:val="00D9066B"/>
    <w:rsid w:val="00D910B8"/>
    <w:rsid w:val="00D92AF1"/>
    <w:rsid w:val="00D93D69"/>
    <w:rsid w:val="00D94F00"/>
    <w:rsid w:val="00D95528"/>
    <w:rsid w:val="00D97342"/>
    <w:rsid w:val="00D97A9A"/>
    <w:rsid w:val="00D97E18"/>
    <w:rsid w:val="00DA06A6"/>
    <w:rsid w:val="00DA0A11"/>
    <w:rsid w:val="00DA1227"/>
    <w:rsid w:val="00DA5175"/>
    <w:rsid w:val="00DA574B"/>
    <w:rsid w:val="00DA5D18"/>
    <w:rsid w:val="00DB0034"/>
    <w:rsid w:val="00DB1ABC"/>
    <w:rsid w:val="00DB2121"/>
    <w:rsid w:val="00DB256E"/>
    <w:rsid w:val="00DB2D04"/>
    <w:rsid w:val="00DB36C6"/>
    <w:rsid w:val="00DB4996"/>
    <w:rsid w:val="00DB586C"/>
    <w:rsid w:val="00DB58E7"/>
    <w:rsid w:val="00DB63E6"/>
    <w:rsid w:val="00DB6A6A"/>
    <w:rsid w:val="00DC0460"/>
    <w:rsid w:val="00DC0549"/>
    <w:rsid w:val="00DC057D"/>
    <w:rsid w:val="00DC115A"/>
    <w:rsid w:val="00DC24A2"/>
    <w:rsid w:val="00DC2F12"/>
    <w:rsid w:val="00DC54E6"/>
    <w:rsid w:val="00DC5C91"/>
    <w:rsid w:val="00DC5FDC"/>
    <w:rsid w:val="00DC6A8B"/>
    <w:rsid w:val="00DC7A78"/>
    <w:rsid w:val="00DD055D"/>
    <w:rsid w:val="00DD190B"/>
    <w:rsid w:val="00DD3689"/>
    <w:rsid w:val="00DD4F12"/>
    <w:rsid w:val="00DD546C"/>
    <w:rsid w:val="00DD6631"/>
    <w:rsid w:val="00DD6B43"/>
    <w:rsid w:val="00DD714F"/>
    <w:rsid w:val="00DD7FC5"/>
    <w:rsid w:val="00DE0D61"/>
    <w:rsid w:val="00DE1FF0"/>
    <w:rsid w:val="00DE4EB8"/>
    <w:rsid w:val="00DE596E"/>
    <w:rsid w:val="00DE6344"/>
    <w:rsid w:val="00DE6545"/>
    <w:rsid w:val="00DE66FE"/>
    <w:rsid w:val="00DE6E6B"/>
    <w:rsid w:val="00DE74E7"/>
    <w:rsid w:val="00DF0057"/>
    <w:rsid w:val="00DF0ECE"/>
    <w:rsid w:val="00DF0F97"/>
    <w:rsid w:val="00DF169E"/>
    <w:rsid w:val="00DF2173"/>
    <w:rsid w:val="00DF2199"/>
    <w:rsid w:val="00DF21E6"/>
    <w:rsid w:val="00DF2D2C"/>
    <w:rsid w:val="00DF2E42"/>
    <w:rsid w:val="00DF3280"/>
    <w:rsid w:val="00DF5CD4"/>
    <w:rsid w:val="00DF668B"/>
    <w:rsid w:val="00DF68CD"/>
    <w:rsid w:val="00DF6A2C"/>
    <w:rsid w:val="00DF7306"/>
    <w:rsid w:val="00E00523"/>
    <w:rsid w:val="00E00AFA"/>
    <w:rsid w:val="00E013C0"/>
    <w:rsid w:val="00E01703"/>
    <w:rsid w:val="00E01F84"/>
    <w:rsid w:val="00E03473"/>
    <w:rsid w:val="00E0650C"/>
    <w:rsid w:val="00E06E81"/>
    <w:rsid w:val="00E07F4B"/>
    <w:rsid w:val="00E10AE6"/>
    <w:rsid w:val="00E11155"/>
    <w:rsid w:val="00E114E8"/>
    <w:rsid w:val="00E115C7"/>
    <w:rsid w:val="00E11B68"/>
    <w:rsid w:val="00E12055"/>
    <w:rsid w:val="00E1277E"/>
    <w:rsid w:val="00E12E3A"/>
    <w:rsid w:val="00E14B03"/>
    <w:rsid w:val="00E14E65"/>
    <w:rsid w:val="00E15583"/>
    <w:rsid w:val="00E158B7"/>
    <w:rsid w:val="00E1625B"/>
    <w:rsid w:val="00E16BE5"/>
    <w:rsid w:val="00E16FE9"/>
    <w:rsid w:val="00E21733"/>
    <w:rsid w:val="00E21EAA"/>
    <w:rsid w:val="00E225F0"/>
    <w:rsid w:val="00E25723"/>
    <w:rsid w:val="00E26265"/>
    <w:rsid w:val="00E304B4"/>
    <w:rsid w:val="00E30C29"/>
    <w:rsid w:val="00E32B73"/>
    <w:rsid w:val="00E34010"/>
    <w:rsid w:val="00E34A10"/>
    <w:rsid w:val="00E34C01"/>
    <w:rsid w:val="00E35637"/>
    <w:rsid w:val="00E35CA8"/>
    <w:rsid w:val="00E35D4A"/>
    <w:rsid w:val="00E36074"/>
    <w:rsid w:val="00E3692A"/>
    <w:rsid w:val="00E372D0"/>
    <w:rsid w:val="00E375CA"/>
    <w:rsid w:val="00E40E5E"/>
    <w:rsid w:val="00E416FB"/>
    <w:rsid w:val="00E419A9"/>
    <w:rsid w:val="00E41F33"/>
    <w:rsid w:val="00E41FC7"/>
    <w:rsid w:val="00E423CE"/>
    <w:rsid w:val="00E428E2"/>
    <w:rsid w:val="00E42EB1"/>
    <w:rsid w:val="00E42ECA"/>
    <w:rsid w:val="00E43227"/>
    <w:rsid w:val="00E43324"/>
    <w:rsid w:val="00E43F17"/>
    <w:rsid w:val="00E44737"/>
    <w:rsid w:val="00E46635"/>
    <w:rsid w:val="00E500D0"/>
    <w:rsid w:val="00E513E7"/>
    <w:rsid w:val="00E525ED"/>
    <w:rsid w:val="00E5266B"/>
    <w:rsid w:val="00E52F76"/>
    <w:rsid w:val="00E53CD9"/>
    <w:rsid w:val="00E54075"/>
    <w:rsid w:val="00E54699"/>
    <w:rsid w:val="00E54A13"/>
    <w:rsid w:val="00E555F3"/>
    <w:rsid w:val="00E579E9"/>
    <w:rsid w:val="00E60969"/>
    <w:rsid w:val="00E60C92"/>
    <w:rsid w:val="00E610D9"/>
    <w:rsid w:val="00E619B9"/>
    <w:rsid w:val="00E61B7B"/>
    <w:rsid w:val="00E61B7F"/>
    <w:rsid w:val="00E63127"/>
    <w:rsid w:val="00E642C3"/>
    <w:rsid w:val="00E644B3"/>
    <w:rsid w:val="00E65D70"/>
    <w:rsid w:val="00E6677D"/>
    <w:rsid w:val="00E66A2D"/>
    <w:rsid w:val="00E66B4B"/>
    <w:rsid w:val="00E72F0D"/>
    <w:rsid w:val="00E744CB"/>
    <w:rsid w:val="00E746D0"/>
    <w:rsid w:val="00E74C28"/>
    <w:rsid w:val="00E75A22"/>
    <w:rsid w:val="00E76228"/>
    <w:rsid w:val="00E765F2"/>
    <w:rsid w:val="00E770F1"/>
    <w:rsid w:val="00E77E69"/>
    <w:rsid w:val="00E77ECC"/>
    <w:rsid w:val="00E80F38"/>
    <w:rsid w:val="00E812B1"/>
    <w:rsid w:val="00E81621"/>
    <w:rsid w:val="00E81A20"/>
    <w:rsid w:val="00E81BD2"/>
    <w:rsid w:val="00E82D24"/>
    <w:rsid w:val="00E82DAA"/>
    <w:rsid w:val="00E8457A"/>
    <w:rsid w:val="00E847D7"/>
    <w:rsid w:val="00E84AB8"/>
    <w:rsid w:val="00E84C1B"/>
    <w:rsid w:val="00E84CA0"/>
    <w:rsid w:val="00E85DD3"/>
    <w:rsid w:val="00E9053D"/>
    <w:rsid w:val="00E90AD8"/>
    <w:rsid w:val="00E90B38"/>
    <w:rsid w:val="00E9183C"/>
    <w:rsid w:val="00E91B71"/>
    <w:rsid w:val="00E92689"/>
    <w:rsid w:val="00E93D94"/>
    <w:rsid w:val="00E9422A"/>
    <w:rsid w:val="00E950EE"/>
    <w:rsid w:val="00E96B59"/>
    <w:rsid w:val="00E9761B"/>
    <w:rsid w:val="00EA1864"/>
    <w:rsid w:val="00EA1B04"/>
    <w:rsid w:val="00EA2DC0"/>
    <w:rsid w:val="00EA3358"/>
    <w:rsid w:val="00EA3B21"/>
    <w:rsid w:val="00EA4146"/>
    <w:rsid w:val="00EA485C"/>
    <w:rsid w:val="00EA4AF2"/>
    <w:rsid w:val="00EA5EC1"/>
    <w:rsid w:val="00EA6685"/>
    <w:rsid w:val="00EB3116"/>
    <w:rsid w:val="00EB3174"/>
    <w:rsid w:val="00EB3FA3"/>
    <w:rsid w:val="00EB4085"/>
    <w:rsid w:val="00EB5069"/>
    <w:rsid w:val="00EB51E9"/>
    <w:rsid w:val="00EB5C0F"/>
    <w:rsid w:val="00EB601C"/>
    <w:rsid w:val="00EB61D6"/>
    <w:rsid w:val="00EB6AFE"/>
    <w:rsid w:val="00EC15C0"/>
    <w:rsid w:val="00EC1EF8"/>
    <w:rsid w:val="00EC3475"/>
    <w:rsid w:val="00EC42B0"/>
    <w:rsid w:val="00EC4389"/>
    <w:rsid w:val="00EC4E35"/>
    <w:rsid w:val="00EC5992"/>
    <w:rsid w:val="00EC6777"/>
    <w:rsid w:val="00EC79BE"/>
    <w:rsid w:val="00ED11BC"/>
    <w:rsid w:val="00ED1441"/>
    <w:rsid w:val="00ED1949"/>
    <w:rsid w:val="00ED197D"/>
    <w:rsid w:val="00ED1C5D"/>
    <w:rsid w:val="00ED2014"/>
    <w:rsid w:val="00ED4128"/>
    <w:rsid w:val="00ED5E1E"/>
    <w:rsid w:val="00ED72F1"/>
    <w:rsid w:val="00ED753D"/>
    <w:rsid w:val="00ED7804"/>
    <w:rsid w:val="00ED7C51"/>
    <w:rsid w:val="00EE055A"/>
    <w:rsid w:val="00EE0DFD"/>
    <w:rsid w:val="00EE0E8F"/>
    <w:rsid w:val="00EE10BE"/>
    <w:rsid w:val="00EE1EAE"/>
    <w:rsid w:val="00EE31FA"/>
    <w:rsid w:val="00EE41E9"/>
    <w:rsid w:val="00EE4BA6"/>
    <w:rsid w:val="00EE5E7A"/>
    <w:rsid w:val="00EE6F13"/>
    <w:rsid w:val="00EE782B"/>
    <w:rsid w:val="00EE7B08"/>
    <w:rsid w:val="00EF07A2"/>
    <w:rsid w:val="00EF0F9E"/>
    <w:rsid w:val="00EF2278"/>
    <w:rsid w:val="00EF2695"/>
    <w:rsid w:val="00EF298A"/>
    <w:rsid w:val="00EF29EE"/>
    <w:rsid w:val="00EF40B0"/>
    <w:rsid w:val="00EF4A34"/>
    <w:rsid w:val="00EF4BD5"/>
    <w:rsid w:val="00EF5366"/>
    <w:rsid w:val="00EF5548"/>
    <w:rsid w:val="00EF5874"/>
    <w:rsid w:val="00EF7289"/>
    <w:rsid w:val="00EF7FEF"/>
    <w:rsid w:val="00F00B11"/>
    <w:rsid w:val="00F01AEA"/>
    <w:rsid w:val="00F02605"/>
    <w:rsid w:val="00F02F1C"/>
    <w:rsid w:val="00F02FDC"/>
    <w:rsid w:val="00F04713"/>
    <w:rsid w:val="00F0504C"/>
    <w:rsid w:val="00F0608F"/>
    <w:rsid w:val="00F06A7C"/>
    <w:rsid w:val="00F06E12"/>
    <w:rsid w:val="00F11006"/>
    <w:rsid w:val="00F11169"/>
    <w:rsid w:val="00F1161E"/>
    <w:rsid w:val="00F1240D"/>
    <w:rsid w:val="00F14D2D"/>
    <w:rsid w:val="00F16B6F"/>
    <w:rsid w:val="00F17BED"/>
    <w:rsid w:val="00F2018B"/>
    <w:rsid w:val="00F20A86"/>
    <w:rsid w:val="00F20BA2"/>
    <w:rsid w:val="00F22D46"/>
    <w:rsid w:val="00F2370F"/>
    <w:rsid w:val="00F240FD"/>
    <w:rsid w:val="00F24D02"/>
    <w:rsid w:val="00F2578B"/>
    <w:rsid w:val="00F27957"/>
    <w:rsid w:val="00F3005A"/>
    <w:rsid w:val="00F31363"/>
    <w:rsid w:val="00F31C85"/>
    <w:rsid w:val="00F31DA0"/>
    <w:rsid w:val="00F3283B"/>
    <w:rsid w:val="00F32A8E"/>
    <w:rsid w:val="00F32BD2"/>
    <w:rsid w:val="00F3396D"/>
    <w:rsid w:val="00F340C9"/>
    <w:rsid w:val="00F34105"/>
    <w:rsid w:val="00F34132"/>
    <w:rsid w:val="00F3568D"/>
    <w:rsid w:val="00F35D42"/>
    <w:rsid w:val="00F37118"/>
    <w:rsid w:val="00F3786A"/>
    <w:rsid w:val="00F4003F"/>
    <w:rsid w:val="00F40316"/>
    <w:rsid w:val="00F414DE"/>
    <w:rsid w:val="00F424FF"/>
    <w:rsid w:val="00F429C5"/>
    <w:rsid w:val="00F42DCC"/>
    <w:rsid w:val="00F44348"/>
    <w:rsid w:val="00F44BE5"/>
    <w:rsid w:val="00F46D3B"/>
    <w:rsid w:val="00F472A3"/>
    <w:rsid w:val="00F47D99"/>
    <w:rsid w:val="00F514FB"/>
    <w:rsid w:val="00F51D4A"/>
    <w:rsid w:val="00F52013"/>
    <w:rsid w:val="00F523C6"/>
    <w:rsid w:val="00F52B14"/>
    <w:rsid w:val="00F52D03"/>
    <w:rsid w:val="00F52EC2"/>
    <w:rsid w:val="00F564C7"/>
    <w:rsid w:val="00F56CEA"/>
    <w:rsid w:val="00F5738F"/>
    <w:rsid w:val="00F575ED"/>
    <w:rsid w:val="00F57F32"/>
    <w:rsid w:val="00F60BEB"/>
    <w:rsid w:val="00F60DC0"/>
    <w:rsid w:val="00F616F7"/>
    <w:rsid w:val="00F61C58"/>
    <w:rsid w:val="00F62A77"/>
    <w:rsid w:val="00F62B79"/>
    <w:rsid w:val="00F62E3C"/>
    <w:rsid w:val="00F637EB"/>
    <w:rsid w:val="00F63AAB"/>
    <w:rsid w:val="00F65DB9"/>
    <w:rsid w:val="00F661E3"/>
    <w:rsid w:val="00F66818"/>
    <w:rsid w:val="00F67914"/>
    <w:rsid w:val="00F67938"/>
    <w:rsid w:val="00F67A3A"/>
    <w:rsid w:val="00F67DB9"/>
    <w:rsid w:val="00F705C3"/>
    <w:rsid w:val="00F70745"/>
    <w:rsid w:val="00F70C79"/>
    <w:rsid w:val="00F70E8D"/>
    <w:rsid w:val="00F70F00"/>
    <w:rsid w:val="00F711E5"/>
    <w:rsid w:val="00F7120C"/>
    <w:rsid w:val="00F71FEF"/>
    <w:rsid w:val="00F72318"/>
    <w:rsid w:val="00F725FE"/>
    <w:rsid w:val="00F726C4"/>
    <w:rsid w:val="00F72827"/>
    <w:rsid w:val="00F728C5"/>
    <w:rsid w:val="00F72E56"/>
    <w:rsid w:val="00F72E70"/>
    <w:rsid w:val="00F73E9B"/>
    <w:rsid w:val="00F73EAD"/>
    <w:rsid w:val="00F764A4"/>
    <w:rsid w:val="00F76D94"/>
    <w:rsid w:val="00F76F16"/>
    <w:rsid w:val="00F7784D"/>
    <w:rsid w:val="00F77BA7"/>
    <w:rsid w:val="00F8107F"/>
    <w:rsid w:val="00F8139F"/>
    <w:rsid w:val="00F814B5"/>
    <w:rsid w:val="00F814FF"/>
    <w:rsid w:val="00F8151B"/>
    <w:rsid w:val="00F818A3"/>
    <w:rsid w:val="00F83346"/>
    <w:rsid w:val="00F833D5"/>
    <w:rsid w:val="00F83F2F"/>
    <w:rsid w:val="00F85145"/>
    <w:rsid w:val="00F8558E"/>
    <w:rsid w:val="00F856CF"/>
    <w:rsid w:val="00F85922"/>
    <w:rsid w:val="00F85B57"/>
    <w:rsid w:val="00F85C68"/>
    <w:rsid w:val="00F87458"/>
    <w:rsid w:val="00F87BD7"/>
    <w:rsid w:val="00F90196"/>
    <w:rsid w:val="00F91063"/>
    <w:rsid w:val="00F9151B"/>
    <w:rsid w:val="00F91B8C"/>
    <w:rsid w:val="00F927D5"/>
    <w:rsid w:val="00F92CE5"/>
    <w:rsid w:val="00F93777"/>
    <w:rsid w:val="00F93D50"/>
    <w:rsid w:val="00F942FE"/>
    <w:rsid w:val="00F95870"/>
    <w:rsid w:val="00F96543"/>
    <w:rsid w:val="00F96821"/>
    <w:rsid w:val="00F96F97"/>
    <w:rsid w:val="00F972B7"/>
    <w:rsid w:val="00F9795F"/>
    <w:rsid w:val="00FA055A"/>
    <w:rsid w:val="00FA0637"/>
    <w:rsid w:val="00FA1591"/>
    <w:rsid w:val="00FA4143"/>
    <w:rsid w:val="00FA439E"/>
    <w:rsid w:val="00FA4491"/>
    <w:rsid w:val="00FA5ECA"/>
    <w:rsid w:val="00FB02FA"/>
    <w:rsid w:val="00FB29DC"/>
    <w:rsid w:val="00FB37C8"/>
    <w:rsid w:val="00FB3AE9"/>
    <w:rsid w:val="00FB3EB2"/>
    <w:rsid w:val="00FB4CC9"/>
    <w:rsid w:val="00FB4F7C"/>
    <w:rsid w:val="00FB5720"/>
    <w:rsid w:val="00FB5ABF"/>
    <w:rsid w:val="00FB5C76"/>
    <w:rsid w:val="00FB7581"/>
    <w:rsid w:val="00FC002C"/>
    <w:rsid w:val="00FC010C"/>
    <w:rsid w:val="00FC0C4F"/>
    <w:rsid w:val="00FC2797"/>
    <w:rsid w:val="00FC2817"/>
    <w:rsid w:val="00FC328D"/>
    <w:rsid w:val="00FC34BE"/>
    <w:rsid w:val="00FC3A44"/>
    <w:rsid w:val="00FC4947"/>
    <w:rsid w:val="00FC4BD8"/>
    <w:rsid w:val="00FC4E87"/>
    <w:rsid w:val="00FC4EF1"/>
    <w:rsid w:val="00FC5206"/>
    <w:rsid w:val="00FC6112"/>
    <w:rsid w:val="00FC670A"/>
    <w:rsid w:val="00FC78C5"/>
    <w:rsid w:val="00FD038A"/>
    <w:rsid w:val="00FD08A8"/>
    <w:rsid w:val="00FD11F2"/>
    <w:rsid w:val="00FD1904"/>
    <w:rsid w:val="00FD2206"/>
    <w:rsid w:val="00FD26FF"/>
    <w:rsid w:val="00FD2CA5"/>
    <w:rsid w:val="00FD2D86"/>
    <w:rsid w:val="00FD2FC0"/>
    <w:rsid w:val="00FD3741"/>
    <w:rsid w:val="00FD3EAB"/>
    <w:rsid w:val="00FD4A2B"/>
    <w:rsid w:val="00FD4F10"/>
    <w:rsid w:val="00FD5176"/>
    <w:rsid w:val="00FD55E1"/>
    <w:rsid w:val="00FD61C5"/>
    <w:rsid w:val="00FD7A50"/>
    <w:rsid w:val="00FD7DDB"/>
    <w:rsid w:val="00FE0057"/>
    <w:rsid w:val="00FE01E8"/>
    <w:rsid w:val="00FE06CC"/>
    <w:rsid w:val="00FE18C9"/>
    <w:rsid w:val="00FE2CBA"/>
    <w:rsid w:val="00FE2F21"/>
    <w:rsid w:val="00FE3657"/>
    <w:rsid w:val="00FE3C36"/>
    <w:rsid w:val="00FE5666"/>
    <w:rsid w:val="00FE7011"/>
    <w:rsid w:val="00FE7337"/>
    <w:rsid w:val="00FE75CF"/>
    <w:rsid w:val="00FE7937"/>
    <w:rsid w:val="00FE7D59"/>
    <w:rsid w:val="00FE7F18"/>
    <w:rsid w:val="00FF0BF5"/>
    <w:rsid w:val="00FF0CA2"/>
    <w:rsid w:val="00FF1414"/>
    <w:rsid w:val="00FF1523"/>
    <w:rsid w:val="00FF19B9"/>
    <w:rsid w:val="00FF5DC2"/>
    <w:rsid w:val="00FF6933"/>
    <w:rsid w:val="00FF716B"/>
    <w:rsid w:val="01037827"/>
    <w:rsid w:val="03D26CAE"/>
    <w:rsid w:val="0533111A"/>
    <w:rsid w:val="0539705F"/>
    <w:rsid w:val="07414C34"/>
    <w:rsid w:val="07476620"/>
    <w:rsid w:val="0B905927"/>
    <w:rsid w:val="0D4348F1"/>
    <w:rsid w:val="0E3E48E9"/>
    <w:rsid w:val="0E5F287F"/>
    <w:rsid w:val="0F572DBB"/>
    <w:rsid w:val="11AF53F1"/>
    <w:rsid w:val="12861652"/>
    <w:rsid w:val="1331081A"/>
    <w:rsid w:val="16CF11FF"/>
    <w:rsid w:val="17AC3046"/>
    <w:rsid w:val="17B92A2F"/>
    <w:rsid w:val="18C114AD"/>
    <w:rsid w:val="208F0CAC"/>
    <w:rsid w:val="212F04B1"/>
    <w:rsid w:val="216D2979"/>
    <w:rsid w:val="2368307E"/>
    <w:rsid w:val="24980024"/>
    <w:rsid w:val="24BD3413"/>
    <w:rsid w:val="27CA1771"/>
    <w:rsid w:val="28CE659F"/>
    <w:rsid w:val="297B5BC2"/>
    <w:rsid w:val="29850CB3"/>
    <w:rsid w:val="2B2338F3"/>
    <w:rsid w:val="2BBE1C7A"/>
    <w:rsid w:val="2DF472BF"/>
    <w:rsid w:val="2DF91068"/>
    <w:rsid w:val="2E9C62E0"/>
    <w:rsid w:val="2F5307B0"/>
    <w:rsid w:val="34187B97"/>
    <w:rsid w:val="348C5855"/>
    <w:rsid w:val="35A259D5"/>
    <w:rsid w:val="36B84136"/>
    <w:rsid w:val="39227973"/>
    <w:rsid w:val="3A5F2239"/>
    <w:rsid w:val="3B1649BD"/>
    <w:rsid w:val="3C9821E2"/>
    <w:rsid w:val="3CB65783"/>
    <w:rsid w:val="3D0C72B2"/>
    <w:rsid w:val="3D3908E9"/>
    <w:rsid w:val="3E41208D"/>
    <w:rsid w:val="3E7026C8"/>
    <w:rsid w:val="404204F8"/>
    <w:rsid w:val="42887F82"/>
    <w:rsid w:val="4918721F"/>
    <w:rsid w:val="4A6A5E79"/>
    <w:rsid w:val="4A97171D"/>
    <w:rsid w:val="4BA66728"/>
    <w:rsid w:val="53A759D5"/>
    <w:rsid w:val="53DF453C"/>
    <w:rsid w:val="567676EB"/>
    <w:rsid w:val="56BA121C"/>
    <w:rsid w:val="575811E5"/>
    <w:rsid w:val="595868D7"/>
    <w:rsid w:val="5AFB56F9"/>
    <w:rsid w:val="5CF36462"/>
    <w:rsid w:val="5DB57BB1"/>
    <w:rsid w:val="60191B31"/>
    <w:rsid w:val="61706A09"/>
    <w:rsid w:val="61D369C0"/>
    <w:rsid w:val="627821EC"/>
    <w:rsid w:val="62922867"/>
    <w:rsid w:val="62E9276E"/>
    <w:rsid w:val="634B6F5F"/>
    <w:rsid w:val="68233070"/>
    <w:rsid w:val="68B65AA7"/>
    <w:rsid w:val="697207EF"/>
    <w:rsid w:val="6ABA3717"/>
    <w:rsid w:val="6CB20655"/>
    <w:rsid w:val="6DE15097"/>
    <w:rsid w:val="6E9B4C18"/>
    <w:rsid w:val="71647B50"/>
    <w:rsid w:val="73AF5452"/>
    <w:rsid w:val="75630BA5"/>
    <w:rsid w:val="758E32F2"/>
    <w:rsid w:val="7ACE26EB"/>
    <w:rsid w:val="7BD61D1C"/>
    <w:rsid w:val="7D667DFA"/>
    <w:rsid w:val="7FE4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pacing w:val="10"/>
      <w:kern w:val="2"/>
      <w:sz w:val="28"/>
      <w:lang w:val="en-US" w:eastAsia="zh-CN" w:bidi="ar-SA"/>
    </w:rPr>
  </w:style>
  <w:style w:type="paragraph" w:styleId="2">
    <w:name w:val="heading 1"/>
    <w:basedOn w:val="1"/>
    <w:next w:val="1"/>
    <w:link w:val="73"/>
    <w:qFormat/>
    <w:uiPriority w:val="0"/>
    <w:pPr>
      <w:keepNext/>
      <w:numPr>
        <w:ilvl w:val="0"/>
        <w:numId w:val="1"/>
      </w:numPr>
      <w:spacing w:line="240" w:lineRule="auto"/>
      <w:outlineLvl w:val="0"/>
    </w:pPr>
    <w:rPr>
      <w:rFonts w:ascii="黑体" w:hAnsi="黑体" w:eastAsia="黑体"/>
      <w:spacing w:val="0"/>
      <w:kern w:val="0"/>
      <w:sz w:val="44"/>
    </w:rPr>
  </w:style>
  <w:style w:type="paragraph" w:styleId="3">
    <w:name w:val="heading 2"/>
    <w:basedOn w:val="1"/>
    <w:next w:val="1"/>
    <w:link w:val="74"/>
    <w:qFormat/>
    <w:uiPriority w:val="0"/>
    <w:pPr>
      <w:keepNext/>
      <w:widowControl/>
      <w:adjustRightInd/>
      <w:spacing w:line="360" w:lineRule="auto"/>
      <w:jc w:val="left"/>
      <w:textAlignment w:val="auto"/>
      <w:outlineLvl w:val="1"/>
    </w:pPr>
    <w:rPr>
      <w:rFonts w:ascii="仿宋_GB2312" w:hAnsi="仿宋_GB2312"/>
      <w:b/>
      <w:color w:val="000000"/>
      <w:spacing w:val="0"/>
      <w:kern w:val="0"/>
    </w:rPr>
  </w:style>
  <w:style w:type="paragraph" w:styleId="4">
    <w:name w:val="heading 3"/>
    <w:basedOn w:val="1"/>
    <w:next w:val="5"/>
    <w:qFormat/>
    <w:uiPriority w:val="0"/>
    <w:pPr>
      <w:keepNext/>
      <w:numPr>
        <w:ilvl w:val="0"/>
        <w:numId w:val="2"/>
      </w:numPr>
      <w:adjustRightInd/>
      <w:spacing w:line="360" w:lineRule="auto"/>
      <w:textAlignment w:val="auto"/>
      <w:outlineLvl w:val="2"/>
    </w:pPr>
    <w:rPr>
      <w:spacing w:val="0"/>
    </w:rPr>
  </w:style>
  <w:style w:type="paragraph" w:styleId="6">
    <w:name w:val="heading 5"/>
    <w:basedOn w:val="1"/>
    <w:next w:val="5"/>
    <w:qFormat/>
    <w:uiPriority w:val="0"/>
    <w:pPr>
      <w:keepNext/>
      <w:numPr>
        <w:ilvl w:val="0"/>
        <w:numId w:val="3"/>
      </w:numPr>
      <w:adjustRightInd/>
      <w:spacing w:line="360" w:lineRule="auto"/>
      <w:textAlignment w:val="auto"/>
      <w:outlineLvl w:val="4"/>
    </w:pPr>
    <w:rPr>
      <w:spacing w:val="0"/>
    </w:rPr>
  </w:style>
  <w:style w:type="paragraph" w:styleId="7">
    <w:name w:val="heading 6"/>
    <w:basedOn w:val="1"/>
    <w:next w:val="5"/>
    <w:qFormat/>
    <w:uiPriority w:val="0"/>
    <w:pPr>
      <w:keepNext/>
      <w:numPr>
        <w:ilvl w:val="0"/>
        <w:numId w:val="4"/>
      </w:numPr>
      <w:adjustRightInd/>
      <w:spacing w:line="360" w:lineRule="auto"/>
      <w:ind w:firstLine="560"/>
      <w:textAlignment w:val="auto"/>
      <w:outlineLvl w:val="5"/>
    </w:pPr>
    <w:rPr>
      <w:spacing w:val="0"/>
    </w:rPr>
  </w:style>
  <w:style w:type="paragraph" w:styleId="8">
    <w:name w:val="heading 8"/>
    <w:basedOn w:val="1"/>
    <w:next w:val="5"/>
    <w:qFormat/>
    <w:uiPriority w:val="0"/>
    <w:pPr>
      <w:keepNext/>
      <w:numPr>
        <w:ilvl w:val="0"/>
        <w:numId w:val="5"/>
      </w:numPr>
      <w:adjustRightInd/>
      <w:spacing w:line="360" w:lineRule="auto"/>
      <w:textAlignment w:val="auto"/>
      <w:outlineLvl w:val="7"/>
    </w:pPr>
    <w:rPr>
      <w:b/>
      <w:spacing w:val="0"/>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spacing w:line="240" w:lineRule="auto"/>
      <w:ind w:firstLine="420"/>
      <w:textAlignment w:val="auto"/>
    </w:pPr>
    <w:rPr>
      <w:spacing w:val="0"/>
      <w:sz w:val="21"/>
    </w:rPr>
  </w:style>
  <w:style w:type="paragraph" w:styleId="9">
    <w:name w:val="annotation subject"/>
    <w:basedOn w:val="10"/>
    <w:next w:val="10"/>
    <w:semiHidden/>
    <w:qFormat/>
    <w:uiPriority w:val="0"/>
    <w:rPr>
      <w:b/>
      <w:bCs/>
    </w:rPr>
  </w:style>
  <w:style w:type="paragraph" w:styleId="10">
    <w:name w:val="annotation text"/>
    <w:basedOn w:val="1"/>
    <w:link w:val="70"/>
    <w:qFormat/>
    <w:uiPriority w:val="0"/>
    <w:pPr>
      <w:jc w:val="left"/>
    </w:pPr>
  </w:style>
  <w:style w:type="paragraph" w:styleId="11">
    <w:name w:val="Body Text First Indent"/>
    <w:basedOn w:val="12"/>
    <w:qFormat/>
    <w:uiPriority w:val="0"/>
    <w:pPr>
      <w:spacing w:after="120"/>
      <w:ind w:firstLine="420"/>
    </w:pPr>
    <w:rPr>
      <w:rFonts w:ascii="Times New Roman"/>
      <w:sz w:val="21"/>
    </w:rPr>
  </w:style>
  <w:style w:type="paragraph" w:styleId="12">
    <w:name w:val="Body Text"/>
    <w:basedOn w:val="1"/>
    <w:qFormat/>
    <w:uiPriority w:val="0"/>
    <w:pPr>
      <w:adjustRightInd/>
      <w:spacing w:line="240" w:lineRule="auto"/>
      <w:textAlignment w:val="auto"/>
    </w:pPr>
    <w:rPr>
      <w:rFonts w:ascii="宋体"/>
      <w:spacing w:val="0"/>
    </w:r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500" w:lineRule="exact"/>
      <w:ind w:firstLine="720"/>
    </w:pPr>
  </w:style>
  <w:style w:type="paragraph" w:styleId="15">
    <w:name w:val="List 2"/>
    <w:basedOn w:val="1"/>
    <w:qFormat/>
    <w:uiPriority w:val="0"/>
    <w:pPr>
      <w:adjustRightInd/>
      <w:spacing w:line="240" w:lineRule="auto"/>
      <w:ind w:left="840" w:hanging="420"/>
      <w:textAlignment w:val="auto"/>
    </w:pPr>
    <w:rPr>
      <w:spacing w:val="0"/>
      <w:sz w:val="21"/>
    </w:rPr>
  </w:style>
  <w:style w:type="paragraph" w:styleId="16">
    <w:name w:val="Plain Text"/>
    <w:basedOn w:val="1"/>
    <w:link w:val="55"/>
    <w:qFormat/>
    <w:uiPriority w:val="0"/>
    <w:pPr>
      <w:adjustRightInd/>
      <w:spacing w:line="240" w:lineRule="auto"/>
      <w:textAlignment w:val="auto"/>
    </w:pPr>
    <w:rPr>
      <w:rFonts w:ascii="宋体" w:hAnsi="Courier New"/>
      <w:spacing w:val="0"/>
      <w:sz w:val="21"/>
    </w:rPr>
  </w:style>
  <w:style w:type="paragraph" w:styleId="17">
    <w:name w:val="Date"/>
    <w:basedOn w:val="1"/>
    <w:next w:val="1"/>
    <w:link w:val="71"/>
    <w:qFormat/>
    <w:uiPriority w:val="0"/>
    <w:pPr>
      <w:autoSpaceDE w:val="0"/>
      <w:autoSpaceDN w:val="0"/>
      <w:spacing w:line="240" w:lineRule="auto"/>
      <w:jc w:val="right"/>
    </w:pPr>
    <w:rPr>
      <w:kern w:val="0"/>
    </w:rPr>
  </w:style>
  <w:style w:type="paragraph" w:styleId="18">
    <w:name w:val="Body Text Indent 2"/>
    <w:basedOn w:val="1"/>
    <w:qFormat/>
    <w:uiPriority w:val="0"/>
    <w:pPr>
      <w:spacing w:line="500" w:lineRule="exact"/>
      <w:ind w:firstLine="6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pacing w:line="240" w:lineRule="atLeast"/>
      <w:jc w:val="left"/>
    </w:pPr>
    <w:rPr>
      <w:sz w:val="18"/>
    </w:rPr>
  </w:style>
  <w:style w:type="paragraph" w:styleId="21">
    <w:name w:val="Body Text First Indent 2"/>
    <w:basedOn w:val="14"/>
    <w:qFormat/>
    <w:uiPriority w:val="0"/>
    <w:pPr>
      <w:adjustRightInd/>
      <w:spacing w:after="120" w:line="240" w:lineRule="auto"/>
      <w:ind w:left="420" w:firstLine="210"/>
      <w:textAlignment w:val="auto"/>
    </w:pPr>
    <w:rPr>
      <w:spacing w:val="0"/>
      <w:sz w:val="21"/>
    </w:rPr>
  </w:style>
  <w:style w:type="paragraph" w:styleId="22">
    <w:name w:val="header"/>
    <w:basedOn w:val="1"/>
    <w:qFormat/>
    <w:uiPriority w:val="0"/>
    <w:pPr>
      <w:pBdr>
        <w:bottom w:val="single" w:color="auto" w:sz="6" w:space="1"/>
      </w:pBdr>
      <w:tabs>
        <w:tab w:val="center" w:pos="4153"/>
        <w:tab w:val="right" w:pos="8306"/>
      </w:tabs>
      <w:snapToGrid w:val="0"/>
      <w:spacing w:line="240" w:lineRule="atLeast"/>
      <w:jc w:val="left"/>
    </w:pPr>
    <w:rPr>
      <w:rFonts w:eastAsia="华文宋体"/>
      <w:sz w:val="21"/>
    </w:rPr>
  </w:style>
  <w:style w:type="paragraph" w:styleId="23">
    <w:name w:val="toc 1"/>
    <w:basedOn w:val="1"/>
    <w:next w:val="1"/>
    <w:qFormat/>
    <w:uiPriority w:val="39"/>
    <w:pPr>
      <w:tabs>
        <w:tab w:val="right" w:leader="dot" w:pos="8210"/>
      </w:tabs>
      <w:spacing w:line="360" w:lineRule="auto"/>
    </w:pPr>
    <w:rPr>
      <w:rFonts w:ascii="仿宋_GB2312" w:hAnsi="宋体" w:eastAsia="仿宋_GB2312"/>
      <w:b/>
      <w:bCs/>
      <w:color w:val="000000"/>
    </w:rPr>
  </w:style>
  <w:style w:type="paragraph" w:styleId="24">
    <w:name w:val="List"/>
    <w:basedOn w:val="1"/>
    <w:qFormat/>
    <w:uiPriority w:val="0"/>
    <w:pPr>
      <w:adjustRightInd/>
      <w:spacing w:line="240" w:lineRule="auto"/>
      <w:ind w:left="420" w:hanging="420"/>
      <w:textAlignment w:val="auto"/>
    </w:pPr>
    <w:rPr>
      <w:spacing w:val="0"/>
      <w:sz w:val="21"/>
    </w:rPr>
  </w:style>
  <w:style w:type="paragraph" w:styleId="25">
    <w:name w:val="Body Text Indent 3"/>
    <w:basedOn w:val="1"/>
    <w:qFormat/>
    <w:uiPriority w:val="0"/>
    <w:pPr>
      <w:spacing w:line="500" w:lineRule="exact"/>
      <w:ind w:firstLine="575"/>
    </w:pPr>
    <w:rPr>
      <w:rFonts w:ascii="宋体"/>
      <w:spacing w:val="0"/>
    </w:rPr>
  </w:style>
  <w:style w:type="paragraph" w:styleId="26">
    <w:name w:val="toc 2"/>
    <w:basedOn w:val="1"/>
    <w:next w:val="1"/>
    <w:qFormat/>
    <w:uiPriority w:val="39"/>
    <w:pPr>
      <w:ind w:left="420" w:leftChars="200"/>
    </w:pPr>
  </w:style>
  <w:style w:type="paragraph" w:styleId="27">
    <w:name w:val="Body Text 2"/>
    <w:basedOn w:val="1"/>
    <w:qFormat/>
    <w:uiPriority w:val="0"/>
    <w:pPr>
      <w:spacing w:line="500" w:lineRule="exact"/>
      <w:jc w:val="center"/>
    </w:pPr>
    <w:rPr>
      <w:rFonts w:ascii="仿宋_GB2312" w:eastAsia="仿宋_GB2312"/>
      <w:spacing w:val="-20"/>
    </w:rPr>
  </w:style>
  <w:style w:type="paragraph" w:styleId="28">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pacing w:val="0"/>
      <w:kern w:val="0"/>
      <w:sz w:val="24"/>
      <w:szCs w:val="24"/>
    </w:rPr>
  </w:style>
  <w:style w:type="paragraph" w:styleId="29">
    <w:name w:val="Normal (Web)"/>
    <w:basedOn w:val="1"/>
    <w:qFormat/>
    <w:uiPriority w:val="99"/>
    <w:pPr>
      <w:widowControl/>
      <w:adjustRightInd/>
      <w:spacing w:before="160" w:line="312" w:lineRule="auto"/>
      <w:ind w:firstLine="480"/>
      <w:jc w:val="left"/>
      <w:textAlignment w:val="auto"/>
    </w:pPr>
    <w:rPr>
      <w:color w:val="000000"/>
      <w:spacing w:val="16"/>
      <w:kern w:val="0"/>
      <w:sz w:val="18"/>
      <w:szCs w:val="18"/>
    </w:r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0"/>
    <w:rPr>
      <w:color w:val="CC0033"/>
    </w:rPr>
  </w:style>
  <w:style w:type="character" w:styleId="34">
    <w:name w:val="Hyperlink"/>
    <w:qFormat/>
    <w:uiPriority w:val="99"/>
    <w:rPr>
      <w:color w:val="00007F"/>
      <w:u w:val="none"/>
    </w:rPr>
  </w:style>
  <w:style w:type="character" w:styleId="35">
    <w:name w:val="annotation reference"/>
    <w:basedOn w:val="30"/>
    <w:qFormat/>
    <w:uiPriority w:val="0"/>
    <w:rPr>
      <w:sz w:val="21"/>
      <w:szCs w:val="21"/>
    </w:rPr>
  </w:style>
  <w:style w:type="table" w:styleId="37">
    <w:name w:val="Table Grid"/>
    <w:basedOn w:val="3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Table Grid 7"/>
    <w:basedOn w:val="36"/>
    <w:qFormat/>
    <w:uiPriority w:val="0"/>
    <w:pPr>
      <w:widowControl w:val="0"/>
      <w:adjustRightInd w:val="0"/>
      <w:spacing w:line="312" w:lineRule="atLeast"/>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39">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0">
    <w:name w:val="ST20_1"/>
    <w:basedOn w:val="1"/>
    <w:qFormat/>
    <w:uiPriority w:val="0"/>
    <w:pPr>
      <w:autoSpaceDE w:val="0"/>
      <w:autoSpaceDN w:val="0"/>
      <w:spacing w:line="500" w:lineRule="atLeast"/>
      <w:jc w:val="left"/>
    </w:pPr>
    <w:rPr>
      <w:rFonts w:ascii="昆仑仿宋" w:hAnsi="Tms Rmn" w:eastAsia="昆仑仿宋"/>
      <w:spacing w:val="0"/>
      <w:kern w:val="0"/>
    </w:rPr>
  </w:style>
  <w:style w:type="character" w:customStyle="1" w:styleId="41">
    <w:name w:val="style18"/>
    <w:basedOn w:val="30"/>
    <w:qFormat/>
    <w:uiPriority w:val="0"/>
  </w:style>
  <w:style w:type="paragraph" w:customStyle="1" w:styleId="42">
    <w:name w:val="1"/>
    <w:basedOn w:val="1"/>
    <w:qFormat/>
    <w:uiPriority w:val="0"/>
    <w:pPr>
      <w:adjustRightInd/>
      <w:spacing w:line="240" w:lineRule="auto"/>
      <w:textAlignment w:val="auto"/>
    </w:pPr>
    <w:rPr>
      <w:rFonts w:ascii="宋体" w:hAnsi="宋体" w:cs="Courier New"/>
      <w:spacing w:val="0"/>
      <w:sz w:val="32"/>
      <w:szCs w:val="32"/>
    </w:rPr>
  </w:style>
  <w:style w:type="character" w:customStyle="1" w:styleId="43">
    <w:name w:val="a14c1"/>
    <w:qFormat/>
    <w:uiPriority w:val="0"/>
    <w:rPr>
      <w:sz w:val="21"/>
      <w:szCs w:val="21"/>
    </w:rPr>
  </w:style>
  <w:style w:type="paragraph" w:customStyle="1" w:styleId="44">
    <w:name w:val="Style 龙泰正文 + First line:  2 ch1"/>
    <w:basedOn w:val="1"/>
    <w:qFormat/>
    <w:uiPriority w:val="0"/>
    <w:pPr>
      <w:autoSpaceDE w:val="0"/>
      <w:autoSpaceDN w:val="0"/>
      <w:spacing w:line="360" w:lineRule="auto"/>
      <w:ind w:firstLine="640" w:firstLineChars="200"/>
    </w:pPr>
    <w:rPr>
      <w:rFonts w:ascii="Arial" w:hAnsi="Arial" w:eastAsia="仿宋_GB2312" w:cs="宋体"/>
      <w:spacing w:val="20"/>
      <w:kern w:val="0"/>
      <w:szCs w:val="28"/>
    </w:rPr>
  </w:style>
  <w:style w:type="paragraph" w:customStyle="1" w:styleId="45">
    <w:name w:val="龙泰正文"/>
    <w:basedOn w:val="1"/>
    <w:qFormat/>
    <w:uiPriority w:val="0"/>
    <w:pPr>
      <w:autoSpaceDE w:val="0"/>
      <w:autoSpaceDN w:val="0"/>
      <w:spacing w:line="360" w:lineRule="auto"/>
      <w:ind w:firstLine="200" w:firstLineChars="200"/>
    </w:pPr>
    <w:rPr>
      <w:rFonts w:ascii="仿宋_GB2312" w:hAnsi="Arial" w:eastAsia="仿宋_GB2312"/>
      <w:spacing w:val="0"/>
      <w:szCs w:val="28"/>
    </w:rPr>
  </w:style>
  <w:style w:type="paragraph" w:customStyle="1" w:styleId="46">
    <w:name w:val="龙泰标题5"/>
    <w:basedOn w:val="6"/>
    <w:next w:val="45"/>
    <w:qFormat/>
    <w:uiPriority w:val="0"/>
    <w:pPr>
      <w:keepNext w:val="0"/>
      <w:widowControl/>
      <w:numPr>
        <w:numId w:val="0"/>
      </w:numPr>
      <w:autoSpaceDE w:val="0"/>
      <w:autoSpaceDN w:val="0"/>
      <w:adjustRightInd w:val="0"/>
      <w:textAlignment w:val="baseline"/>
    </w:pPr>
    <w:rPr>
      <w:rFonts w:ascii="仿宋_GB2312" w:hAnsi="Arial" w:eastAsia="仿宋_GB2312"/>
      <w:bCs/>
      <w:kern w:val="0"/>
      <w:szCs w:val="28"/>
    </w:rPr>
  </w:style>
  <w:style w:type="paragraph" w:customStyle="1" w:styleId="47">
    <w:name w:val="龙泰正文 + First line:  2 ch1 + After:  12 pt First line:  6 ch"/>
    <w:basedOn w:val="1"/>
    <w:qFormat/>
    <w:uiPriority w:val="0"/>
    <w:pPr>
      <w:autoSpaceDE w:val="0"/>
      <w:autoSpaceDN w:val="0"/>
      <w:spacing w:line="360" w:lineRule="auto"/>
      <w:ind w:firstLine="600" w:firstLineChars="600"/>
    </w:pPr>
    <w:rPr>
      <w:rFonts w:ascii="仿宋_GB2312" w:hAnsi="Arial" w:eastAsia="仿宋_GB2312" w:cs="宋体"/>
      <w:spacing w:val="0"/>
    </w:rPr>
  </w:style>
  <w:style w:type="paragraph" w:customStyle="1" w:styleId="48">
    <w:name w:val="龙泰标题4"/>
    <w:basedOn w:val="1"/>
    <w:next w:val="45"/>
    <w:qFormat/>
    <w:uiPriority w:val="0"/>
    <w:pPr>
      <w:keepLines/>
      <w:tabs>
        <w:tab w:val="left" w:pos="720"/>
      </w:tabs>
      <w:autoSpaceDE w:val="0"/>
      <w:autoSpaceDN w:val="0"/>
      <w:spacing w:line="360" w:lineRule="auto"/>
      <w:outlineLvl w:val="3"/>
    </w:pPr>
    <w:rPr>
      <w:rFonts w:ascii="仿宋_GB2312" w:hAnsi="Arial" w:eastAsia="仿宋_GB2312"/>
      <w:kern w:val="0"/>
      <w:szCs w:val="28"/>
    </w:rPr>
  </w:style>
  <w:style w:type="paragraph" w:customStyle="1" w:styleId="49">
    <w:name w:val="龙泰正文 + First line:  2 ch1"/>
    <w:basedOn w:val="45"/>
    <w:qFormat/>
    <w:uiPriority w:val="0"/>
    <w:pPr>
      <w:ind w:firstLine="600"/>
    </w:pPr>
  </w:style>
  <w:style w:type="paragraph" w:customStyle="1" w:styleId="50">
    <w:name w:val="龙泰正文 + First line:  2 ch1 + After:  12 pt First line:  4 ch1"/>
    <w:basedOn w:val="49"/>
    <w:qFormat/>
    <w:uiPriority w:val="0"/>
    <w:pPr>
      <w:ind w:firstLine="400" w:firstLineChars="400"/>
    </w:pPr>
    <w:rPr>
      <w:rFonts w:cs="宋体"/>
      <w:szCs w:val="20"/>
    </w:rPr>
  </w:style>
  <w:style w:type="paragraph" w:customStyle="1" w:styleId="51">
    <w:name w:val="Char Char Char1 Char Char Char Char"/>
    <w:basedOn w:val="1"/>
    <w:qFormat/>
    <w:uiPriority w:val="0"/>
    <w:pPr>
      <w:adjustRightInd/>
      <w:spacing w:line="240" w:lineRule="auto"/>
      <w:textAlignment w:val="auto"/>
    </w:pPr>
    <w:rPr>
      <w:rFonts w:ascii="宋体" w:hAnsi="宋体" w:cs="Courier New"/>
      <w:spacing w:val="0"/>
      <w:sz w:val="32"/>
      <w:szCs w:val="32"/>
    </w:rPr>
  </w:style>
  <w:style w:type="paragraph" w:customStyle="1" w:styleId="52">
    <w:name w:val="standard"/>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666666"/>
      <w:spacing w:val="0"/>
      <w:kern w:val="0"/>
      <w:sz w:val="22"/>
      <w:szCs w:val="22"/>
    </w:rPr>
  </w:style>
  <w:style w:type="paragraph" w:customStyle="1" w:styleId="53">
    <w:name w:val="bn1"/>
    <w:basedOn w:val="1"/>
    <w:qFormat/>
    <w:uiPriority w:val="0"/>
    <w:pPr>
      <w:widowControl/>
      <w:adjustRightInd/>
      <w:spacing w:before="100" w:beforeAutospacing="1" w:after="100" w:afterAutospacing="1" w:line="540" w:lineRule="atLeast"/>
      <w:jc w:val="left"/>
      <w:textAlignment w:val="auto"/>
    </w:pPr>
    <w:rPr>
      <w:rFonts w:ascii="宋体" w:hAnsi="宋体" w:cs="宋体"/>
      <w:spacing w:val="0"/>
      <w:kern w:val="0"/>
      <w:sz w:val="24"/>
      <w:szCs w:val="24"/>
    </w:rPr>
  </w:style>
  <w:style w:type="character" w:customStyle="1" w:styleId="54">
    <w:name w:val="gray1"/>
    <w:qFormat/>
    <w:uiPriority w:val="0"/>
    <w:rPr>
      <w:color w:val="888888"/>
      <w:sz w:val="18"/>
      <w:szCs w:val="18"/>
    </w:rPr>
  </w:style>
  <w:style w:type="character" w:customStyle="1" w:styleId="55">
    <w:name w:val="纯文本 Char"/>
    <w:link w:val="16"/>
    <w:qFormat/>
    <w:uiPriority w:val="0"/>
    <w:rPr>
      <w:rFonts w:ascii="宋体" w:hAnsi="Courier New" w:eastAsia="宋体"/>
      <w:kern w:val="2"/>
      <w:sz w:val="21"/>
      <w:lang w:val="en-US" w:eastAsia="zh-CN" w:bidi="ar-SA"/>
    </w:rPr>
  </w:style>
  <w:style w:type="character" w:customStyle="1" w:styleId="56">
    <w:name w:val="style11"/>
    <w:qFormat/>
    <w:uiPriority w:val="0"/>
    <w:rPr>
      <w:b/>
      <w:bCs/>
      <w:color w:val="CC3300"/>
    </w:rPr>
  </w:style>
  <w:style w:type="character" w:customStyle="1" w:styleId="57">
    <w:name w:val="projecttitle"/>
    <w:basedOn w:val="30"/>
    <w:qFormat/>
    <w:uiPriority w:val="0"/>
  </w:style>
  <w:style w:type="character" w:customStyle="1" w:styleId="58">
    <w:name w:val="apple-converted-space"/>
    <w:basedOn w:val="30"/>
    <w:qFormat/>
    <w:uiPriority w:val="0"/>
  </w:style>
  <w:style w:type="paragraph" w:customStyle="1" w:styleId="59">
    <w:name w:val="Char Char Char1 Char Char Char Char1"/>
    <w:basedOn w:val="1"/>
    <w:qFormat/>
    <w:uiPriority w:val="0"/>
    <w:pPr>
      <w:adjustRightInd/>
      <w:spacing w:line="240" w:lineRule="auto"/>
      <w:textAlignment w:val="auto"/>
    </w:pPr>
    <w:rPr>
      <w:rFonts w:ascii="宋体" w:hAnsi="宋体" w:cs="Courier New"/>
      <w:spacing w:val="0"/>
      <w:sz w:val="32"/>
      <w:szCs w:val="32"/>
    </w:rPr>
  </w:style>
  <w:style w:type="character" w:customStyle="1" w:styleId="60">
    <w:name w:val="img_wrapper_img_descr"/>
    <w:basedOn w:val="30"/>
    <w:qFormat/>
    <w:uiPriority w:val="0"/>
  </w:style>
  <w:style w:type="paragraph" w:customStyle="1" w:styleId="61">
    <w:name w:val="album-div"/>
    <w:basedOn w:val="1"/>
    <w:qFormat/>
    <w:uiPriority w:val="0"/>
    <w:pPr>
      <w:widowControl/>
      <w:adjustRightInd/>
      <w:spacing w:before="100" w:beforeAutospacing="1" w:after="100" w:afterAutospacing="1" w:line="240" w:lineRule="auto"/>
      <w:jc w:val="left"/>
      <w:textAlignment w:val="auto"/>
    </w:pPr>
    <w:rPr>
      <w:rFonts w:ascii="宋体" w:hAnsi="宋体" w:cs="宋体"/>
      <w:spacing w:val="0"/>
      <w:kern w:val="0"/>
      <w:sz w:val="24"/>
      <w:szCs w:val="24"/>
    </w:rPr>
  </w:style>
  <w:style w:type="character" w:customStyle="1" w:styleId="62">
    <w:name w:val="title"/>
    <w:basedOn w:val="30"/>
    <w:qFormat/>
    <w:uiPriority w:val="0"/>
  </w:style>
  <w:style w:type="character" w:customStyle="1" w:styleId="63">
    <w:name w:val="albumcount"/>
    <w:basedOn w:val="30"/>
    <w:qFormat/>
    <w:uiPriority w:val="0"/>
  </w:style>
  <w:style w:type="table" w:customStyle="1" w:styleId="64">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5">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6">
    <w:name w:val="字元"/>
    <w:basedOn w:val="1"/>
    <w:qFormat/>
    <w:uiPriority w:val="0"/>
    <w:pPr>
      <w:widowControl/>
      <w:tabs>
        <w:tab w:val="left" w:pos="4665"/>
        <w:tab w:val="left" w:pos="8970"/>
      </w:tabs>
      <w:adjustRightInd/>
      <w:spacing w:line="240" w:lineRule="auto"/>
      <w:ind w:firstLine="400"/>
      <w:textAlignment w:val="auto"/>
    </w:pPr>
    <w:rPr>
      <w:rFonts w:ascii="Tahoma" w:hAnsi="Tahoma"/>
      <w:spacing w:val="0"/>
      <w:kern w:val="0"/>
      <w:sz w:val="24"/>
    </w:rPr>
  </w:style>
  <w:style w:type="character" w:customStyle="1" w:styleId="67">
    <w:name w:val="HTML 预设格式 Char"/>
    <w:basedOn w:val="30"/>
    <w:link w:val="28"/>
    <w:qFormat/>
    <w:uiPriority w:val="99"/>
    <w:rPr>
      <w:rFonts w:ascii="宋体" w:hAnsi="宋体" w:cs="宋体"/>
      <w:sz w:val="24"/>
      <w:szCs w:val="24"/>
    </w:rPr>
  </w:style>
  <w:style w:type="character" w:customStyle="1" w:styleId="68">
    <w:name w:val="htitle1"/>
    <w:basedOn w:val="30"/>
    <w:qFormat/>
    <w:uiPriority w:val="0"/>
    <w:rPr>
      <w:b/>
      <w:bCs/>
      <w:color w:val="669900"/>
      <w:sz w:val="21"/>
      <w:szCs w:val="21"/>
    </w:rPr>
  </w:style>
  <w:style w:type="character" w:customStyle="1" w:styleId="69">
    <w:name w:val="pred pirceinfo"/>
    <w:basedOn w:val="30"/>
    <w:qFormat/>
    <w:uiPriority w:val="0"/>
  </w:style>
  <w:style w:type="character" w:customStyle="1" w:styleId="70">
    <w:name w:val="批注文字 Char"/>
    <w:basedOn w:val="30"/>
    <w:link w:val="10"/>
    <w:qFormat/>
    <w:uiPriority w:val="99"/>
    <w:rPr>
      <w:spacing w:val="10"/>
      <w:kern w:val="2"/>
      <w:sz w:val="28"/>
    </w:rPr>
  </w:style>
  <w:style w:type="character" w:customStyle="1" w:styleId="71">
    <w:name w:val="日期 Char"/>
    <w:link w:val="17"/>
    <w:qFormat/>
    <w:uiPriority w:val="0"/>
    <w:rPr>
      <w:spacing w:val="10"/>
      <w:sz w:val="28"/>
    </w:rPr>
  </w:style>
  <w:style w:type="paragraph" w:styleId="72">
    <w:name w:val="List Paragraph"/>
    <w:basedOn w:val="1"/>
    <w:qFormat/>
    <w:uiPriority w:val="34"/>
    <w:pPr>
      <w:ind w:firstLine="420" w:firstLineChars="200"/>
    </w:pPr>
  </w:style>
  <w:style w:type="character" w:customStyle="1" w:styleId="73">
    <w:name w:val="标题 1 Char"/>
    <w:link w:val="2"/>
    <w:qFormat/>
    <w:uiPriority w:val="0"/>
    <w:rPr>
      <w:rFonts w:ascii="黑体" w:hAnsi="黑体" w:eastAsia="黑体"/>
      <w:spacing w:val="0"/>
      <w:kern w:val="0"/>
      <w:sz w:val="44"/>
    </w:rPr>
  </w:style>
  <w:style w:type="character" w:customStyle="1" w:styleId="74">
    <w:name w:val="标题 2 Char"/>
    <w:link w:val="3"/>
    <w:qFormat/>
    <w:uiPriority w:val="0"/>
    <w:rPr>
      <w:rFonts w:ascii="仿宋_GB2312" w:hAnsi="仿宋_GB2312"/>
      <w:b/>
      <w:color w:val="000000"/>
      <w:spacing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ACCAB-8F3F-4019-B00A-97356BE13937}">
  <ds:schemaRefs/>
</ds:datastoreItem>
</file>

<file path=docProps/app.xml><?xml version="1.0" encoding="utf-8"?>
<Properties xmlns="http://schemas.openxmlformats.org/officeDocument/2006/extended-properties" xmlns:vt="http://schemas.openxmlformats.org/officeDocument/2006/docPropsVTypes">
  <Template>Normal</Template>
  <Company>FBIC</Company>
  <Pages>1</Pages>
  <Words>2891</Words>
  <Characters>16483</Characters>
  <Lines>137</Lines>
  <Paragraphs>38</Paragraphs>
  <TotalTime>0</TotalTime>
  <ScaleCrop>false</ScaleCrop>
  <LinksUpToDate>false</LinksUpToDate>
  <CharactersWithSpaces>19336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2018-06-25T23:18:00Z</dcterms:created>
  <dc:creator>估价部</dc:creator>
  <cp:lastModifiedBy>生如夏花</cp:lastModifiedBy>
  <cp:lastPrinted>2019-01-18T07:05:28Z</cp:lastPrinted>
  <dcterms:modified xsi:type="dcterms:W3CDTF">2019-01-18T07:05:53Z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