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105" w:leftChars="50" w:right="105" w:rightChars="50"/>
        <w:jc w:val="center"/>
        <w:rPr>
          <w:rFonts w:ascii="仿宋" w:hAnsi="仿宋" w:eastAsia="仿宋" w:cs="仿宋"/>
          <w:b/>
          <w:sz w:val="52"/>
          <w:szCs w:val="52"/>
        </w:rPr>
      </w:pPr>
      <w:bookmarkStart w:id="0" w:name="_Toc323216536"/>
    </w:p>
    <w:p>
      <w:pPr>
        <w:pStyle w:val="11"/>
        <w:ind w:left="105" w:leftChars="50" w:right="105" w:rightChars="50"/>
        <w:jc w:val="center"/>
        <w:rPr>
          <w:rFonts w:ascii="仿宋" w:hAnsi="仿宋" w:eastAsia="仿宋" w:cs="仿宋"/>
          <w:b/>
          <w:sz w:val="72"/>
          <w:szCs w:val="72"/>
        </w:rPr>
      </w:pPr>
      <w:r>
        <w:rPr>
          <w:rFonts w:hint="eastAsia" w:ascii="仿宋" w:hAnsi="仿宋" w:eastAsia="仿宋" w:cs="仿宋"/>
          <w:b/>
          <w:sz w:val="72"/>
          <w:szCs w:val="72"/>
        </w:rPr>
        <w:t>涉执房地产处置</w:t>
      </w:r>
    </w:p>
    <w:p>
      <w:pPr>
        <w:pStyle w:val="11"/>
        <w:ind w:left="105" w:leftChars="50" w:right="105" w:rightChars="50"/>
        <w:jc w:val="center"/>
        <w:rPr>
          <w:rFonts w:hint="eastAsia" w:ascii="仿宋" w:hAnsi="仿宋" w:eastAsia="仿宋" w:cs="仿宋"/>
          <w:b/>
          <w:sz w:val="72"/>
          <w:szCs w:val="72"/>
        </w:rPr>
      </w:pPr>
      <w:r>
        <w:rPr>
          <w:rFonts w:hint="eastAsia" w:ascii="仿宋" w:hAnsi="仿宋" w:eastAsia="仿宋" w:cs="仿宋"/>
          <w:b/>
          <w:sz w:val="72"/>
          <w:szCs w:val="72"/>
        </w:rPr>
        <w:t>司法评估报告</w:t>
      </w:r>
    </w:p>
    <w:p>
      <w:pPr>
        <w:pStyle w:val="11"/>
        <w:ind w:left="105" w:leftChars="50" w:right="105" w:rightChars="50"/>
        <w:jc w:val="center"/>
        <w:rPr>
          <w:rFonts w:hint="eastAsia" w:ascii="仿宋" w:hAnsi="仿宋" w:eastAsia="仿宋" w:cs="仿宋"/>
          <w:b/>
          <w:sz w:val="72"/>
          <w:szCs w:val="72"/>
        </w:rPr>
      </w:pPr>
    </w:p>
    <w:p>
      <w:pPr>
        <w:pStyle w:val="11"/>
        <w:snapToGrid w:val="0"/>
        <w:spacing w:line="640" w:lineRule="exact"/>
        <w:ind w:right="105" w:rightChars="50" w:firstLine="602" w:firstLineChars="200"/>
        <w:rPr>
          <w:rFonts w:ascii="仿宋" w:hAnsi="仿宋" w:eastAsia="仿宋"/>
          <w:b/>
          <w:sz w:val="30"/>
          <w:szCs w:val="30"/>
        </w:rPr>
      </w:pPr>
    </w:p>
    <w:p>
      <w:pPr>
        <w:pStyle w:val="11"/>
        <w:snapToGrid w:val="0"/>
        <w:spacing w:line="640" w:lineRule="exact"/>
        <w:ind w:right="105" w:rightChars="50" w:firstLine="600" w:firstLineChars="200"/>
        <w:rPr>
          <w:rFonts w:ascii="仿宋" w:hAnsi="仿宋" w:eastAsia="仿宋"/>
          <w:sz w:val="30"/>
          <w:szCs w:val="30"/>
        </w:rPr>
      </w:pPr>
      <w:r>
        <w:rPr>
          <w:rFonts w:hint="eastAsia" w:ascii="仿宋" w:hAnsi="仿宋" w:eastAsia="仿宋"/>
          <w:sz w:val="30"/>
          <w:szCs w:val="30"/>
        </w:rPr>
        <w:t>评估报告编号：</w:t>
      </w:r>
    </w:p>
    <w:p>
      <w:pPr>
        <w:pStyle w:val="11"/>
        <w:snapToGrid w:val="0"/>
        <w:spacing w:line="640" w:lineRule="exact"/>
        <w:ind w:right="105" w:rightChars="50" w:firstLine="1200" w:firstLineChars="400"/>
        <w:rPr>
          <w:rFonts w:ascii="仿宋" w:hAnsi="仿宋" w:eastAsia="仿宋" w:cs="仿宋"/>
          <w:sz w:val="30"/>
          <w:szCs w:val="30"/>
        </w:rPr>
      </w:pPr>
      <w:r>
        <w:rPr>
          <w:rFonts w:hint="eastAsia" w:ascii="仿宋" w:hAnsi="仿宋" w:eastAsia="仿宋"/>
          <w:sz w:val="30"/>
          <w:szCs w:val="30"/>
        </w:rPr>
        <w:t>鲁贵评（20</w:t>
      </w:r>
      <w:r>
        <w:rPr>
          <w:rFonts w:ascii="仿宋" w:hAnsi="仿宋" w:eastAsia="仿宋"/>
          <w:sz w:val="30"/>
          <w:szCs w:val="30"/>
        </w:rPr>
        <w:t>19</w:t>
      </w:r>
      <w:r>
        <w:rPr>
          <w:rFonts w:hint="eastAsia" w:ascii="仿宋" w:hAnsi="仿宋" w:eastAsia="仿宋"/>
          <w:sz w:val="30"/>
          <w:szCs w:val="30"/>
        </w:rPr>
        <w:t>）字第</w:t>
      </w:r>
      <w:r>
        <w:rPr>
          <w:rFonts w:hint="eastAsia" w:ascii="仿宋" w:hAnsi="仿宋" w:eastAsia="仿宋"/>
          <w:color w:val="FF0000"/>
          <w:sz w:val="30"/>
          <w:szCs w:val="30"/>
          <w:lang w:val="en-US" w:eastAsia="zh-CN"/>
        </w:rPr>
        <w:t>222</w:t>
      </w:r>
      <w:r>
        <w:rPr>
          <w:rFonts w:hint="eastAsia" w:ascii="仿宋" w:hAnsi="仿宋" w:eastAsia="仿宋"/>
          <w:sz w:val="30"/>
          <w:szCs w:val="30"/>
        </w:rPr>
        <w:t>号</w:t>
      </w:r>
    </w:p>
    <w:p>
      <w:pPr>
        <w:snapToGrid w:val="0"/>
        <w:spacing w:line="640" w:lineRule="exact"/>
        <w:ind w:right="105" w:rightChars="50" w:firstLine="600" w:firstLineChars="200"/>
        <w:rPr>
          <w:rFonts w:ascii="仿宋" w:hAnsi="仿宋" w:eastAsia="仿宋" w:cs="仿宋"/>
          <w:sz w:val="30"/>
          <w:szCs w:val="30"/>
        </w:rPr>
      </w:pPr>
      <w:r>
        <w:rPr>
          <w:rFonts w:hint="eastAsia" w:ascii="仿宋" w:hAnsi="仿宋" w:eastAsia="仿宋" w:cs="仿宋"/>
          <w:sz w:val="30"/>
          <w:szCs w:val="30"/>
        </w:rPr>
        <w:t>评估项目名称：</w:t>
      </w:r>
    </w:p>
    <w:p>
      <w:pPr>
        <w:snapToGrid w:val="0"/>
        <w:spacing w:line="640" w:lineRule="exact"/>
        <w:ind w:left="840" w:leftChars="400" w:right="105" w:rightChars="50" w:firstLine="300" w:firstLineChars="100"/>
        <w:rPr>
          <w:rFonts w:ascii="仿宋" w:hAnsi="仿宋" w:eastAsia="仿宋" w:cs="仿宋"/>
          <w:color w:val="000000"/>
          <w:sz w:val="30"/>
          <w:szCs w:val="30"/>
        </w:rPr>
      </w:pPr>
      <w:r>
        <w:rPr>
          <w:rFonts w:hint="eastAsia" w:ascii="仿宋" w:hAnsi="仿宋" w:eastAsia="仿宋" w:cs="仿宋"/>
          <w:color w:val="000000"/>
          <w:sz w:val="30"/>
          <w:szCs w:val="30"/>
        </w:rPr>
        <w:t>山东省淄博市高青县高城镇蔡旺村以北、张田路东侧</w:t>
      </w:r>
    </w:p>
    <w:p>
      <w:pPr>
        <w:snapToGrid w:val="0"/>
        <w:spacing w:line="640" w:lineRule="exact"/>
        <w:ind w:left="840" w:leftChars="400" w:right="105" w:rightChars="50" w:firstLine="300" w:firstLineChars="100"/>
        <w:rPr>
          <w:rFonts w:ascii="仿宋" w:hAnsi="仿宋" w:eastAsia="仿宋" w:cs="仿宋"/>
          <w:sz w:val="30"/>
          <w:szCs w:val="30"/>
        </w:rPr>
      </w:pPr>
      <w:r>
        <w:rPr>
          <w:rFonts w:hint="eastAsia" w:ascii="仿宋" w:hAnsi="仿宋" w:eastAsia="仿宋" w:cs="仿宋"/>
          <w:color w:val="000000"/>
          <w:sz w:val="30"/>
          <w:szCs w:val="30"/>
        </w:rPr>
        <w:t>部分</w:t>
      </w:r>
      <w:r>
        <w:rPr>
          <w:rFonts w:hint="eastAsia" w:ascii="仿宋" w:hAnsi="仿宋" w:eastAsia="仿宋" w:cs="仿宋"/>
          <w:sz w:val="30"/>
          <w:szCs w:val="30"/>
        </w:rPr>
        <w:t>房地产市场价值评估</w:t>
      </w:r>
    </w:p>
    <w:p>
      <w:pPr>
        <w:snapToGrid w:val="0"/>
        <w:spacing w:line="640" w:lineRule="exact"/>
        <w:ind w:right="105" w:rightChars="50" w:firstLine="600" w:firstLineChars="200"/>
        <w:rPr>
          <w:rFonts w:ascii="仿宋" w:hAnsi="仿宋" w:eastAsia="仿宋" w:cs="仿宋"/>
          <w:sz w:val="30"/>
          <w:szCs w:val="30"/>
        </w:rPr>
      </w:pPr>
      <w:r>
        <w:rPr>
          <w:rFonts w:hint="eastAsia" w:ascii="仿宋" w:hAnsi="仿宋" w:eastAsia="仿宋" w:cs="仿宋"/>
          <w:sz w:val="30"/>
          <w:szCs w:val="30"/>
        </w:rPr>
        <w:t>评估委托人：</w:t>
      </w:r>
    </w:p>
    <w:p>
      <w:pPr>
        <w:pStyle w:val="11"/>
        <w:snapToGrid w:val="0"/>
        <w:spacing w:line="640" w:lineRule="exact"/>
        <w:ind w:right="105" w:rightChars="50" w:firstLine="1200" w:firstLineChars="400"/>
        <w:rPr>
          <w:rFonts w:ascii="仿宋" w:hAnsi="仿宋" w:eastAsia="仿宋" w:cs="仿宋"/>
          <w:sz w:val="30"/>
          <w:szCs w:val="30"/>
        </w:rPr>
      </w:pPr>
      <w:r>
        <w:rPr>
          <w:rFonts w:hint="eastAsia" w:ascii="仿宋" w:hAnsi="仿宋" w:eastAsia="仿宋" w:cs="仿宋"/>
          <w:sz w:val="30"/>
          <w:szCs w:val="30"/>
        </w:rPr>
        <w:t>高青县人民法院</w:t>
      </w:r>
    </w:p>
    <w:p>
      <w:pPr>
        <w:pStyle w:val="11"/>
        <w:snapToGrid w:val="0"/>
        <w:spacing w:line="640" w:lineRule="exact"/>
        <w:ind w:right="105" w:rightChars="50" w:firstLine="600" w:firstLineChars="200"/>
        <w:rPr>
          <w:rFonts w:ascii="仿宋" w:hAnsi="仿宋" w:eastAsia="仿宋" w:cs="仿宋"/>
          <w:sz w:val="30"/>
          <w:szCs w:val="30"/>
        </w:rPr>
      </w:pPr>
      <w:r>
        <w:rPr>
          <w:rFonts w:hint="eastAsia" w:ascii="仿宋" w:hAnsi="仿宋" w:eastAsia="仿宋" w:cs="仿宋"/>
          <w:sz w:val="30"/>
          <w:szCs w:val="30"/>
        </w:rPr>
        <w:t>房地产估价机构：</w:t>
      </w:r>
    </w:p>
    <w:p>
      <w:pPr>
        <w:pStyle w:val="11"/>
        <w:snapToGrid w:val="0"/>
        <w:spacing w:line="640" w:lineRule="exact"/>
        <w:ind w:right="105" w:rightChars="50" w:firstLine="1200" w:firstLineChars="400"/>
        <w:rPr>
          <w:rFonts w:ascii="仿宋" w:hAnsi="仿宋" w:eastAsia="仿宋" w:cs="仿宋"/>
          <w:sz w:val="30"/>
          <w:szCs w:val="30"/>
        </w:rPr>
      </w:pPr>
      <w:r>
        <w:rPr>
          <w:rFonts w:hint="eastAsia" w:ascii="仿宋" w:hAnsi="仿宋" w:eastAsia="仿宋" w:cs="仿宋"/>
          <w:sz w:val="30"/>
          <w:szCs w:val="30"/>
        </w:rPr>
        <w:t>山东贵恒信房地产土地评估经纪有限公司</w:t>
      </w:r>
    </w:p>
    <w:p>
      <w:pPr>
        <w:pStyle w:val="11"/>
        <w:snapToGrid w:val="0"/>
        <w:spacing w:line="640" w:lineRule="exact"/>
        <w:ind w:right="105" w:rightChars="50" w:firstLine="600" w:firstLineChars="200"/>
        <w:rPr>
          <w:rFonts w:ascii="仿宋" w:hAnsi="仿宋" w:eastAsia="仿宋" w:cs="仿宋"/>
          <w:sz w:val="30"/>
          <w:szCs w:val="30"/>
        </w:rPr>
      </w:pPr>
      <w:r>
        <w:rPr>
          <w:rFonts w:hint="eastAsia" w:ascii="仿宋" w:hAnsi="仿宋" w:eastAsia="仿宋" w:cs="仿宋"/>
          <w:sz w:val="30"/>
          <w:szCs w:val="30"/>
        </w:rPr>
        <w:t>注册房地产估价师：</w:t>
      </w:r>
    </w:p>
    <w:p>
      <w:pPr>
        <w:pStyle w:val="11"/>
        <w:snapToGrid w:val="0"/>
        <w:spacing w:line="640" w:lineRule="exact"/>
        <w:ind w:right="105" w:rightChars="50" w:firstLine="1200" w:firstLineChars="400"/>
        <w:rPr>
          <w:rFonts w:ascii="仿宋" w:hAnsi="仿宋" w:eastAsia="仿宋" w:cs="仿宋"/>
          <w:sz w:val="30"/>
          <w:szCs w:val="30"/>
        </w:rPr>
      </w:pPr>
      <w:r>
        <w:rPr>
          <w:rFonts w:hint="eastAsia" w:ascii="仿宋" w:hAnsi="仿宋" w:eastAsia="仿宋" w:cs="仿宋"/>
          <w:sz w:val="30"/>
          <w:szCs w:val="30"/>
        </w:rPr>
        <w:t>董月华（1120040185）张金华（3720160163）</w:t>
      </w:r>
    </w:p>
    <w:p>
      <w:pPr>
        <w:pStyle w:val="11"/>
        <w:snapToGrid w:val="0"/>
        <w:spacing w:line="640" w:lineRule="exact"/>
        <w:ind w:right="105" w:rightChars="50" w:firstLine="600" w:firstLineChars="200"/>
        <w:rPr>
          <w:rFonts w:ascii="仿宋" w:hAnsi="仿宋" w:eastAsia="仿宋" w:cs="仿宋"/>
          <w:sz w:val="30"/>
          <w:szCs w:val="30"/>
        </w:rPr>
      </w:pPr>
      <w:r>
        <w:rPr>
          <w:rFonts w:hint="eastAsia" w:ascii="仿宋" w:hAnsi="仿宋" w:eastAsia="仿宋" w:cs="仿宋"/>
          <w:sz w:val="30"/>
          <w:szCs w:val="30"/>
        </w:rPr>
        <w:t>评估报告出具日期：</w:t>
      </w:r>
    </w:p>
    <w:p>
      <w:pPr>
        <w:pStyle w:val="11"/>
        <w:snapToGrid w:val="0"/>
        <w:spacing w:line="640" w:lineRule="exact"/>
        <w:ind w:right="105" w:rightChars="50" w:firstLine="1200" w:firstLineChars="400"/>
        <w:rPr>
          <w:rFonts w:hint="eastAsia" w:ascii="仿宋" w:hAnsi="仿宋" w:eastAsia="仿宋" w:cs="仿宋"/>
          <w:sz w:val="30"/>
          <w:szCs w:val="30"/>
          <w:lang w:eastAsia="zh-CN"/>
        </w:rPr>
      </w:pPr>
      <w:r>
        <w:rPr>
          <w:rFonts w:hint="eastAsia" w:ascii="仿宋" w:hAnsi="仿宋" w:eastAsia="仿宋" w:cs="仿宋"/>
          <w:sz w:val="30"/>
          <w:szCs w:val="30"/>
          <w:lang w:eastAsia="zh-CN"/>
        </w:rPr>
        <w:t>2019年7月30日</w:t>
      </w:r>
    </w:p>
    <w:p>
      <w:pPr>
        <w:pStyle w:val="11"/>
        <w:spacing w:line="640" w:lineRule="exact"/>
        <w:ind w:left="105" w:leftChars="50" w:right="105" w:rightChars="50"/>
        <w:rPr>
          <w:rFonts w:ascii="仿宋" w:hAnsi="仿宋" w:eastAsia="仿宋" w:cs="仿宋"/>
          <w:b/>
          <w:sz w:val="84"/>
          <w:szCs w:val="84"/>
        </w:rPr>
      </w:pPr>
    </w:p>
    <w:p>
      <w:pPr>
        <w:pStyle w:val="11"/>
        <w:spacing w:line="640" w:lineRule="exact"/>
        <w:ind w:left="105" w:leftChars="50" w:right="105" w:rightChars="50"/>
        <w:jc w:val="center"/>
        <w:rPr>
          <w:rFonts w:ascii="仿宋" w:hAnsi="仿宋" w:eastAsia="仿宋" w:cs="仿宋"/>
          <w:b/>
          <w:sz w:val="72"/>
          <w:szCs w:val="72"/>
        </w:rPr>
      </w:pPr>
    </w:p>
    <w:p>
      <w:pPr>
        <w:spacing w:line="360" w:lineRule="auto"/>
        <w:ind w:firstLine="562" w:firstLineChars="200"/>
        <w:jc w:val="center"/>
        <w:rPr>
          <w:rFonts w:ascii="仿宋" w:hAnsi="仿宋" w:eastAsia="仿宋"/>
          <w:b/>
          <w:sz w:val="28"/>
          <w:szCs w:val="28"/>
        </w:rPr>
      </w:pPr>
      <w:r>
        <w:rPr>
          <w:rFonts w:hint="eastAsia" w:ascii="仿宋" w:hAnsi="仿宋" w:eastAsia="仿宋"/>
          <w:b/>
          <w:sz w:val="28"/>
          <w:szCs w:val="28"/>
        </w:rPr>
        <w:t>致评估委托人函</w:t>
      </w:r>
      <w:bookmarkEnd w:id="0"/>
    </w:p>
    <w:p>
      <w:pPr>
        <w:pStyle w:val="11"/>
        <w:spacing w:line="460" w:lineRule="exact"/>
        <w:jc w:val="left"/>
        <w:rPr>
          <w:rFonts w:ascii="仿宋" w:hAnsi="仿宋" w:eastAsia="仿宋" w:cs="仿宋"/>
          <w:b/>
          <w:sz w:val="28"/>
          <w:szCs w:val="28"/>
        </w:rPr>
      </w:pPr>
      <w:r>
        <w:rPr>
          <w:rFonts w:hint="eastAsia" w:ascii="仿宋" w:hAnsi="仿宋" w:eastAsia="仿宋" w:cs="仿宋"/>
          <w:b/>
          <w:sz w:val="28"/>
          <w:szCs w:val="28"/>
        </w:rPr>
        <w:t>高青县人民法院：</w:t>
      </w:r>
    </w:p>
    <w:p>
      <w:pPr>
        <w:pStyle w:val="11"/>
        <w:spacing w:line="460" w:lineRule="exact"/>
        <w:ind w:firstLine="700" w:firstLineChars="250"/>
        <w:jc w:val="left"/>
        <w:rPr>
          <w:rFonts w:ascii="仿宋" w:hAnsi="仿宋" w:eastAsia="仿宋" w:cs="仿宋"/>
          <w:b/>
          <w:sz w:val="28"/>
          <w:szCs w:val="28"/>
        </w:rPr>
      </w:pPr>
      <w:r>
        <w:rPr>
          <w:rFonts w:hint="eastAsia" w:ascii="仿宋" w:hAnsi="仿宋" w:eastAsia="仿宋"/>
          <w:sz w:val="28"/>
          <w:szCs w:val="28"/>
        </w:rPr>
        <w:t>受贵方委托，我公司根据中华人民共和国国家标准《房地产评估规范》（GB/T50291-2015）、《房地产评估基本术语标准》（GB/T50899-2013），遵循独立、客观、公正、合法的原则，对委托评估的</w:t>
      </w:r>
      <w:r>
        <w:rPr>
          <w:rFonts w:hint="eastAsia" w:ascii="仿宋" w:hAnsi="仿宋" w:eastAsia="仿宋" w:cs="仿宋"/>
          <w:color w:val="000000"/>
          <w:sz w:val="28"/>
          <w:szCs w:val="28"/>
        </w:rPr>
        <w:t>山东省淄博市高青县高城镇蔡旺村以北、张田路东侧部分</w:t>
      </w:r>
      <w:r>
        <w:rPr>
          <w:rFonts w:hint="eastAsia" w:ascii="仿宋" w:hAnsi="仿宋" w:eastAsia="仿宋"/>
          <w:sz w:val="28"/>
          <w:szCs w:val="28"/>
        </w:rPr>
        <w:t>房地产,进行了实地查勘及评估测算，现将报告主要内容说明如下：</w:t>
      </w:r>
    </w:p>
    <w:p>
      <w:pPr>
        <w:spacing w:line="460" w:lineRule="exact"/>
        <w:ind w:firstLine="562" w:firstLineChars="200"/>
        <w:jc w:val="left"/>
        <w:rPr>
          <w:rFonts w:ascii="仿宋" w:hAnsi="仿宋" w:eastAsia="仿宋" w:cs="仿宋"/>
          <w:sz w:val="28"/>
          <w:szCs w:val="28"/>
        </w:rPr>
      </w:pPr>
      <w:r>
        <w:rPr>
          <w:rFonts w:hint="eastAsia" w:ascii="仿宋" w:hAnsi="仿宋" w:eastAsia="仿宋" w:cs="仿宋"/>
          <w:b/>
          <w:sz w:val="28"/>
          <w:szCs w:val="28"/>
        </w:rPr>
        <w:t>评估目的：</w:t>
      </w:r>
      <w:r>
        <w:rPr>
          <w:rFonts w:hint="eastAsia" w:ascii="仿宋" w:hAnsi="仿宋" w:eastAsia="仿宋" w:cs="仿宋"/>
          <w:sz w:val="28"/>
          <w:szCs w:val="28"/>
        </w:rPr>
        <w:t>根据《高清县人民法院委托书》[（2018）鲁0322执恢295号]要求，对评估对象进行科学鉴定，为人民法院确定财产处置参考价提供参考依据。</w:t>
      </w:r>
    </w:p>
    <w:p>
      <w:pPr>
        <w:spacing w:line="460" w:lineRule="exact"/>
        <w:ind w:firstLine="562" w:firstLineChars="200"/>
        <w:jc w:val="left"/>
        <w:rPr>
          <w:rFonts w:ascii="仿宋" w:hAnsi="仿宋" w:eastAsia="仿宋"/>
          <w:sz w:val="24"/>
        </w:rPr>
      </w:pPr>
      <w:r>
        <w:rPr>
          <w:rFonts w:hint="eastAsia" w:ascii="仿宋" w:hAnsi="仿宋" w:eastAsia="仿宋" w:cs="仿宋"/>
          <w:b/>
          <w:sz w:val="28"/>
          <w:szCs w:val="28"/>
        </w:rPr>
        <w:t>评估对象：</w:t>
      </w:r>
      <w:r>
        <w:rPr>
          <w:rFonts w:hint="eastAsia" w:ascii="仿宋" w:hAnsi="仿宋" w:eastAsia="仿宋" w:cs="宋体"/>
          <w:kern w:val="0"/>
          <w:sz w:val="28"/>
          <w:szCs w:val="28"/>
        </w:rPr>
        <w:t>山东青河农业科技发展股份有限公司</w:t>
      </w:r>
      <w:r>
        <w:rPr>
          <w:rFonts w:hint="eastAsia" w:ascii="仿宋" w:hAnsi="仿宋" w:eastAsia="仿宋"/>
          <w:sz w:val="28"/>
          <w:szCs w:val="28"/>
        </w:rPr>
        <w:t>所拥有的坐落于</w:t>
      </w:r>
      <w:r>
        <w:rPr>
          <w:rFonts w:hint="eastAsia" w:ascii="仿宋" w:hAnsi="仿宋" w:eastAsia="仿宋" w:cs="仿宋"/>
          <w:color w:val="000000"/>
          <w:sz w:val="28"/>
          <w:szCs w:val="28"/>
        </w:rPr>
        <w:t>山东省淄博市高青县高城镇蔡旺村以北、张田路东侧部分</w:t>
      </w:r>
      <w:r>
        <w:rPr>
          <w:rFonts w:hint="eastAsia" w:ascii="仿宋" w:hAnsi="仿宋" w:eastAsia="仿宋"/>
          <w:sz w:val="28"/>
          <w:szCs w:val="28"/>
        </w:rPr>
        <w:t>房地产，共有情况单独所有，此次评估房屋总建筑面积为4808.33㎡，</w:t>
      </w:r>
      <w:r>
        <w:rPr>
          <w:rFonts w:hint="eastAsia" w:ascii="仿宋" w:hAnsi="仿宋" w:eastAsia="仿宋"/>
          <w:sz w:val="28"/>
        </w:rPr>
        <w:t>评估对象</w:t>
      </w:r>
      <w:r>
        <w:rPr>
          <w:rFonts w:hint="eastAsia" w:ascii="仿宋" w:hAnsi="仿宋" w:eastAsia="仿宋" w:cs="仿宋"/>
          <w:sz w:val="28"/>
          <w:szCs w:val="28"/>
        </w:rPr>
        <w:t>包括</w:t>
      </w:r>
      <w:r>
        <w:rPr>
          <w:rFonts w:hint="eastAsia" w:ascii="仿宋" w:hAnsi="仿宋" w:eastAsia="仿宋" w:cs="仿宋"/>
          <w:spacing w:val="11"/>
          <w:sz w:val="28"/>
          <w:szCs w:val="28"/>
        </w:rPr>
        <w:t>房屋所有权及其分摊的国有土地使用权，不包括动产、债权债务、特许经营权等其他财产或权益</w:t>
      </w:r>
      <w:r>
        <w:rPr>
          <w:rFonts w:hint="eastAsia" w:ascii="仿宋" w:hAnsi="仿宋" w:eastAsia="仿宋" w:cs="仿宋"/>
          <w:sz w:val="28"/>
          <w:szCs w:val="28"/>
        </w:rPr>
        <w:t>。</w:t>
      </w:r>
      <w:r>
        <w:rPr>
          <w:rFonts w:hint="eastAsia" w:ascii="仿宋" w:hAnsi="仿宋" w:eastAsia="仿宋"/>
          <w:sz w:val="28"/>
          <w:szCs w:val="28"/>
        </w:rPr>
        <w:t>评估对象房屋土地状况详见下表：</w:t>
      </w:r>
    </w:p>
    <w:tbl>
      <w:tblPr>
        <w:tblStyle w:val="25"/>
        <w:tblW w:w="9539" w:type="dxa"/>
        <w:tblInd w:w="-34" w:type="dxa"/>
        <w:tblLayout w:type="fixed"/>
        <w:tblCellMar>
          <w:top w:w="0" w:type="dxa"/>
          <w:left w:w="108" w:type="dxa"/>
          <w:bottom w:w="0" w:type="dxa"/>
          <w:right w:w="108" w:type="dxa"/>
        </w:tblCellMar>
      </w:tblPr>
      <w:tblGrid>
        <w:gridCol w:w="1079"/>
        <w:gridCol w:w="2085"/>
        <w:gridCol w:w="1545"/>
        <w:gridCol w:w="725"/>
        <w:gridCol w:w="888"/>
        <w:gridCol w:w="1019"/>
        <w:gridCol w:w="1054"/>
        <w:gridCol w:w="1144"/>
      </w:tblGrid>
      <w:tr>
        <w:tblPrEx>
          <w:tblLayout w:type="fixed"/>
          <w:tblCellMar>
            <w:top w:w="0" w:type="dxa"/>
            <w:left w:w="108" w:type="dxa"/>
            <w:bottom w:w="0" w:type="dxa"/>
            <w:right w:w="108" w:type="dxa"/>
          </w:tblCellMar>
        </w:tblPrEx>
        <w:trPr>
          <w:trHeight w:val="540"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房屋使用权人</w:t>
            </w:r>
          </w:p>
        </w:tc>
        <w:tc>
          <w:tcPr>
            <w:tcW w:w="20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坐落</w:t>
            </w:r>
          </w:p>
        </w:tc>
        <w:tc>
          <w:tcPr>
            <w:tcW w:w="154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房屋所有权证号</w:t>
            </w:r>
          </w:p>
        </w:tc>
        <w:tc>
          <w:tcPr>
            <w:tcW w:w="7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建成年代</w:t>
            </w:r>
          </w:p>
        </w:tc>
        <w:tc>
          <w:tcPr>
            <w:tcW w:w="88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总层数</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rPr>
            </w:pPr>
            <w:r>
              <w:rPr>
                <w:rFonts w:hint="eastAsia" w:ascii="仿宋" w:hAnsi="仿宋" w:eastAsia="仿宋"/>
                <w:color w:val="000000"/>
                <w:szCs w:val="21"/>
              </w:rPr>
              <w:t>建筑</w:t>
            </w:r>
          </w:p>
          <w:p>
            <w:pPr>
              <w:jc w:val="center"/>
              <w:rPr>
                <w:rFonts w:ascii="仿宋" w:hAnsi="仿宋" w:eastAsia="仿宋"/>
                <w:color w:val="000000"/>
                <w:szCs w:val="21"/>
              </w:rPr>
            </w:pPr>
            <w:r>
              <w:rPr>
                <w:rFonts w:hint="eastAsia" w:ascii="仿宋" w:hAnsi="仿宋" w:eastAsia="仿宋"/>
                <w:color w:val="000000"/>
                <w:szCs w:val="21"/>
              </w:rPr>
              <w:t>结构</w:t>
            </w:r>
          </w:p>
        </w:tc>
        <w:tc>
          <w:tcPr>
            <w:tcW w:w="105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用途</w:t>
            </w:r>
          </w:p>
        </w:tc>
        <w:tc>
          <w:tcPr>
            <w:tcW w:w="114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建筑面积（㎡）</w:t>
            </w:r>
          </w:p>
        </w:tc>
      </w:tr>
      <w:tr>
        <w:tblPrEx>
          <w:tblLayout w:type="fixed"/>
          <w:tblCellMar>
            <w:top w:w="0" w:type="dxa"/>
            <w:left w:w="108" w:type="dxa"/>
            <w:bottom w:w="0" w:type="dxa"/>
            <w:right w:w="108" w:type="dxa"/>
          </w:tblCellMar>
        </w:tblPrEx>
        <w:trPr>
          <w:trHeight w:val="365" w:hRule="atLeast"/>
        </w:trPr>
        <w:tc>
          <w:tcPr>
            <w:tcW w:w="1079" w:type="dxa"/>
            <w:vMerge w:val="restart"/>
            <w:tcBorders>
              <w:top w:val="nil"/>
              <w:left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山东青河农业科技发展股份有限公司</w:t>
            </w: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高青县高城镇蔡旺村北、张田路东侧1#</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淄博市房权证高青县字第09-0038585号</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钢结构</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仓储</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1185.03</w:t>
            </w:r>
          </w:p>
        </w:tc>
      </w:tr>
      <w:tr>
        <w:tblPrEx>
          <w:tblLayout w:type="fixed"/>
          <w:tblCellMar>
            <w:top w:w="0" w:type="dxa"/>
            <w:left w:w="108" w:type="dxa"/>
            <w:bottom w:w="0" w:type="dxa"/>
            <w:right w:w="108" w:type="dxa"/>
          </w:tblCellMar>
        </w:tblPrEx>
        <w:trPr>
          <w:trHeight w:val="587"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高青县高城镇蔡旺村北、张田路东侧1#北侧加建房屋</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rPr>
            </w:pPr>
            <w:r>
              <w:rPr>
                <w:rFonts w:hint="eastAsia" w:ascii="仿宋" w:hAnsi="仿宋" w:eastAsia="仿宋"/>
                <w:color w:val="000000"/>
                <w:szCs w:val="21"/>
              </w:rPr>
              <w:t>轻钢</w:t>
            </w:r>
          </w:p>
          <w:p>
            <w:pPr>
              <w:jc w:val="center"/>
              <w:rPr>
                <w:rFonts w:ascii="仿宋" w:hAnsi="仿宋" w:eastAsia="仿宋"/>
                <w:color w:val="000000"/>
                <w:szCs w:val="21"/>
              </w:rPr>
            </w:pPr>
            <w:r>
              <w:rPr>
                <w:rFonts w:hint="eastAsia" w:ascii="仿宋" w:hAnsi="仿宋" w:eastAsia="仿宋"/>
                <w:color w:val="000000"/>
                <w:szCs w:val="21"/>
              </w:rPr>
              <w:t>结构</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118.95</w:t>
            </w:r>
          </w:p>
        </w:tc>
      </w:tr>
      <w:tr>
        <w:tblPrEx>
          <w:tblLayout w:type="fixed"/>
          <w:tblCellMar>
            <w:top w:w="0" w:type="dxa"/>
            <w:left w:w="108" w:type="dxa"/>
            <w:bottom w:w="0" w:type="dxa"/>
            <w:right w:w="108" w:type="dxa"/>
          </w:tblCellMar>
        </w:tblPrEx>
        <w:trPr>
          <w:trHeight w:val="77"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高青县高城镇蔡旺村北、张田路东侧2#</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淄博市房权证高青县字第09-0038586号</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6层</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钢混</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其他</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1083.47</w:t>
            </w:r>
          </w:p>
        </w:tc>
      </w:tr>
      <w:tr>
        <w:tblPrEx>
          <w:tblLayout w:type="fixed"/>
          <w:tblCellMar>
            <w:top w:w="0" w:type="dxa"/>
            <w:left w:w="108" w:type="dxa"/>
            <w:bottom w:w="0" w:type="dxa"/>
            <w:right w:w="108" w:type="dxa"/>
          </w:tblCellMar>
        </w:tblPrEx>
        <w:trPr>
          <w:trHeight w:val="339"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高青县高城镇蔡旺村北、张田路东侧2#南侧加建房屋</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rPr>
            </w:pPr>
            <w:r>
              <w:rPr>
                <w:rFonts w:hint="eastAsia" w:ascii="仿宋" w:hAnsi="仿宋" w:eastAsia="仿宋"/>
                <w:color w:val="000000"/>
                <w:szCs w:val="21"/>
              </w:rPr>
              <w:t>轻钢</w:t>
            </w:r>
          </w:p>
          <w:p>
            <w:pPr>
              <w:jc w:val="center"/>
              <w:rPr>
                <w:rFonts w:ascii="仿宋" w:hAnsi="仿宋" w:eastAsia="仿宋"/>
                <w:color w:val="000000"/>
                <w:szCs w:val="21"/>
              </w:rPr>
            </w:pPr>
            <w:r>
              <w:rPr>
                <w:rFonts w:hint="eastAsia" w:ascii="仿宋" w:hAnsi="仿宋" w:eastAsia="仿宋"/>
                <w:color w:val="000000"/>
                <w:szCs w:val="21"/>
              </w:rPr>
              <w:t>结构</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5.89</w:t>
            </w:r>
          </w:p>
        </w:tc>
      </w:tr>
      <w:tr>
        <w:tblPrEx>
          <w:tblLayout w:type="fixed"/>
          <w:tblCellMar>
            <w:top w:w="0" w:type="dxa"/>
            <w:left w:w="108" w:type="dxa"/>
            <w:bottom w:w="0" w:type="dxa"/>
            <w:right w:w="108" w:type="dxa"/>
          </w:tblCellMar>
        </w:tblPrEx>
        <w:trPr>
          <w:trHeight w:val="77"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高青县高城镇蔡旺村北、张田路东侧3#</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淄博市房权证高青县字第09-0038587号</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混合</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仓储</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1215.32</w:t>
            </w:r>
          </w:p>
        </w:tc>
      </w:tr>
      <w:tr>
        <w:tblPrEx>
          <w:tblLayout w:type="fixed"/>
          <w:tblCellMar>
            <w:top w:w="0" w:type="dxa"/>
            <w:left w:w="108" w:type="dxa"/>
            <w:bottom w:w="0" w:type="dxa"/>
            <w:right w:w="108" w:type="dxa"/>
          </w:tblCellMar>
        </w:tblPrEx>
        <w:trPr>
          <w:trHeight w:val="77"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高青县高城镇蔡旺村北、张田路东侧3#南侧加建房屋</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rPr>
            </w:pPr>
            <w:r>
              <w:rPr>
                <w:rFonts w:hint="eastAsia" w:ascii="仿宋" w:hAnsi="仿宋" w:eastAsia="仿宋"/>
                <w:color w:val="000000"/>
                <w:szCs w:val="21"/>
              </w:rPr>
              <w:t>轻钢</w:t>
            </w:r>
          </w:p>
          <w:p>
            <w:pPr>
              <w:jc w:val="center"/>
              <w:rPr>
                <w:rFonts w:ascii="仿宋" w:hAnsi="仿宋" w:eastAsia="仿宋"/>
                <w:color w:val="000000"/>
                <w:szCs w:val="21"/>
              </w:rPr>
            </w:pPr>
            <w:r>
              <w:rPr>
                <w:rFonts w:hint="eastAsia" w:ascii="仿宋" w:hAnsi="仿宋" w:eastAsia="仿宋"/>
                <w:color w:val="000000"/>
                <w:szCs w:val="21"/>
              </w:rPr>
              <w:t>结构</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24.19</w:t>
            </w:r>
          </w:p>
        </w:tc>
      </w:tr>
      <w:tr>
        <w:tblPrEx>
          <w:tblLayout w:type="fixed"/>
          <w:tblCellMar>
            <w:top w:w="0" w:type="dxa"/>
            <w:left w:w="108" w:type="dxa"/>
            <w:bottom w:w="0" w:type="dxa"/>
            <w:right w:w="108" w:type="dxa"/>
          </w:tblCellMar>
        </w:tblPrEx>
        <w:trPr>
          <w:trHeight w:val="146"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高青县高城镇蔡旺村北、张田路东侧4#</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淄博市房权证高青县字第09-0038588号</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混合</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其他</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121.52</w:t>
            </w:r>
          </w:p>
        </w:tc>
      </w:tr>
      <w:tr>
        <w:tblPrEx>
          <w:tblLayout w:type="fixed"/>
          <w:tblCellMar>
            <w:top w:w="0" w:type="dxa"/>
            <w:left w:w="108" w:type="dxa"/>
            <w:bottom w:w="0" w:type="dxa"/>
            <w:right w:w="108" w:type="dxa"/>
          </w:tblCellMar>
        </w:tblPrEx>
        <w:trPr>
          <w:trHeight w:val="353"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高青县高城镇蔡旺村北、张田路东侧4#以北加建厕所</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混合</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101.61</w:t>
            </w:r>
          </w:p>
        </w:tc>
      </w:tr>
      <w:tr>
        <w:tblPrEx>
          <w:tblLayout w:type="fixed"/>
          <w:tblCellMar>
            <w:top w:w="0" w:type="dxa"/>
            <w:left w:w="108" w:type="dxa"/>
            <w:bottom w:w="0" w:type="dxa"/>
            <w:right w:w="108" w:type="dxa"/>
          </w:tblCellMar>
        </w:tblPrEx>
        <w:trPr>
          <w:trHeight w:val="136"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高青县高城镇蔡旺村北、张田路东侧5#</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淄博市房权证高青县字第09-0038589号</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钢结构</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仓储</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200.47</w:t>
            </w:r>
          </w:p>
        </w:tc>
      </w:tr>
      <w:tr>
        <w:tblPrEx>
          <w:tblLayout w:type="fixed"/>
          <w:tblCellMar>
            <w:top w:w="0" w:type="dxa"/>
            <w:left w:w="108" w:type="dxa"/>
            <w:bottom w:w="0" w:type="dxa"/>
            <w:right w:w="108" w:type="dxa"/>
          </w:tblCellMar>
        </w:tblPrEx>
        <w:trPr>
          <w:trHeight w:val="641"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高青县高城镇蔡旺村北、张田路东侧6#</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淄博市房权证高青县字第09-0038590号</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钢结构</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仓储</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200.47</w:t>
            </w:r>
          </w:p>
        </w:tc>
      </w:tr>
      <w:tr>
        <w:tblPrEx>
          <w:tblLayout w:type="fixed"/>
          <w:tblCellMar>
            <w:top w:w="0" w:type="dxa"/>
            <w:left w:w="108" w:type="dxa"/>
            <w:bottom w:w="0" w:type="dxa"/>
            <w:right w:w="108" w:type="dxa"/>
          </w:tblCellMar>
        </w:tblPrEx>
        <w:trPr>
          <w:trHeight w:val="437"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rPr>
              <w:t>高青县高城镇蔡旺村北、张田路东侧7#</w:t>
            </w:r>
            <w:r>
              <w:rPr>
                <w:rFonts w:hint="eastAsia" w:ascii="仿宋" w:hAnsi="仿宋" w:eastAsia="仿宋"/>
                <w:color w:val="000000"/>
                <w:szCs w:val="21"/>
                <w:lang w:eastAsia="zh-CN"/>
              </w:rPr>
              <w:t>宿舍</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混合</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87.78</w:t>
            </w:r>
          </w:p>
        </w:tc>
      </w:tr>
      <w:tr>
        <w:tblPrEx>
          <w:tblLayout w:type="fixed"/>
          <w:tblCellMar>
            <w:top w:w="0" w:type="dxa"/>
            <w:left w:w="108" w:type="dxa"/>
            <w:bottom w:w="0" w:type="dxa"/>
            <w:right w:w="108" w:type="dxa"/>
          </w:tblCellMar>
        </w:tblPrEx>
        <w:trPr>
          <w:trHeight w:val="896"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高青县高城镇蔡旺村北、张田路东侧7#</w:t>
            </w:r>
            <w:r>
              <w:rPr>
                <w:rFonts w:hint="eastAsia" w:ascii="仿宋" w:hAnsi="仿宋" w:eastAsia="仿宋"/>
                <w:color w:val="000000"/>
                <w:szCs w:val="21"/>
                <w:lang w:eastAsia="zh-CN"/>
              </w:rPr>
              <w:t>宿舍</w:t>
            </w:r>
            <w:r>
              <w:rPr>
                <w:rFonts w:hint="eastAsia" w:ascii="仿宋" w:hAnsi="仿宋" w:eastAsia="仿宋"/>
                <w:color w:val="000000"/>
                <w:szCs w:val="21"/>
              </w:rPr>
              <w:t>东侧加建厕所</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混合</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9.2</w:t>
            </w:r>
          </w:p>
        </w:tc>
      </w:tr>
      <w:tr>
        <w:tblPrEx>
          <w:tblLayout w:type="fixed"/>
          <w:tblCellMar>
            <w:top w:w="0" w:type="dxa"/>
            <w:left w:w="108" w:type="dxa"/>
            <w:bottom w:w="0" w:type="dxa"/>
            <w:right w:w="108" w:type="dxa"/>
          </w:tblCellMar>
        </w:tblPrEx>
        <w:trPr>
          <w:trHeight w:val="270"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高青县高城镇蔡旺村北、张田路东侧5#以北加建铁皮房</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rPr>
            </w:pPr>
            <w:r>
              <w:rPr>
                <w:rFonts w:hint="eastAsia" w:ascii="仿宋" w:hAnsi="仿宋" w:eastAsia="仿宋"/>
                <w:color w:val="000000"/>
                <w:szCs w:val="21"/>
              </w:rPr>
              <w:t>轻钢</w:t>
            </w:r>
          </w:p>
          <w:p>
            <w:pPr>
              <w:jc w:val="center"/>
              <w:rPr>
                <w:rFonts w:ascii="仿宋" w:hAnsi="仿宋" w:eastAsia="仿宋"/>
                <w:color w:val="000000"/>
                <w:szCs w:val="21"/>
              </w:rPr>
            </w:pPr>
            <w:r>
              <w:rPr>
                <w:rFonts w:hint="eastAsia" w:ascii="仿宋" w:hAnsi="仿宋" w:eastAsia="仿宋"/>
                <w:color w:val="000000"/>
                <w:szCs w:val="21"/>
              </w:rPr>
              <w:t>结构</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87.99</w:t>
            </w:r>
          </w:p>
        </w:tc>
      </w:tr>
      <w:tr>
        <w:tblPrEx>
          <w:tblLayout w:type="fixed"/>
          <w:tblCellMar>
            <w:top w:w="0" w:type="dxa"/>
            <w:left w:w="108" w:type="dxa"/>
            <w:bottom w:w="0" w:type="dxa"/>
            <w:right w:w="108" w:type="dxa"/>
          </w:tblCellMar>
        </w:tblPrEx>
        <w:trPr>
          <w:trHeight w:val="633"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高青县高城镇蔡旺村北、张田路东侧停车棚</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rPr>
            </w:pPr>
            <w:r>
              <w:rPr>
                <w:rFonts w:hint="eastAsia" w:ascii="仿宋" w:hAnsi="仿宋" w:eastAsia="仿宋"/>
                <w:color w:val="000000"/>
                <w:szCs w:val="21"/>
              </w:rPr>
              <w:t>轻钢</w:t>
            </w:r>
          </w:p>
          <w:p>
            <w:pPr>
              <w:jc w:val="center"/>
              <w:rPr>
                <w:rFonts w:ascii="仿宋" w:hAnsi="仿宋" w:eastAsia="仿宋"/>
                <w:color w:val="000000"/>
                <w:szCs w:val="21"/>
              </w:rPr>
            </w:pPr>
            <w:r>
              <w:rPr>
                <w:rFonts w:hint="eastAsia" w:ascii="仿宋" w:hAnsi="仿宋" w:eastAsia="仿宋"/>
                <w:color w:val="000000"/>
                <w:szCs w:val="21"/>
              </w:rPr>
              <w:t>结构</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140.4</w:t>
            </w:r>
          </w:p>
        </w:tc>
      </w:tr>
      <w:tr>
        <w:tblPrEx>
          <w:tblLayout w:type="fixed"/>
          <w:tblCellMar>
            <w:top w:w="0" w:type="dxa"/>
            <w:left w:w="108" w:type="dxa"/>
            <w:bottom w:w="0" w:type="dxa"/>
            <w:right w:w="108" w:type="dxa"/>
          </w:tblCellMar>
        </w:tblPrEx>
        <w:trPr>
          <w:trHeight w:val="264" w:hRule="atLeast"/>
        </w:trPr>
        <w:tc>
          <w:tcPr>
            <w:tcW w:w="1079" w:type="dxa"/>
            <w:vMerge w:val="continue"/>
            <w:tcBorders>
              <w:left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高青县高城镇蔡旺村北、张田路东侧门卫室</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olor w:val="000000"/>
                <w:szCs w:val="21"/>
              </w:rPr>
            </w:pPr>
            <w:r>
              <w:rPr>
                <w:rFonts w:hint="eastAsia" w:ascii="仿宋" w:hAnsi="仿宋" w:eastAsia="仿宋"/>
                <w:color w:val="000000"/>
                <w:szCs w:val="21"/>
              </w:rPr>
              <w:t>轻钢</w:t>
            </w:r>
          </w:p>
          <w:p>
            <w:pPr>
              <w:jc w:val="center"/>
              <w:rPr>
                <w:rFonts w:ascii="仿宋" w:hAnsi="仿宋" w:eastAsia="仿宋"/>
                <w:color w:val="000000"/>
                <w:szCs w:val="21"/>
              </w:rPr>
            </w:pPr>
            <w:r>
              <w:rPr>
                <w:rFonts w:hint="eastAsia" w:ascii="仿宋" w:hAnsi="仿宋" w:eastAsia="仿宋"/>
                <w:color w:val="000000"/>
                <w:szCs w:val="21"/>
              </w:rPr>
              <w:t>结构</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32.76</w:t>
            </w:r>
          </w:p>
        </w:tc>
      </w:tr>
      <w:tr>
        <w:tblPrEx>
          <w:tblLayout w:type="fixed"/>
          <w:tblCellMar>
            <w:top w:w="0" w:type="dxa"/>
            <w:left w:w="108" w:type="dxa"/>
            <w:bottom w:w="0" w:type="dxa"/>
            <w:right w:w="108" w:type="dxa"/>
          </w:tblCellMar>
        </w:tblPrEx>
        <w:trPr>
          <w:trHeight w:val="264" w:hRule="atLeast"/>
        </w:trPr>
        <w:tc>
          <w:tcPr>
            <w:tcW w:w="107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olor w:val="000000"/>
                <w:szCs w:val="21"/>
              </w:rPr>
            </w:pP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高青县高城镇蔡旺村北、张田路东侧院子门口办公室</w:t>
            </w:r>
          </w:p>
        </w:tc>
        <w:tc>
          <w:tcPr>
            <w:tcW w:w="154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无证</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1层</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混合</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193.28</w:t>
            </w:r>
          </w:p>
        </w:tc>
      </w:tr>
      <w:tr>
        <w:tblPrEx>
          <w:tblLayout w:type="fixed"/>
          <w:tblCellMar>
            <w:top w:w="0" w:type="dxa"/>
            <w:left w:w="108" w:type="dxa"/>
            <w:bottom w:w="0" w:type="dxa"/>
            <w:right w:w="108" w:type="dxa"/>
          </w:tblCellMar>
        </w:tblPrEx>
        <w:trPr>
          <w:trHeight w:val="264" w:hRule="atLeast"/>
        </w:trPr>
        <w:tc>
          <w:tcPr>
            <w:tcW w:w="8395" w:type="dxa"/>
            <w:gridSpan w:val="7"/>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rPr>
              <w:t>合计</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4808.33</w:t>
            </w:r>
          </w:p>
        </w:tc>
      </w:tr>
      <w:tr>
        <w:tblPrEx>
          <w:tblLayout w:type="fixed"/>
          <w:tblCellMar>
            <w:top w:w="0" w:type="dxa"/>
            <w:left w:w="108" w:type="dxa"/>
            <w:bottom w:w="0" w:type="dxa"/>
            <w:right w:w="108" w:type="dxa"/>
          </w:tblCellMar>
        </w:tblPrEx>
        <w:trPr>
          <w:trHeight w:val="77" w:hRule="atLeast"/>
        </w:trPr>
        <w:tc>
          <w:tcPr>
            <w:tcW w:w="10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土地使用权人</w:t>
            </w: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坐落</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国有土地使用证号</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地类</w:t>
            </w:r>
          </w:p>
          <w:p>
            <w:pPr>
              <w:jc w:val="center"/>
              <w:rPr>
                <w:rFonts w:ascii="仿宋" w:hAnsi="仿宋" w:eastAsia="仿宋"/>
                <w:color w:val="000000"/>
                <w:szCs w:val="21"/>
              </w:rPr>
            </w:pPr>
            <w:r>
              <w:rPr>
                <w:rFonts w:hint="eastAsia" w:ascii="仿宋" w:hAnsi="仿宋" w:eastAsia="仿宋"/>
                <w:color w:val="000000"/>
                <w:szCs w:val="21"/>
              </w:rPr>
              <w:t>（用途）</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使用权类型</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终止日期</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使用权面积</w:t>
            </w:r>
          </w:p>
          <w:p>
            <w:pPr>
              <w:jc w:val="center"/>
              <w:rPr>
                <w:rFonts w:ascii="仿宋" w:hAnsi="仿宋" w:eastAsia="仿宋"/>
                <w:color w:val="000000"/>
                <w:szCs w:val="21"/>
              </w:rPr>
            </w:pPr>
            <w:r>
              <w:rPr>
                <w:rFonts w:hint="eastAsia" w:ascii="仿宋" w:hAnsi="仿宋" w:eastAsia="仿宋"/>
                <w:color w:val="000000"/>
                <w:szCs w:val="21"/>
              </w:rPr>
              <w:t>（㎡）</w:t>
            </w:r>
          </w:p>
        </w:tc>
      </w:tr>
      <w:tr>
        <w:tblPrEx>
          <w:tblLayout w:type="fixed"/>
          <w:tblCellMar>
            <w:top w:w="0" w:type="dxa"/>
            <w:left w:w="108" w:type="dxa"/>
            <w:bottom w:w="0" w:type="dxa"/>
            <w:right w:w="108" w:type="dxa"/>
          </w:tblCellMar>
        </w:tblPrEx>
        <w:trPr>
          <w:trHeight w:val="1275" w:hRule="atLeast"/>
        </w:trPr>
        <w:tc>
          <w:tcPr>
            <w:tcW w:w="10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山东青河农业科技发展股份有限公司</w:t>
            </w:r>
          </w:p>
        </w:tc>
        <w:tc>
          <w:tcPr>
            <w:tcW w:w="20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高城镇蔡旺村以北、张田路东侧</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高国用（2012）第1658号</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工业用地</w:t>
            </w:r>
          </w:p>
        </w:tc>
        <w:tc>
          <w:tcPr>
            <w:tcW w:w="10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出让</w:t>
            </w:r>
          </w:p>
        </w:tc>
        <w:tc>
          <w:tcPr>
            <w:tcW w:w="105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2056/12/14</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Cs w:val="21"/>
              </w:rPr>
            </w:pPr>
            <w:r>
              <w:rPr>
                <w:rFonts w:hint="eastAsia" w:ascii="仿宋" w:hAnsi="仿宋" w:eastAsia="仿宋"/>
                <w:color w:val="000000"/>
                <w:szCs w:val="21"/>
              </w:rPr>
              <w:t>6665.4</w:t>
            </w:r>
          </w:p>
        </w:tc>
      </w:tr>
    </w:tbl>
    <w:p>
      <w:pPr>
        <w:pStyle w:val="11"/>
        <w:snapToGrid w:val="0"/>
        <w:spacing w:before="156" w:beforeLines="50" w:line="360" w:lineRule="auto"/>
        <w:ind w:right="105" w:rightChars="50" w:firstLine="562" w:firstLineChars="200"/>
        <w:rPr>
          <w:rFonts w:ascii="仿宋" w:hAnsi="仿宋" w:eastAsia="仿宋" w:cs="仿宋"/>
          <w:sz w:val="28"/>
          <w:szCs w:val="28"/>
        </w:rPr>
      </w:pPr>
      <w:r>
        <w:rPr>
          <w:rFonts w:hint="eastAsia" w:ascii="仿宋" w:hAnsi="仿宋" w:eastAsia="仿宋" w:cs="仿宋"/>
          <w:b/>
          <w:sz w:val="28"/>
          <w:szCs w:val="28"/>
        </w:rPr>
        <w:t>价值时点：</w:t>
      </w:r>
      <w:r>
        <w:rPr>
          <w:rFonts w:hint="eastAsia" w:ascii="仿宋" w:hAnsi="仿宋" w:eastAsia="仿宋" w:cs="仿宋"/>
          <w:sz w:val="28"/>
          <w:szCs w:val="28"/>
        </w:rPr>
        <w:t>价值时点确定为注册房地产估价师实地查勘完成之日2019年7月11日。</w:t>
      </w:r>
    </w:p>
    <w:p>
      <w:pPr>
        <w:tabs>
          <w:tab w:val="left" w:pos="1985"/>
          <w:tab w:val="left" w:pos="3402"/>
        </w:tabs>
        <w:spacing w:line="360" w:lineRule="auto"/>
        <w:ind w:left="105" w:leftChars="50" w:right="105" w:rightChars="50" w:firstLine="562" w:firstLineChars="200"/>
        <w:rPr>
          <w:rFonts w:ascii="仿宋" w:hAnsi="仿宋" w:eastAsia="仿宋" w:cs="仿宋"/>
          <w:b/>
          <w:sz w:val="28"/>
          <w:szCs w:val="28"/>
        </w:rPr>
      </w:pPr>
      <w:r>
        <w:rPr>
          <w:rFonts w:hint="eastAsia" w:ascii="仿宋" w:hAnsi="仿宋" w:eastAsia="仿宋" w:cs="仿宋"/>
          <w:b/>
          <w:sz w:val="28"/>
          <w:szCs w:val="28"/>
        </w:rPr>
        <w:t>价值类型：</w:t>
      </w:r>
      <w:r>
        <w:rPr>
          <w:rFonts w:hint="eastAsia" w:ascii="仿宋" w:hAnsi="仿宋" w:eastAsia="仿宋" w:cs="仿宋"/>
          <w:sz w:val="28"/>
          <w:szCs w:val="28"/>
        </w:rPr>
        <w:t>房地产市场价值</w:t>
      </w:r>
    </w:p>
    <w:p>
      <w:pPr>
        <w:spacing w:line="360" w:lineRule="auto"/>
        <w:ind w:left="105" w:leftChars="50" w:right="105" w:rightChars="50" w:firstLine="551" w:firstLineChars="196"/>
        <w:rPr>
          <w:rFonts w:ascii="仿宋" w:hAnsi="仿宋" w:eastAsia="仿宋" w:cs="仿宋"/>
          <w:sz w:val="28"/>
          <w:szCs w:val="28"/>
        </w:rPr>
      </w:pPr>
      <w:r>
        <w:rPr>
          <w:rFonts w:hint="eastAsia" w:ascii="仿宋" w:hAnsi="仿宋" w:eastAsia="仿宋"/>
          <w:b/>
          <w:bCs/>
          <w:sz w:val="28"/>
          <w:szCs w:val="28"/>
        </w:rPr>
        <w:t>评估</w:t>
      </w:r>
      <w:r>
        <w:rPr>
          <w:rFonts w:hint="eastAsia" w:ascii="仿宋" w:hAnsi="仿宋" w:eastAsia="仿宋" w:cs="仿宋"/>
          <w:b/>
          <w:sz w:val="28"/>
          <w:szCs w:val="28"/>
        </w:rPr>
        <w:t>方法：</w:t>
      </w:r>
      <w:r>
        <w:rPr>
          <w:rFonts w:hint="eastAsia" w:ascii="仿宋" w:hAnsi="仿宋" w:eastAsia="仿宋" w:cs="仿宋"/>
          <w:sz w:val="28"/>
          <w:szCs w:val="28"/>
        </w:rPr>
        <w:t>成本法、基准地价系数修正法、比较法</w:t>
      </w:r>
    </w:p>
    <w:p>
      <w:pPr>
        <w:spacing w:line="360" w:lineRule="auto"/>
        <w:ind w:left="105" w:leftChars="50" w:right="105" w:rightChars="50" w:firstLine="551" w:firstLineChars="196"/>
        <w:rPr>
          <w:rFonts w:ascii="仿宋" w:hAnsi="仿宋" w:eastAsia="仿宋"/>
          <w:b/>
          <w:sz w:val="28"/>
          <w:szCs w:val="28"/>
        </w:rPr>
      </w:pPr>
      <w:r>
        <w:rPr>
          <w:rFonts w:hint="eastAsia" w:ascii="仿宋" w:hAnsi="仿宋" w:eastAsia="仿宋"/>
          <w:b/>
          <w:bCs/>
          <w:sz w:val="28"/>
          <w:szCs w:val="28"/>
        </w:rPr>
        <w:t>评估</w:t>
      </w:r>
      <w:r>
        <w:rPr>
          <w:rFonts w:hint="eastAsia" w:ascii="仿宋" w:hAnsi="仿宋" w:eastAsia="仿宋" w:cs="仿宋"/>
          <w:b/>
          <w:sz w:val="28"/>
          <w:szCs w:val="28"/>
        </w:rPr>
        <w:t>结果：</w:t>
      </w:r>
      <w:r>
        <w:rPr>
          <w:rFonts w:hint="eastAsia" w:ascii="仿宋" w:hAnsi="仿宋" w:eastAsia="仿宋" w:cs="仿宋"/>
          <w:sz w:val="28"/>
          <w:szCs w:val="28"/>
        </w:rPr>
        <w:t>注册房地产估价师根据评估目的，遵循评估原则，按照评估工作程序，利用科学的评估方法，在认真分析现有资料的基础上，经过周密准确的测算，确定评估对象在设定条件下，于价值时点2019年7月11日的</w:t>
      </w:r>
      <w:r>
        <w:rPr>
          <w:rFonts w:hint="eastAsia" w:ascii="仿宋" w:hAnsi="仿宋" w:eastAsia="仿宋"/>
          <w:sz w:val="28"/>
          <w:szCs w:val="28"/>
        </w:rPr>
        <w:t>市场价值为（币种：人民币）：</w:t>
      </w:r>
    </w:p>
    <w:p>
      <w:pPr>
        <w:autoSpaceDE w:val="0"/>
        <w:autoSpaceDN w:val="0"/>
        <w:adjustRightInd w:val="0"/>
        <w:snapToGrid w:val="0"/>
        <w:spacing w:line="360" w:lineRule="auto"/>
        <w:ind w:right="105" w:rightChars="50" w:firstLine="551" w:firstLineChars="196"/>
        <w:rPr>
          <w:rFonts w:ascii="仿宋" w:hAnsi="仿宋" w:eastAsia="仿宋" w:cs="仿宋"/>
          <w:b/>
          <w:sz w:val="28"/>
          <w:szCs w:val="28"/>
        </w:rPr>
      </w:pPr>
      <w:r>
        <w:rPr>
          <w:rFonts w:hint="eastAsia" w:ascii="仿宋" w:hAnsi="仿宋" w:eastAsia="仿宋"/>
          <w:b/>
          <w:sz w:val="28"/>
          <w:szCs w:val="28"/>
        </w:rPr>
        <w:t>评估对象总价：</w:t>
      </w:r>
      <w:r>
        <w:rPr>
          <w:rFonts w:hint="eastAsia" w:ascii="仿宋" w:hAnsi="仿宋" w:eastAsia="仿宋" w:cs="仿宋"/>
          <w:b/>
          <w:sz w:val="28"/>
          <w:szCs w:val="28"/>
        </w:rPr>
        <w:t>701.92万元</w:t>
      </w:r>
    </w:p>
    <w:p>
      <w:pPr>
        <w:snapToGrid w:val="0"/>
        <w:spacing w:line="360" w:lineRule="auto"/>
        <w:ind w:right="105" w:rightChars="50" w:firstLine="562" w:firstLineChars="200"/>
        <w:rPr>
          <w:rFonts w:ascii="仿宋" w:hAnsi="仿宋" w:eastAsia="仿宋"/>
          <w:b/>
          <w:sz w:val="28"/>
          <w:szCs w:val="28"/>
        </w:rPr>
      </w:pPr>
      <w:r>
        <w:rPr>
          <w:rFonts w:hint="eastAsia" w:ascii="仿宋" w:hAnsi="仿宋" w:eastAsia="仿宋"/>
          <w:b/>
          <w:sz w:val="28"/>
          <w:szCs w:val="28"/>
        </w:rPr>
        <w:t>大写金额：柒佰零壹万玖仟贰佰元整。</w:t>
      </w:r>
    </w:p>
    <w:p>
      <w:pPr>
        <w:snapToGrid w:val="0"/>
        <w:spacing w:line="360" w:lineRule="auto"/>
        <w:ind w:right="105" w:rightChars="50" w:firstLine="562" w:firstLineChars="200"/>
        <w:rPr>
          <w:rFonts w:ascii="仿宋" w:hAnsi="仿宋" w:eastAsia="仿宋"/>
          <w:b/>
          <w:sz w:val="28"/>
          <w:szCs w:val="28"/>
        </w:rPr>
      </w:pPr>
      <w:r>
        <w:rPr>
          <w:rFonts w:hint="eastAsia" w:ascii="仿宋" w:hAnsi="仿宋" w:eastAsia="仿宋"/>
          <w:b/>
          <w:sz w:val="28"/>
          <w:szCs w:val="28"/>
        </w:rPr>
        <w:t>其中包含国有土地使用权价值196.63万元</w:t>
      </w:r>
    </w:p>
    <w:p>
      <w:pPr>
        <w:snapToGrid w:val="0"/>
        <w:spacing w:line="360" w:lineRule="auto"/>
        <w:ind w:right="105" w:rightChars="50" w:firstLine="551" w:firstLineChars="196"/>
        <w:rPr>
          <w:rFonts w:ascii="仿宋" w:hAnsi="仿宋" w:eastAsia="仿宋"/>
          <w:b/>
          <w:sz w:val="28"/>
          <w:szCs w:val="28"/>
        </w:rPr>
      </w:pPr>
      <w:r>
        <w:rPr>
          <w:rFonts w:hint="eastAsia" w:ascii="仿宋" w:hAnsi="仿宋" w:eastAsia="仿宋"/>
          <w:b/>
          <w:sz w:val="28"/>
          <w:szCs w:val="28"/>
        </w:rPr>
        <w:t>房屋土地价值详见下表：</w:t>
      </w:r>
    </w:p>
    <w:tbl>
      <w:tblPr>
        <w:tblStyle w:val="25"/>
        <w:tblW w:w="9505" w:type="dxa"/>
        <w:tblInd w:w="108" w:type="dxa"/>
        <w:tblLayout w:type="fixed"/>
        <w:tblCellMar>
          <w:top w:w="0" w:type="dxa"/>
          <w:left w:w="108" w:type="dxa"/>
          <w:bottom w:w="0" w:type="dxa"/>
          <w:right w:w="108" w:type="dxa"/>
        </w:tblCellMar>
      </w:tblPr>
      <w:tblGrid>
        <w:gridCol w:w="1672"/>
        <w:gridCol w:w="682"/>
        <w:gridCol w:w="1140"/>
        <w:gridCol w:w="788"/>
        <w:gridCol w:w="292"/>
        <w:gridCol w:w="848"/>
        <w:gridCol w:w="232"/>
        <w:gridCol w:w="1051"/>
        <w:gridCol w:w="29"/>
        <w:gridCol w:w="1346"/>
        <w:gridCol w:w="1425"/>
      </w:tblGrid>
      <w:tr>
        <w:tblPrEx>
          <w:tblLayout w:type="fixed"/>
          <w:tblCellMar>
            <w:top w:w="0" w:type="dxa"/>
            <w:left w:w="108" w:type="dxa"/>
            <w:bottom w:w="0" w:type="dxa"/>
            <w:right w:w="108" w:type="dxa"/>
          </w:tblCellMar>
        </w:tblPrEx>
        <w:trPr>
          <w:trHeight w:val="540" w:hRule="atLeast"/>
        </w:trPr>
        <w:tc>
          <w:tcPr>
            <w:tcW w:w="2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坐落</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总层数</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建筑结构</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用途</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建筑面积（㎡）</w:t>
            </w:r>
          </w:p>
        </w:tc>
        <w:tc>
          <w:tcPr>
            <w:tcW w:w="134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评估单价</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（元/㎡）</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评估总价（万元）</w:t>
            </w:r>
          </w:p>
        </w:tc>
      </w:tr>
      <w:tr>
        <w:tblPrEx>
          <w:tblLayout w:type="fixed"/>
          <w:tblCellMar>
            <w:top w:w="0" w:type="dxa"/>
            <w:left w:w="108" w:type="dxa"/>
            <w:bottom w:w="0" w:type="dxa"/>
            <w:right w:w="108" w:type="dxa"/>
          </w:tblCellMar>
        </w:tblPrEx>
        <w:trPr>
          <w:trHeight w:val="156"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高青县高城镇蔡旺村北、张田路东侧1#</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仓储</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1185.03</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1277</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151.33</w:t>
            </w:r>
          </w:p>
        </w:tc>
      </w:tr>
      <w:tr>
        <w:tblPrEx>
          <w:tblLayout w:type="fixed"/>
          <w:tblCellMar>
            <w:top w:w="0" w:type="dxa"/>
            <w:left w:w="108" w:type="dxa"/>
            <w:bottom w:w="0" w:type="dxa"/>
            <w:right w:w="108" w:type="dxa"/>
          </w:tblCellMar>
        </w:tblPrEx>
        <w:trPr>
          <w:trHeight w:val="80"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高青县高城镇蔡旺村北、张田路东侧1#北侧加建房屋</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118.95</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486</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5.78</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高青县高城镇蔡旺村北、张田路东侧2#</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钢混</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1083.47</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1647</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178.45</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高青县高城镇蔡旺村北、张田路东侧2#南侧加建房屋</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5.89</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469</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0.28</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高青县高城镇蔡旺村北、张田路东侧3#</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仓储</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1215.32</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892</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108.41</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高青县高城镇蔡旺村北、张田路东侧3#南侧加建房屋</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24.19</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452</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1.09</w:t>
            </w:r>
          </w:p>
        </w:tc>
      </w:tr>
      <w:tr>
        <w:tblPrEx>
          <w:tblLayout w:type="fixed"/>
          <w:tblCellMar>
            <w:top w:w="0" w:type="dxa"/>
            <w:left w:w="108" w:type="dxa"/>
            <w:bottom w:w="0" w:type="dxa"/>
            <w:right w:w="108" w:type="dxa"/>
          </w:tblCellMar>
        </w:tblPrEx>
        <w:trPr>
          <w:trHeight w:val="96"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高青县高城镇蔡旺村北、张田路东侧4#</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121.52</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836</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10.16</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高青县高城镇蔡旺村北、张田路东侧4#以北加建厕所</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101.61</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571</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5.8</w:t>
            </w:r>
          </w:p>
        </w:tc>
      </w:tr>
      <w:tr>
        <w:tblPrEx>
          <w:tblLayout w:type="fixed"/>
          <w:tblCellMar>
            <w:top w:w="0" w:type="dxa"/>
            <w:left w:w="108" w:type="dxa"/>
            <w:bottom w:w="0" w:type="dxa"/>
            <w:right w:w="108" w:type="dxa"/>
          </w:tblCellMar>
        </w:tblPrEx>
        <w:trPr>
          <w:trHeight w:val="90"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高青县高城镇蔡旺村北、张田路东侧5#</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仓储</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200.47</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10.11</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高青县高城镇蔡旺村北、张田路东侧6#</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仓储</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200.47</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10.11</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高青县高城镇蔡旺村北、张田路东侧7#</w:t>
            </w:r>
            <w:r>
              <w:rPr>
                <w:rFonts w:hint="eastAsia" w:ascii="仿宋" w:hAnsi="仿宋" w:eastAsia="仿宋"/>
                <w:color w:val="000000"/>
                <w:szCs w:val="21"/>
                <w:lang w:eastAsia="zh-CN"/>
              </w:rPr>
              <w:t>宿舍</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87.78</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545</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4.78</w:t>
            </w:r>
          </w:p>
        </w:tc>
      </w:tr>
      <w:tr>
        <w:tblPrEx>
          <w:tblLayout w:type="fixed"/>
          <w:tblCellMar>
            <w:top w:w="0" w:type="dxa"/>
            <w:left w:w="108" w:type="dxa"/>
            <w:bottom w:w="0" w:type="dxa"/>
            <w:right w:w="108" w:type="dxa"/>
          </w:tblCellMar>
        </w:tblPrEx>
        <w:trPr>
          <w:trHeight w:val="306"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高青县高城镇蔡旺村北、张田路东侧7#</w:t>
            </w:r>
            <w:r>
              <w:rPr>
                <w:rFonts w:hint="eastAsia" w:ascii="仿宋" w:hAnsi="仿宋" w:eastAsia="仿宋"/>
                <w:color w:val="000000"/>
                <w:szCs w:val="21"/>
                <w:lang w:eastAsia="zh-CN"/>
              </w:rPr>
              <w:t>宿舍</w:t>
            </w:r>
            <w:r>
              <w:rPr>
                <w:rFonts w:hint="eastAsia" w:ascii="仿宋" w:hAnsi="仿宋" w:eastAsia="仿宋" w:cs="仿宋"/>
                <w:color w:val="000000"/>
                <w:kern w:val="0"/>
                <w:szCs w:val="21"/>
              </w:rPr>
              <w:t>东侧加建厕所</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9.2</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561</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0.52</w:t>
            </w:r>
          </w:p>
        </w:tc>
      </w:tr>
      <w:tr>
        <w:tblPrEx>
          <w:tblLayout w:type="fixed"/>
          <w:tblCellMar>
            <w:top w:w="0" w:type="dxa"/>
            <w:left w:w="108" w:type="dxa"/>
            <w:bottom w:w="0" w:type="dxa"/>
            <w:right w:w="108" w:type="dxa"/>
          </w:tblCellMar>
        </w:tblPrEx>
        <w:trPr>
          <w:trHeight w:val="471"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高青县高城镇蔡旺村北、张田路东侧5#以北加建铁皮房</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87.99</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528</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4.65</w:t>
            </w:r>
          </w:p>
        </w:tc>
      </w:tr>
      <w:tr>
        <w:tblPrEx>
          <w:tblLayout w:type="fixed"/>
          <w:tblCellMar>
            <w:top w:w="0" w:type="dxa"/>
            <w:left w:w="108" w:type="dxa"/>
            <w:bottom w:w="0" w:type="dxa"/>
            <w:right w:w="108" w:type="dxa"/>
          </w:tblCellMar>
        </w:tblPrEx>
        <w:trPr>
          <w:trHeight w:val="264"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高青县高城镇蔡旺村北、张田路东侧停车棚</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140.4</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68</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0.95</w:t>
            </w:r>
          </w:p>
        </w:tc>
      </w:tr>
      <w:tr>
        <w:tblPrEx>
          <w:tblLayout w:type="fixed"/>
          <w:tblCellMar>
            <w:top w:w="0" w:type="dxa"/>
            <w:left w:w="108" w:type="dxa"/>
            <w:bottom w:w="0" w:type="dxa"/>
            <w:right w:w="108" w:type="dxa"/>
          </w:tblCellMar>
        </w:tblPrEx>
        <w:trPr>
          <w:trHeight w:val="339"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高青县高城镇蔡旺村北、张田路东侧门卫室</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32.76</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494</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1.62</w:t>
            </w:r>
          </w:p>
        </w:tc>
      </w:tr>
      <w:tr>
        <w:tblPrEx>
          <w:tblLayout w:type="fixed"/>
          <w:tblCellMar>
            <w:top w:w="0" w:type="dxa"/>
            <w:left w:w="108" w:type="dxa"/>
            <w:bottom w:w="0" w:type="dxa"/>
            <w:right w:w="108" w:type="dxa"/>
          </w:tblCellMar>
        </w:tblPrEx>
        <w:trPr>
          <w:trHeight w:val="339"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高青县高城镇蔡旺村北、张田路东侧院子门口办公室</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193.28</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582</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11.25</w:t>
            </w:r>
          </w:p>
        </w:tc>
      </w:tr>
      <w:tr>
        <w:tblPrEx>
          <w:tblLayout w:type="fixed"/>
          <w:tblCellMar>
            <w:top w:w="0" w:type="dxa"/>
            <w:left w:w="108" w:type="dxa"/>
            <w:bottom w:w="0" w:type="dxa"/>
            <w:right w:w="108" w:type="dxa"/>
          </w:tblCellMar>
        </w:tblPrEx>
        <w:trPr>
          <w:trHeight w:val="90" w:hRule="atLeast"/>
        </w:trPr>
        <w:tc>
          <w:tcPr>
            <w:tcW w:w="8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合计</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505.29</w:t>
            </w:r>
          </w:p>
        </w:tc>
      </w:tr>
      <w:tr>
        <w:tblPrEx>
          <w:tblLayout w:type="fixed"/>
          <w:tblCellMar>
            <w:top w:w="0" w:type="dxa"/>
            <w:left w:w="108" w:type="dxa"/>
            <w:bottom w:w="0" w:type="dxa"/>
            <w:right w:w="108" w:type="dxa"/>
          </w:tblCellMar>
        </w:tblPrEx>
        <w:trPr>
          <w:trHeight w:val="540" w:hRule="atLeast"/>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坐落</w:t>
            </w:r>
          </w:p>
        </w:tc>
        <w:tc>
          <w:tcPr>
            <w:tcW w:w="261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国有土地使用证号</w:t>
            </w:r>
          </w:p>
        </w:tc>
        <w:tc>
          <w:tcPr>
            <w:tcW w:w="1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地类</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（用途）</w:t>
            </w:r>
          </w:p>
        </w:tc>
        <w:tc>
          <w:tcPr>
            <w:tcW w:w="12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使用权面积</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13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评估单价</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（元/㎡）</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评估总价</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（万元）</w:t>
            </w:r>
          </w:p>
        </w:tc>
      </w:tr>
      <w:tr>
        <w:tblPrEx>
          <w:tblLayout w:type="fixed"/>
          <w:tblCellMar>
            <w:top w:w="0" w:type="dxa"/>
            <w:left w:w="108" w:type="dxa"/>
            <w:bottom w:w="0" w:type="dxa"/>
            <w:right w:w="108" w:type="dxa"/>
          </w:tblCellMar>
        </w:tblPrEx>
        <w:trPr>
          <w:trHeight w:val="435" w:hRule="atLeast"/>
        </w:trPr>
        <w:tc>
          <w:tcPr>
            <w:tcW w:w="16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高城镇蔡旺村以北、张田路东侧</w:t>
            </w:r>
          </w:p>
        </w:tc>
        <w:tc>
          <w:tcPr>
            <w:tcW w:w="261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高国用（2012）第1658号</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工业用地</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6665.4</w:t>
            </w:r>
          </w:p>
        </w:tc>
        <w:tc>
          <w:tcPr>
            <w:tcW w:w="13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295</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196.63</w:t>
            </w:r>
          </w:p>
        </w:tc>
      </w:tr>
      <w:tr>
        <w:tblPrEx>
          <w:tblLayout w:type="fixed"/>
          <w:tblCellMar>
            <w:top w:w="0" w:type="dxa"/>
            <w:left w:w="108" w:type="dxa"/>
            <w:bottom w:w="0" w:type="dxa"/>
            <w:right w:w="108" w:type="dxa"/>
          </w:tblCellMar>
        </w:tblPrEx>
        <w:trPr>
          <w:trHeight w:val="435" w:hRule="atLeast"/>
        </w:trPr>
        <w:tc>
          <w:tcPr>
            <w:tcW w:w="8080"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总计</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701.92</w:t>
            </w:r>
          </w:p>
        </w:tc>
      </w:tr>
    </w:tbl>
    <w:p>
      <w:pPr>
        <w:snapToGrid w:val="0"/>
        <w:spacing w:line="360" w:lineRule="auto"/>
        <w:ind w:right="105" w:rightChars="50"/>
        <w:rPr>
          <w:rFonts w:ascii="仿宋" w:hAnsi="仿宋" w:eastAsia="仿宋"/>
          <w:b/>
          <w:sz w:val="28"/>
          <w:szCs w:val="28"/>
        </w:rPr>
      </w:pPr>
    </w:p>
    <w:p>
      <w:pPr>
        <w:spacing w:line="120" w:lineRule="auto"/>
        <w:ind w:firstLine="562" w:firstLineChars="200"/>
        <w:rPr>
          <w:rFonts w:ascii="仿宋" w:hAnsi="仿宋" w:eastAsia="仿宋"/>
          <w:b/>
          <w:sz w:val="28"/>
          <w:szCs w:val="28"/>
        </w:rPr>
      </w:pPr>
      <w:r>
        <w:rPr>
          <w:rFonts w:hint="eastAsia" w:ascii="仿宋" w:hAnsi="仿宋" w:eastAsia="仿宋"/>
          <w:b/>
          <w:sz w:val="28"/>
        </w:rPr>
        <w:t>特别提示：报告使用人在使用本报告之前须对报告全文，特别是“评估的假设和限制条件”认真阅读，以免使用不当，造成损失!评估过程、结果及有关说明详见报告全文；</w:t>
      </w:r>
      <w:r>
        <w:rPr>
          <w:rFonts w:ascii="仿宋" w:hAnsi="仿宋" w:eastAsia="仿宋"/>
          <w:b/>
          <w:sz w:val="28"/>
        </w:rPr>
        <w:t>当事人或者其他利害关系人对</w:t>
      </w:r>
      <w:r>
        <w:rPr>
          <w:rFonts w:hint="eastAsia" w:ascii="仿宋" w:hAnsi="仿宋" w:eastAsia="仿宋"/>
          <w:b/>
          <w:sz w:val="28"/>
        </w:rPr>
        <w:t>评估</w:t>
      </w:r>
      <w:r>
        <w:rPr>
          <w:rFonts w:ascii="仿宋" w:hAnsi="仿宋" w:eastAsia="仿宋"/>
          <w:b/>
          <w:sz w:val="28"/>
        </w:rPr>
        <w:t>报告有异议的，可以在收到</w:t>
      </w:r>
      <w:r>
        <w:rPr>
          <w:rFonts w:hint="eastAsia" w:ascii="仿宋" w:hAnsi="仿宋" w:eastAsia="仿宋"/>
          <w:b/>
          <w:sz w:val="28"/>
        </w:rPr>
        <w:t>评估</w:t>
      </w:r>
      <w:r>
        <w:rPr>
          <w:rFonts w:ascii="仿宋" w:hAnsi="仿宋" w:eastAsia="仿宋"/>
          <w:b/>
          <w:sz w:val="28"/>
        </w:rPr>
        <w:t>报告后十日内以书面形式</w:t>
      </w:r>
      <w:r>
        <w:rPr>
          <w:rFonts w:hint="eastAsia" w:ascii="仿宋" w:hAnsi="仿宋" w:eastAsia="仿宋"/>
          <w:b/>
          <w:sz w:val="28"/>
        </w:rPr>
        <w:t>通过高青县</w:t>
      </w:r>
      <w:r>
        <w:rPr>
          <w:rFonts w:ascii="仿宋" w:hAnsi="仿宋" w:eastAsia="仿宋"/>
          <w:b/>
          <w:sz w:val="28"/>
        </w:rPr>
        <w:t>人民法院</w:t>
      </w:r>
      <w:r>
        <w:rPr>
          <w:rFonts w:hint="eastAsia" w:ascii="仿宋" w:hAnsi="仿宋" w:eastAsia="仿宋"/>
          <w:b/>
          <w:sz w:val="28"/>
        </w:rPr>
        <w:t>向我公司</w:t>
      </w:r>
      <w:r>
        <w:rPr>
          <w:rFonts w:ascii="仿宋" w:hAnsi="仿宋" w:eastAsia="仿宋"/>
          <w:b/>
          <w:sz w:val="28"/>
        </w:rPr>
        <w:t>提出</w:t>
      </w:r>
      <w:r>
        <w:rPr>
          <w:rFonts w:hint="eastAsia" w:ascii="仿宋" w:hAnsi="仿宋" w:eastAsia="仿宋"/>
          <w:b/>
          <w:sz w:val="28"/>
        </w:rPr>
        <w:t>；</w:t>
      </w:r>
      <w:r>
        <w:rPr>
          <w:rFonts w:hint="eastAsia" w:ascii="仿宋" w:hAnsi="仿宋" w:eastAsia="仿宋" w:cs="仿宋"/>
          <w:b/>
          <w:sz w:val="28"/>
          <w:szCs w:val="28"/>
        </w:rPr>
        <w:t>逾期未提出，视为无异议。</w:t>
      </w:r>
    </w:p>
    <w:p>
      <w:pPr>
        <w:snapToGrid w:val="0"/>
        <w:spacing w:line="640" w:lineRule="exact"/>
        <w:ind w:right="105" w:rightChars="50" w:firstLine="555"/>
        <w:rPr>
          <w:rFonts w:hint="eastAsia" w:ascii="仿宋" w:hAnsi="仿宋" w:eastAsia="仿宋" w:cs="仿宋"/>
          <w:sz w:val="28"/>
          <w:szCs w:val="28"/>
          <w:lang w:eastAsia="zh-CN"/>
        </w:rPr>
      </w:pPr>
      <w:r>
        <w:rPr>
          <w:rFonts w:hint="eastAsia" w:ascii="仿宋" w:hAnsi="仿宋" w:eastAsia="仿宋" w:cs="仿宋"/>
          <w:b/>
          <w:sz w:val="28"/>
          <w:szCs w:val="28"/>
        </w:rPr>
        <w:t>致函日期：</w:t>
      </w:r>
      <w:r>
        <w:rPr>
          <w:rFonts w:hint="eastAsia" w:ascii="仿宋" w:hAnsi="仿宋" w:eastAsia="仿宋" w:cs="仿宋"/>
          <w:b/>
          <w:sz w:val="28"/>
          <w:szCs w:val="28"/>
          <w:lang w:eastAsia="zh-CN"/>
        </w:rPr>
        <w:t>2019年7月30日</w:t>
      </w:r>
    </w:p>
    <w:p>
      <w:pPr>
        <w:pStyle w:val="11"/>
        <w:snapToGrid w:val="0"/>
        <w:spacing w:line="360" w:lineRule="auto"/>
        <w:ind w:left="5146" w:leftChars="50" w:right="105" w:rightChars="50" w:hanging="5041"/>
        <w:jc w:val="right"/>
        <w:rPr>
          <w:rFonts w:ascii="仿宋" w:hAnsi="仿宋" w:eastAsia="仿宋" w:cs="仿宋"/>
          <w:sz w:val="28"/>
          <w:szCs w:val="28"/>
        </w:rPr>
      </w:pPr>
    </w:p>
    <w:p>
      <w:pPr>
        <w:pStyle w:val="11"/>
        <w:snapToGrid w:val="0"/>
        <w:spacing w:line="360" w:lineRule="auto"/>
        <w:ind w:right="105" w:rightChars="50"/>
        <w:rPr>
          <w:rFonts w:ascii="仿宋" w:hAnsi="仿宋" w:eastAsia="仿宋" w:cs="仿宋"/>
          <w:sz w:val="28"/>
          <w:szCs w:val="28"/>
        </w:rPr>
      </w:pPr>
      <w:r>
        <w:rPr>
          <w:rFonts w:hint="eastAsia" w:ascii="仿宋" w:hAnsi="仿宋" w:eastAsia="仿宋" w:cs="仿宋"/>
          <w:sz w:val="28"/>
          <w:szCs w:val="28"/>
        </w:rPr>
        <w:t xml:space="preserve">                             山东贵恒信房地产土地评估经纪有限公司                                      </w:t>
      </w:r>
    </w:p>
    <w:p>
      <w:pPr>
        <w:pStyle w:val="11"/>
        <w:snapToGrid w:val="0"/>
        <w:spacing w:line="360" w:lineRule="auto"/>
        <w:ind w:left="3045" w:leftChars="1450" w:right="105" w:rightChars="50" w:firstLine="1680" w:firstLineChars="6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pStyle w:val="11"/>
        <w:snapToGrid w:val="0"/>
        <w:spacing w:line="360" w:lineRule="auto"/>
        <w:ind w:left="3150" w:leftChars="1500" w:right="105" w:rightChars="50" w:firstLine="1820" w:firstLineChars="65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二〇一九年七月三十日</w:t>
      </w: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jc w:val="center"/>
        <w:rPr>
          <w:rFonts w:ascii="仿宋" w:hAnsi="仿宋" w:eastAsia="仿宋" w:cs="仿宋"/>
          <w:b/>
          <w:bCs/>
          <w:sz w:val="48"/>
          <w:szCs w:val="48"/>
          <w:lang w:val="zh-CN"/>
        </w:rPr>
      </w:pPr>
      <w:bookmarkStart w:id="1" w:name="_Toc11694553"/>
      <w:r>
        <w:rPr>
          <w:rFonts w:hint="eastAsia" w:ascii="仿宋" w:hAnsi="仿宋" w:eastAsia="仿宋" w:cs="仿宋"/>
          <w:b/>
          <w:bCs/>
          <w:sz w:val="48"/>
          <w:szCs w:val="48"/>
          <w:lang w:val="zh-CN"/>
        </w:rPr>
        <w:t>目  录</w:t>
      </w:r>
      <w:bookmarkEnd w:id="1"/>
    </w:p>
    <w:p>
      <w:pPr>
        <w:jc w:val="center"/>
        <w:rPr>
          <w:rFonts w:ascii="仿宋" w:hAnsi="仿宋" w:eastAsia="仿宋" w:cs="仿宋"/>
          <w:b/>
          <w:bCs/>
          <w:sz w:val="48"/>
          <w:szCs w:val="48"/>
        </w:rPr>
      </w:pPr>
    </w:p>
    <w:p>
      <w:pPr>
        <w:pStyle w:val="17"/>
        <w:rPr>
          <w:rFonts w:asciiTheme="minorHAnsi" w:hAnsiTheme="minorHAnsi" w:eastAsiaTheme="minorEastAsia" w:cstheme="minorBidi"/>
          <w:b w:val="0"/>
          <w:sz w:val="21"/>
          <w:szCs w:val="22"/>
        </w:rPr>
      </w:pP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r>
        <w:fldChar w:fldCharType="begin"/>
      </w:r>
      <w:r>
        <w:instrText xml:space="preserve"> HYPERLINK \l "_Toc15120700" </w:instrText>
      </w:r>
      <w:r>
        <w:fldChar w:fldCharType="separate"/>
      </w:r>
      <w:r>
        <w:rPr>
          <w:rStyle w:val="32"/>
          <w:rFonts w:hint="eastAsia"/>
        </w:rPr>
        <w:t>第一部分</w:t>
      </w:r>
      <w:r>
        <w:rPr>
          <w:rStyle w:val="32"/>
        </w:rPr>
        <w:t xml:space="preserve">  </w:t>
      </w:r>
      <w:r>
        <w:rPr>
          <w:rStyle w:val="32"/>
          <w:rFonts w:hint="eastAsia"/>
        </w:rPr>
        <w:t>注册房地产估价师声明</w:t>
      </w:r>
      <w:r>
        <w:tab/>
      </w:r>
      <w:r>
        <w:fldChar w:fldCharType="begin"/>
      </w:r>
      <w:r>
        <w:instrText xml:space="preserve"> PAGEREF _Toc15120700 \h </w:instrText>
      </w:r>
      <w:r>
        <w:fldChar w:fldCharType="separate"/>
      </w:r>
      <w:r>
        <w:t>7</w:t>
      </w:r>
      <w:r>
        <w:fldChar w:fldCharType="end"/>
      </w:r>
      <w:r>
        <w:fldChar w:fldCharType="end"/>
      </w:r>
    </w:p>
    <w:p>
      <w:pPr>
        <w:pStyle w:val="17"/>
        <w:rPr>
          <w:rFonts w:asciiTheme="minorHAnsi" w:hAnsiTheme="minorHAnsi" w:eastAsiaTheme="minorEastAsia" w:cstheme="minorBidi"/>
          <w:b w:val="0"/>
          <w:sz w:val="21"/>
          <w:szCs w:val="22"/>
        </w:rPr>
      </w:pPr>
      <w:r>
        <w:fldChar w:fldCharType="begin"/>
      </w:r>
      <w:r>
        <w:instrText xml:space="preserve"> HYPERLINK \l "_Toc15120701" </w:instrText>
      </w:r>
      <w:r>
        <w:fldChar w:fldCharType="separate"/>
      </w:r>
      <w:r>
        <w:rPr>
          <w:rStyle w:val="32"/>
          <w:rFonts w:hint="eastAsia"/>
        </w:rPr>
        <w:t>第二部分</w:t>
      </w:r>
      <w:r>
        <w:rPr>
          <w:rStyle w:val="32"/>
        </w:rPr>
        <w:t xml:space="preserve">  </w:t>
      </w:r>
      <w:r>
        <w:rPr>
          <w:rStyle w:val="32"/>
          <w:rFonts w:hint="eastAsia" w:ascii="仿宋" w:hAnsi="仿宋"/>
        </w:rPr>
        <w:t>评估</w:t>
      </w:r>
      <w:r>
        <w:rPr>
          <w:rStyle w:val="32"/>
          <w:rFonts w:hint="eastAsia"/>
        </w:rPr>
        <w:t>的假设和限制条件</w:t>
      </w:r>
      <w:r>
        <w:tab/>
      </w:r>
      <w:r>
        <w:fldChar w:fldCharType="begin"/>
      </w:r>
      <w:r>
        <w:instrText xml:space="preserve"> PAGEREF _Toc15120701 \h </w:instrText>
      </w:r>
      <w:r>
        <w:fldChar w:fldCharType="separate"/>
      </w:r>
      <w:r>
        <w:t>8</w:t>
      </w:r>
      <w:r>
        <w:fldChar w:fldCharType="end"/>
      </w:r>
      <w:r>
        <w:fldChar w:fldCharType="end"/>
      </w:r>
    </w:p>
    <w:p>
      <w:pPr>
        <w:pStyle w:val="17"/>
        <w:rPr>
          <w:rFonts w:asciiTheme="minorHAnsi" w:hAnsiTheme="minorHAnsi" w:eastAsiaTheme="minorEastAsia" w:cstheme="minorBidi"/>
          <w:b w:val="0"/>
          <w:sz w:val="21"/>
          <w:szCs w:val="22"/>
        </w:rPr>
      </w:pPr>
      <w:r>
        <w:fldChar w:fldCharType="begin"/>
      </w:r>
      <w:r>
        <w:instrText xml:space="preserve"> HYPERLINK \l "_Toc15120702" </w:instrText>
      </w:r>
      <w:r>
        <w:fldChar w:fldCharType="separate"/>
      </w:r>
      <w:r>
        <w:rPr>
          <w:rStyle w:val="32"/>
          <w:rFonts w:hint="eastAsia"/>
        </w:rPr>
        <w:t>第三部分</w:t>
      </w:r>
      <w:r>
        <w:rPr>
          <w:rStyle w:val="32"/>
        </w:rPr>
        <w:t xml:space="preserve">  </w:t>
      </w:r>
      <w:r>
        <w:rPr>
          <w:rStyle w:val="32"/>
          <w:rFonts w:hint="eastAsia" w:ascii="仿宋" w:hAnsi="仿宋"/>
        </w:rPr>
        <w:t>评估</w:t>
      </w:r>
      <w:r>
        <w:rPr>
          <w:rStyle w:val="32"/>
          <w:rFonts w:hint="eastAsia"/>
        </w:rPr>
        <w:t>结果报告</w:t>
      </w:r>
      <w:r>
        <w:tab/>
      </w:r>
      <w:r>
        <w:fldChar w:fldCharType="begin"/>
      </w:r>
      <w:r>
        <w:instrText xml:space="preserve"> PAGEREF _Toc15120702 \h </w:instrText>
      </w:r>
      <w:r>
        <w:fldChar w:fldCharType="separate"/>
      </w:r>
      <w:r>
        <w:t>11</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"_Toc15120703" </w:instrText>
      </w:r>
      <w:r>
        <w:fldChar w:fldCharType="separate"/>
      </w:r>
      <w:r>
        <w:rPr>
          <w:rStyle w:val="32"/>
          <w:rFonts w:hint="eastAsia" w:ascii="仿宋" w:hAnsi="仿宋" w:cs="仿宋"/>
        </w:rPr>
        <w:t>一、评估委托人</w:t>
      </w:r>
      <w:r>
        <w:tab/>
      </w:r>
      <w:r>
        <w:fldChar w:fldCharType="begin"/>
      </w:r>
      <w:r>
        <w:instrText xml:space="preserve"> PAGEREF _Toc15120703 \h </w:instrText>
      </w:r>
      <w:r>
        <w:fldChar w:fldCharType="separate"/>
      </w:r>
      <w:r>
        <w:t>11</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"_Toc15120704" </w:instrText>
      </w:r>
      <w:r>
        <w:fldChar w:fldCharType="separate"/>
      </w:r>
      <w:r>
        <w:rPr>
          <w:rStyle w:val="32"/>
          <w:rFonts w:hint="eastAsia" w:ascii="仿宋" w:hAnsi="仿宋" w:cs="仿宋"/>
        </w:rPr>
        <w:t>二、房地产估价机构</w:t>
      </w:r>
      <w:r>
        <w:tab/>
      </w:r>
      <w:r>
        <w:fldChar w:fldCharType="begin"/>
      </w:r>
      <w:r>
        <w:instrText xml:space="preserve"> PAGEREF _Toc15120704 \h </w:instrText>
      </w:r>
      <w:r>
        <w:fldChar w:fldCharType="separate"/>
      </w:r>
      <w:r>
        <w:t>11</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"_Toc15120705" </w:instrText>
      </w:r>
      <w:r>
        <w:fldChar w:fldCharType="separate"/>
      </w:r>
      <w:r>
        <w:rPr>
          <w:rStyle w:val="32"/>
          <w:rFonts w:hint="eastAsia" w:ascii="仿宋" w:hAnsi="仿宋" w:cs="仿宋"/>
        </w:rPr>
        <w:t>三、评估目的</w:t>
      </w:r>
      <w:r>
        <w:tab/>
      </w:r>
      <w:r>
        <w:fldChar w:fldCharType="begin"/>
      </w:r>
      <w:r>
        <w:instrText xml:space="preserve"> PAGEREF _Toc15120705 \h </w:instrText>
      </w:r>
      <w:r>
        <w:fldChar w:fldCharType="separate"/>
      </w:r>
      <w:r>
        <w:t>11</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"_Toc15120705" </w:instrText>
      </w:r>
      <w:r>
        <w:fldChar w:fldCharType="separate"/>
      </w:r>
      <w:r>
        <w:rPr>
          <w:rStyle w:val="32"/>
          <w:rFonts w:hint="eastAsia" w:ascii="仿宋" w:hAnsi="仿宋" w:cs="仿宋"/>
          <w:lang w:eastAsia="zh-CN"/>
        </w:rPr>
        <w:t>四</w:t>
      </w:r>
      <w:r>
        <w:rPr>
          <w:rStyle w:val="32"/>
          <w:rFonts w:hint="eastAsia" w:ascii="仿宋" w:hAnsi="仿宋" w:cs="仿宋"/>
        </w:rPr>
        <w:t>、评估</w:t>
      </w:r>
      <w:r>
        <w:rPr>
          <w:rStyle w:val="32"/>
          <w:rFonts w:hint="eastAsia" w:ascii="仿宋" w:hAnsi="仿宋" w:cs="仿宋"/>
          <w:lang w:eastAsia="zh-CN"/>
        </w:rPr>
        <w:t>对象</w:t>
      </w:r>
      <w:r>
        <w:tab/>
      </w:r>
      <w:r>
        <w:fldChar w:fldCharType="begin"/>
      </w:r>
      <w:r>
        <w:instrText xml:space="preserve"> PAGEREF _Toc15120705 \h </w:instrText>
      </w:r>
      <w:r>
        <w:fldChar w:fldCharType="separate"/>
      </w:r>
      <w:r>
        <w:t>11</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"_Toc15120706" </w:instrText>
      </w:r>
      <w:r>
        <w:fldChar w:fldCharType="separate"/>
      </w:r>
      <w:r>
        <w:rPr>
          <w:rStyle w:val="32"/>
          <w:rFonts w:hint="eastAsia" w:ascii="仿宋" w:hAnsi="仿宋" w:cs="仿宋"/>
        </w:rPr>
        <w:t>五、价值时点</w:t>
      </w:r>
      <w:r>
        <w:tab/>
      </w:r>
      <w:r>
        <w:fldChar w:fldCharType="begin"/>
      </w:r>
      <w:r>
        <w:instrText xml:space="preserve"> PAGEREF _Toc15120706 \h </w:instrText>
      </w:r>
      <w:r>
        <w:fldChar w:fldCharType="separate"/>
      </w:r>
      <w:r>
        <w:t>14</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"_Toc15120707" </w:instrText>
      </w:r>
      <w:r>
        <w:fldChar w:fldCharType="separate"/>
      </w:r>
      <w:r>
        <w:rPr>
          <w:rStyle w:val="32"/>
          <w:rFonts w:hint="eastAsia" w:ascii="仿宋" w:hAnsi="仿宋" w:cs="仿宋"/>
        </w:rPr>
        <w:t>六、价值类型</w:t>
      </w:r>
      <w:r>
        <w:tab/>
      </w:r>
      <w:r>
        <w:fldChar w:fldCharType="begin"/>
      </w:r>
      <w:r>
        <w:instrText xml:space="preserve"> PAGEREF _Toc15120707 \h </w:instrText>
      </w:r>
      <w:r>
        <w:fldChar w:fldCharType="separate"/>
      </w:r>
      <w:r>
        <w:t>15</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"_Toc15120708" </w:instrText>
      </w:r>
      <w:r>
        <w:fldChar w:fldCharType="separate"/>
      </w:r>
      <w:r>
        <w:rPr>
          <w:rStyle w:val="32"/>
          <w:rFonts w:hint="eastAsia" w:ascii="仿宋" w:hAnsi="仿宋" w:cs="仿宋"/>
        </w:rPr>
        <w:t>七、</w:t>
      </w:r>
      <w:r>
        <w:rPr>
          <w:rStyle w:val="32"/>
          <w:rFonts w:hint="eastAsia" w:ascii="仿宋" w:hAnsi="仿宋"/>
        </w:rPr>
        <w:t>评估</w:t>
      </w:r>
      <w:r>
        <w:rPr>
          <w:rStyle w:val="32"/>
          <w:rFonts w:hint="eastAsia" w:ascii="仿宋" w:hAnsi="仿宋" w:cs="仿宋"/>
        </w:rPr>
        <w:t>原则</w:t>
      </w:r>
      <w:r>
        <w:tab/>
      </w:r>
      <w:r>
        <w:fldChar w:fldCharType="begin"/>
      </w:r>
      <w:r>
        <w:instrText xml:space="preserve"> PAGEREF _Toc15120708 \h </w:instrText>
      </w:r>
      <w:r>
        <w:fldChar w:fldCharType="separate"/>
      </w:r>
      <w:r>
        <w:t>15</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"_Toc15120709" </w:instrText>
      </w:r>
      <w:r>
        <w:fldChar w:fldCharType="separate"/>
      </w:r>
      <w:r>
        <w:rPr>
          <w:rStyle w:val="32"/>
          <w:rFonts w:hint="eastAsia" w:ascii="仿宋" w:hAnsi="仿宋" w:cs="仿宋"/>
        </w:rPr>
        <w:t>八、</w:t>
      </w:r>
      <w:r>
        <w:rPr>
          <w:rStyle w:val="32"/>
          <w:rFonts w:hint="eastAsia" w:ascii="仿宋" w:hAnsi="仿宋"/>
        </w:rPr>
        <w:t>评估</w:t>
      </w:r>
      <w:r>
        <w:rPr>
          <w:rStyle w:val="32"/>
          <w:rFonts w:hint="eastAsia" w:ascii="仿宋" w:hAnsi="仿宋" w:cs="仿宋"/>
        </w:rPr>
        <w:t>依据</w:t>
      </w:r>
      <w:r>
        <w:tab/>
      </w:r>
      <w:r>
        <w:fldChar w:fldCharType="begin"/>
      </w:r>
      <w:r>
        <w:instrText xml:space="preserve"> PAGEREF _Toc15120709 \h </w:instrText>
      </w:r>
      <w:r>
        <w:fldChar w:fldCharType="separate"/>
      </w:r>
      <w:r>
        <w:t>15</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"_Toc15120710" </w:instrText>
      </w:r>
      <w:r>
        <w:fldChar w:fldCharType="separate"/>
      </w:r>
      <w:r>
        <w:rPr>
          <w:rStyle w:val="32"/>
          <w:rFonts w:hint="eastAsia" w:ascii="仿宋" w:hAnsi="仿宋" w:cs="仿宋"/>
        </w:rPr>
        <w:t>九、</w:t>
      </w:r>
      <w:r>
        <w:rPr>
          <w:rStyle w:val="32"/>
          <w:rFonts w:hint="eastAsia" w:ascii="仿宋" w:hAnsi="仿宋"/>
        </w:rPr>
        <w:t>评估</w:t>
      </w:r>
      <w:r>
        <w:rPr>
          <w:rStyle w:val="32"/>
          <w:rFonts w:hint="eastAsia" w:ascii="仿宋" w:hAnsi="仿宋" w:cs="仿宋"/>
        </w:rPr>
        <w:t>方法</w:t>
      </w:r>
      <w:r>
        <w:tab/>
      </w:r>
      <w:r>
        <w:fldChar w:fldCharType="begin"/>
      </w:r>
      <w:r>
        <w:instrText xml:space="preserve"> PAGEREF _Toc15120710 \h </w:instrText>
      </w:r>
      <w:r>
        <w:fldChar w:fldCharType="separate"/>
      </w:r>
      <w:r>
        <w:t>17</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"_Toc15120711" </w:instrText>
      </w:r>
      <w:r>
        <w:fldChar w:fldCharType="separate"/>
      </w:r>
      <w:r>
        <w:rPr>
          <w:rStyle w:val="32"/>
          <w:rFonts w:hint="eastAsia" w:ascii="仿宋" w:hAnsi="仿宋" w:cs="仿宋"/>
        </w:rPr>
        <w:t>十、</w:t>
      </w:r>
      <w:r>
        <w:rPr>
          <w:rStyle w:val="32"/>
          <w:rFonts w:hint="eastAsia" w:ascii="仿宋" w:hAnsi="仿宋"/>
        </w:rPr>
        <w:t>评估</w:t>
      </w:r>
      <w:r>
        <w:rPr>
          <w:rStyle w:val="32"/>
          <w:rFonts w:hint="eastAsia" w:ascii="仿宋" w:hAnsi="仿宋" w:cs="仿宋"/>
        </w:rPr>
        <w:t>结果</w:t>
      </w:r>
      <w:r>
        <w:tab/>
      </w:r>
      <w:r>
        <w:fldChar w:fldCharType="begin"/>
      </w:r>
      <w:r>
        <w:instrText xml:space="preserve"> PAGEREF _Toc15120711 \h </w:instrText>
      </w:r>
      <w:r>
        <w:fldChar w:fldCharType="separate"/>
      </w:r>
      <w:r>
        <w:t>18</w:t>
      </w:r>
      <w:r>
        <w:fldChar w:fldCharType="end"/>
      </w:r>
      <w:r>
        <w:fldChar w:fldCharType="end"/>
      </w:r>
    </w:p>
    <w:p>
      <w:pPr>
        <w:pStyle w:val="20"/>
        <w:rPr>
          <w:rFonts w:hint="eastAsia" w:eastAsia="仿宋_GB2312" w:asciiTheme="minorHAnsi" w:hAnsiTheme="minorHAnsi" w:cstheme="minorBidi"/>
          <w:color w:val="auto"/>
          <w:sz w:val="21"/>
          <w:szCs w:val="22"/>
          <w:lang w:val="en-US" w:eastAsia="zh-CN"/>
        </w:rPr>
      </w:pPr>
      <w:r>
        <w:fldChar w:fldCharType="begin"/>
      </w:r>
      <w:r>
        <w:instrText xml:space="preserve"> HYPERLINK \l "_Toc15120712" </w:instrText>
      </w:r>
      <w:r>
        <w:fldChar w:fldCharType="separate"/>
      </w:r>
      <w:r>
        <w:rPr>
          <w:rStyle w:val="32"/>
          <w:rFonts w:hint="eastAsia" w:ascii="仿宋" w:hAnsi="仿宋" w:cs="仿宋"/>
        </w:rPr>
        <w:t>十一、注册房地产估价师</w:t>
      </w:r>
      <w:r>
        <w:tab/>
      </w:r>
      <w:r>
        <w:rPr>
          <w:rFonts w:hint="eastAsia"/>
          <w:lang w:val="en-US" w:eastAsia="zh-CN"/>
        </w:rPr>
        <w:t>2</w:t>
      </w:r>
      <w:r>
        <w:fldChar w:fldCharType="end"/>
      </w:r>
      <w:r>
        <w:rPr>
          <w:rFonts w:hint="eastAsia"/>
          <w:lang w:val="en-US" w:eastAsia="zh-CN"/>
        </w:rPr>
        <w:t>0</w:t>
      </w:r>
    </w:p>
    <w:p>
      <w:pPr>
        <w:pStyle w:val="20"/>
        <w:rPr>
          <w:rFonts w:asciiTheme="minorHAnsi" w:hAnsiTheme="minorHAnsi" w:eastAsiaTheme="minorEastAsia" w:cstheme="minorBidi"/>
          <w:color w:val="auto"/>
          <w:sz w:val="21"/>
          <w:szCs w:val="22"/>
        </w:rPr>
      </w:pPr>
      <w:r>
        <w:fldChar w:fldCharType="begin"/>
      </w:r>
      <w:r>
        <w:instrText xml:space="preserve"> HYPERLINK \l "_Toc15120713" </w:instrText>
      </w:r>
      <w:r>
        <w:fldChar w:fldCharType="separate"/>
      </w:r>
      <w:r>
        <w:rPr>
          <w:rStyle w:val="32"/>
          <w:rFonts w:hint="eastAsia" w:ascii="仿宋" w:hAnsi="仿宋" w:cs="仿宋"/>
        </w:rPr>
        <w:t>十二、实地查勘期</w:t>
      </w:r>
      <w:r>
        <w:tab/>
      </w:r>
      <w:r>
        <w:fldChar w:fldCharType="begin"/>
      </w:r>
      <w:r>
        <w:instrText xml:space="preserve"> PAGEREF _Toc15120713 \h </w:instrText>
      </w:r>
      <w:r>
        <w:fldChar w:fldCharType="separate"/>
      </w:r>
      <w:r>
        <w:t>20</w:t>
      </w:r>
      <w:r>
        <w:fldChar w:fldCharType="end"/>
      </w:r>
      <w:r>
        <w:fldChar w:fldCharType="end"/>
      </w:r>
    </w:p>
    <w:p>
      <w:pPr>
        <w:pStyle w:val="20"/>
        <w:rPr>
          <w:rFonts w:asciiTheme="minorHAnsi" w:hAnsiTheme="minorHAnsi" w:eastAsiaTheme="minorEastAsia" w:cstheme="minorBidi"/>
          <w:color w:val="auto"/>
          <w:sz w:val="21"/>
          <w:szCs w:val="22"/>
        </w:rPr>
      </w:pPr>
      <w:r>
        <w:fldChar w:fldCharType="begin"/>
      </w:r>
      <w:r>
        <w:instrText xml:space="preserve"> HYPERLINK \l "_Toc15120714" </w:instrText>
      </w:r>
      <w:r>
        <w:fldChar w:fldCharType="separate"/>
      </w:r>
      <w:r>
        <w:rPr>
          <w:rStyle w:val="32"/>
          <w:rFonts w:hint="eastAsia" w:ascii="仿宋" w:hAnsi="仿宋" w:cs="仿宋"/>
        </w:rPr>
        <w:t>十三、</w:t>
      </w:r>
      <w:r>
        <w:rPr>
          <w:rStyle w:val="32"/>
          <w:rFonts w:hint="eastAsia" w:ascii="仿宋" w:hAnsi="仿宋"/>
        </w:rPr>
        <w:t>评估</w:t>
      </w:r>
      <w:r>
        <w:rPr>
          <w:rStyle w:val="32"/>
          <w:rFonts w:hint="eastAsia" w:ascii="仿宋" w:hAnsi="仿宋" w:cs="仿宋"/>
        </w:rPr>
        <w:t>作业期</w:t>
      </w:r>
      <w:r>
        <w:tab/>
      </w:r>
      <w:r>
        <w:fldChar w:fldCharType="begin"/>
      </w:r>
      <w:r>
        <w:instrText xml:space="preserve"> PAGEREF _Toc15120714 \h </w:instrText>
      </w:r>
      <w:r>
        <w:fldChar w:fldCharType="separate"/>
      </w:r>
      <w:r>
        <w:t>20</w:t>
      </w:r>
      <w:r>
        <w:fldChar w:fldCharType="end"/>
      </w:r>
      <w:r>
        <w:fldChar w:fldCharType="end"/>
      </w:r>
    </w:p>
    <w:p>
      <w:pPr>
        <w:pStyle w:val="17"/>
        <w:rPr>
          <w:rFonts w:hint="eastAsia"/>
          <w:lang w:val="en-US" w:eastAsia="zh-CN"/>
        </w:rPr>
      </w:pPr>
      <w:r>
        <w:rPr>
          <w:rFonts w:hint="eastAsia" w:ascii="仿宋" w:hAnsi="仿宋" w:eastAsia="仿宋" w:cs="仿宋"/>
          <w:szCs w:val="28"/>
        </w:rPr>
        <w:fldChar w:fldCharType="end"/>
      </w:r>
      <w:r>
        <w:fldChar w:fldCharType="begin"/>
      </w:r>
      <w:r>
        <w:instrText xml:space="preserve"> HYPERLINK \l "_Toc15120702" </w:instrText>
      </w:r>
      <w:r>
        <w:fldChar w:fldCharType="separate"/>
      </w:r>
      <w:r>
        <w:rPr>
          <w:rFonts w:hint="eastAsia"/>
        </w:rPr>
        <w:t>第三部分</w:t>
      </w:r>
      <w:r>
        <w:t xml:space="preserve">  </w:t>
      </w:r>
      <w:r>
        <w:rPr>
          <w:rFonts w:hint="eastAsia"/>
          <w:lang w:eastAsia="zh-CN"/>
        </w:rPr>
        <w:t>附件</w:t>
      </w:r>
      <w:r>
        <w:tab/>
      </w:r>
      <w:r>
        <w:rPr>
          <w:rFonts w:hint="eastAsia"/>
          <w:lang w:val="en-US" w:eastAsia="zh-CN"/>
        </w:rPr>
        <w:t>2</w:t>
      </w:r>
      <w:r>
        <w:fldChar w:fldCharType="end"/>
      </w:r>
      <w:r>
        <w:rPr>
          <w:rFonts w:hint="eastAsia"/>
          <w:lang w:val="en-US" w:eastAsia="zh-CN"/>
        </w:rPr>
        <w:t>1</w:t>
      </w:r>
    </w:p>
    <w:p>
      <w:pPr>
        <w:spacing w:line="700" w:lineRule="exact"/>
        <w:ind w:right="105" w:rightChars="50"/>
        <w:jc w:val="left"/>
        <w:rPr>
          <w:rFonts w:ascii="仿宋" w:hAnsi="仿宋" w:eastAsia="仿宋" w:cs="仿宋"/>
          <w:sz w:val="28"/>
          <w:szCs w:val="28"/>
        </w:rPr>
      </w:pPr>
      <w:r>
        <w:rPr>
          <w:rFonts w:hint="eastAsia" w:ascii="仿宋" w:hAnsi="仿宋" w:eastAsia="仿宋" w:cs="仿宋"/>
          <w:sz w:val="28"/>
          <w:szCs w:val="28"/>
        </w:rPr>
        <w:t xml:space="preserve">   1、《高清县人民法院委托书》（复印件）；</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《国有土地使用证》（复印件）；</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《房屋所有权证》（复印件）；</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《土地他项权利证》（复印件）；</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《房屋他项权利证》（复印件）；</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《房地产抵押清单》（复印件）；</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评估对象位置图；</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评估对象现场照片；</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估价机构营业执照（复印件）；</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估价机构资质证书（复印件）；</w:t>
      </w:r>
    </w:p>
    <w:p>
      <w:pPr>
        <w:numPr>
          <w:ilvl w:val="0"/>
          <w:numId w:val="1"/>
        </w:numPr>
        <w:snapToGrid w:val="0"/>
        <w:spacing w:line="700" w:lineRule="exact"/>
        <w:ind w:right="105" w:rightChars="50" w:firstLine="840" w:firstLineChars="300"/>
        <w:rPr>
          <w:rFonts w:ascii="仿宋" w:hAnsi="仿宋" w:eastAsia="仿宋" w:cs="仿宋"/>
          <w:sz w:val="28"/>
          <w:szCs w:val="28"/>
        </w:rPr>
      </w:pPr>
      <w:r>
        <w:rPr>
          <w:rFonts w:hint="eastAsia" w:ascii="仿宋" w:hAnsi="仿宋" w:eastAsia="仿宋" w:cs="仿宋"/>
          <w:sz w:val="28"/>
          <w:szCs w:val="28"/>
        </w:rPr>
        <w:t>注册房地产估价师注册证书（复印件）。</w:t>
      </w:r>
    </w:p>
    <w:p>
      <w:pPr>
        <w:pStyle w:val="2"/>
      </w:pPr>
      <w:r>
        <w:rPr>
          <w:rFonts w:hint="eastAsia"/>
        </w:rPr>
        <w:br w:type="page"/>
      </w:r>
      <w:bookmarkStart w:id="2" w:name="_Toc15120700"/>
      <w:bookmarkStart w:id="3" w:name="_Toc323216537"/>
      <w:r>
        <w:rPr>
          <w:rFonts w:hint="eastAsia"/>
        </w:rPr>
        <w:t>第一部分  注册房地产估价师声明</w:t>
      </w:r>
      <w:bookmarkEnd w:id="2"/>
      <w:bookmarkEnd w:id="3"/>
    </w:p>
    <w:p>
      <w:pPr>
        <w:spacing w:line="360" w:lineRule="auto"/>
        <w:jc w:val="left"/>
        <w:rPr>
          <w:rFonts w:ascii="仿宋" w:hAnsi="仿宋" w:eastAsia="仿宋" w:cs="仿宋"/>
          <w:b/>
          <w:sz w:val="28"/>
          <w:szCs w:val="28"/>
        </w:rPr>
      </w:pPr>
      <w:r>
        <w:rPr>
          <w:rFonts w:hint="eastAsia" w:ascii="仿宋" w:hAnsi="仿宋" w:eastAsia="仿宋" w:cs="仿宋"/>
          <w:b/>
          <w:sz w:val="28"/>
          <w:szCs w:val="28"/>
        </w:rPr>
        <w:t>我们郑重声明：</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1.注册房地产估价师在评估报告中对事实的说明是真实和准确的，没有虚假记载、误导性陈述和重大遗漏；</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2.评估报告中的分析、意见和结论是注册房地产估价师独立、客观、公正的专业分析、意见和结论，但受到评估报告中已说明的《估价的假设和限制条件》的限制；</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3.注册房地产估价师对评估报告中的评估对象没有现实或潜在的利益，与评估委托人及评估利害关系人没有利害关系；</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4.注册房地产估价师对评估对象、评估委托人及评估利害关系人没有偏见；</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5.注册房地产估价师是依照中华人民共和国国家标准《房地产估价规范》（GB/T50291-2015）、《房地产估价基本术语标准》（GB/T</w:t>
      </w:r>
      <w:r>
        <w:rPr>
          <w:rFonts w:ascii="仿宋" w:hAnsi="仿宋" w:eastAsia="仿宋"/>
          <w:sz w:val="28"/>
          <w:szCs w:val="28"/>
        </w:rPr>
        <w:t>50899-2013</w:t>
      </w:r>
      <w:r>
        <w:rPr>
          <w:rFonts w:hint="eastAsia" w:ascii="仿宋" w:hAnsi="仿宋" w:eastAsia="仿宋"/>
          <w:sz w:val="28"/>
          <w:szCs w:val="28"/>
        </w:rPr>
        <w:t>）以及相关房地产评估专项标准进行分析，形成意见和结论，撰写评估报告；</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6.我公司注册房地产估价师董月华、张金华已于价值时点2019年7月11日对评估报告中评估对象的建筑结构、室内外状况及土地状况、周边环境状况进行了实地查勘，并于当天完成查勘工作；实地查勘仅限于评估对象的外观和使用状况，评估人员不承担对其他被遮盖未暴露及难于接触到的部分进行查勘的责任；</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7.无其他专业人员对评估报告提供重要专业帮助。</w:t>
      </w:r>
    </w:p>
    <w:p>
      <w:pPr>
        <w:pStyle w:val="2"/>
      </w:pPr>
      <w:r>
        <w:rPr>
          <w:rFonts w:hint="eastAsia"/>
        </w:rPr>
        <w:br w:type="page"/>
      </w:r>
      <w:bookmarkStart w:id="4" w:name="_Toc15120701"/>
      <w:bookmarkStart w:id="5" w:name="_Toc323216538"/>
      <w:r>
        <w:rPr>
          <w:rFonts w:hint="eastAsia"/>
        </w:rPr>
        <w:t xml:space="preserve">第二部分  </w:t>
      </w:r>
      <w:r>
        <w:rPr>
          <w:rFonts w:hint="eastAsia" w:ascii="仿宋" w:hAnsi="仿宋"/>
          <w:sz w:val="28"/>
          <w:szCs w:val="28"/>
        </w:rPr>
        <w:t>评估</w:t>
      </w:r>
      <w:r>
        <w:rPr>
          <w:rFonts w:hint="eastAsia"/>
        </w:rPr>
        <w:t>的假设和限制条件</w:t>
      </w:r>
      <w:bookmarkEnd w:id="4"/>
      <w:bookmarkEnd w:id="5"/>
    </w:p>
    <w:p>
      <w:pPr>
        <w:spacing w:line="360" w:lineRule="auto"/>
        <w:ind w:firstLine="562" w:firstLineChars="200"/>
        <w:rPr>
          <w:rFonts w:ascii="仿宋" w:hAnsi="仿宋" w:eastAsia="仿宋"/>
          <w:b/>
          <w:sz w:val="28"/>
          <w:szCs w:val="28"/>
        </w:rPr>
      </w:pPr>
      <w:r>
        <w:rPr>
          <w:rFonts w:ascii="仿宋" w:hAnsi="仿宋" w:eastAsia="仿宋"/>
          <w:b/>
          <w:sz w:val="28"/>
          <w:szCs w:val="28"/>
        </w:rPr>
        <w:t>1、本次</w:t>
      </w:r>
      <w:r>
        <w:rPr>
          <w:rFonts w:hint="eastAsia" w:ascii="仿宋" w:hAnsi="仿宋" w:eastAsia="仿宋"/>
          <w:b/>
          <w:bCs/>
          <w:sz w:val="28"/>
          <w:szCs w:val="28"/>
        </w:rPr>
        <w:t>评估</w:t>
      </w:r>
      <w:r>
        <w:rPr>
          <w:rFonts w:ascii="仿宋" w:hAnsi="仿宋" w:eastAsia="仿宋"/>
          <w:b/>
          <w:sz w:val="28"/>
          <w:szCs w:val="28"/>
        </w:rPr>
        <w:t>的一般假设</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评估对象</w:t>
      </w:r>
      <w:r>
        <w:rPr>
          <w:rFonts w:ascii="仿宋" w:hAnsi="仿宋" w:eastAsia="仿宋"/>
          <w:sz w:val="28"/>
          <w:szCs w:val="28"/>
        </w:rPr>
        <w:t>产权明晰，手续齐全，可在公开市场上自由转让。</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）市场供应关系、市场结构保持稳定、未发生重大变化或实质性改变。</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）本次</w:t>
      </w:r>
      <w:r>
        <w:rPr>
          <w:rFonts w:hint="eastAsia" w:ascii="仿宋" w:hAnsi="仿宋" w:eastAsia="仿宋"/>
          <w:sz w:val="28"/>
          <w:szCs w:val="28"/>
        </w:rPr>
        <w:t>评估</w:t>
      </w:r>
      <w:r>
        <w:rPr>
          <w:rFonts w:ascii="仿宋" w:hAnsi="仿宋" w:eastAsia="仿宋"/>
          <w:sz w:val="28"/>
          <w:szCs w:val="28"/>
        </w:rPr>
        <w:t>未对</w:t>
      </w:r>
      <w:r>
        <w:rPr>
          <w:rFonts w:hint="eastAsia" w:ascii="仿宋" w:hAnsi="仿宋" w:eastAsia="仿宋"/>
          <w:sz w:val="28"/>
          <w:szCs w:val="28"/>
        </w:rPr>
        <w:t>评估对象</w:t>
      </w:r>
      <w:r>
        <w:rPr>
          <w:rFonts w:ascii="仿宋" w:hAnsi="仿宋" w:eastAsia="仿宋"/>
          <w:sz w:val="28"/>
          <w:szCs w:val="28"/>
        </w:rPr>
        <w:t>做建筑物基础和结构上的测量和实验，本次评估假设其无基础、结构等方面的重大问题。</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）交易双方都具有完全市场信息，对交易对象具有必要的专业知识，不考虑特殊买家的附加出价。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（5）评估对象为整个房地产中的一部分，评估对象应享有公共部位的通行权及水电等共用设施的使用权。</w:t>
      </w:r>
    </w:p>
    <w:p>
      <w:pPr>
        <w:spacing w:line="360" w:lineRule="auto"/>
        <w:ind w:firstLine="562" w:firstLineChars="200"/>
        <w:rPr>
          <w:rFonts w:ascii="仿宋" w:hAnsi="仿宋" w:eastAsia="仿宋"/>
          <w:b/>
          <w:sz w:val="28"/>
          <w:szCs w:val="28"/>
        </w:rPr>
      </w:pPr>
      <w:r>
        <w:rPr>
          <w:rFonts w:ascii="仿宋" w:hAnsi="仿宋" w:eastAsia="仿宋"/>
          <w:b/>
          <w:sz w:val="28"/>
          <w:szCs w:val="28"/>
        </w:rPr>
        <w:t>2、未定事项假设</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评估</w:t>
      </w:r>
      <w:r>
        <w:rPr>
          <w:rFonts w:ascii="仿宋" w:hAnsi="仿宋" w:eastAsia="仿宋"/>
          <w:sz w:val="28"/>
          <w:szCs w:val="28"/>
        </w:rPr>
        <w:t>时没有考虑国家宏观经济政策发生变化、市场供应关系变化、市场结构转变、遇有自然力和其他不可抗力等因素对房地产价值的影响，也没考虑</w:t>
      </w:r>
      <w:r>
        <w:rPr>
          <w:rFonts w:hint="eastAsia" w:ascii="仿宋" w:hAnsi="仿宋" w:eastAsia="仿宋"/>
          <w:sz w:val="28"/>
          <w:szCs w:val="28"/>
        </w:rPr>
        <w:t>评估对象</w:t>
      </w:r>
      <w:r>
        <w:rPr>
          <w:rFonts w:ascii="仿宋" w:hAnsi="仿宋" w:eastAsia="仿宋"/>
          <w:sz w:val="28"/>
          <w:szCs w:val="28"/>
        </w:rPr>
        <w:t>将来可能承担违约责任的事宜，以及特殊交易方式下的特殊交易价格等对评估价值的影响。当上述条件发生变化时，</w:t>
      </w:r>
      <w:r>
        <w:rPr>
          <w:rFonts w:hint="eastAsia" w:ascii="仿宋" w:hAnsi="仿宋" w:eastAsia="仿宋"/>
          <w:sz w:val="28"/>
          <w:szCs w:val="28"/>
        </w:rPr>
        <w:t>评估</w:t>
      </w:r>
      <w:r>
        <w:rPr>
          <w:rFonts w:ascii="仿宋" w:hAnsi="仿宋" w:eastAsia="仿宋"/>
          <w:sz w:val="28"/>
          <w:szCs w:val="28"/>
        </w:rPr>
        <w:t>结果一般亦会发生变化。</w:t>
      </w:r>
    </w:p>
    <w:p>
      <w:pPr>
        <w:pStyle w:val="11"/>
        <w:snapToGrid w:val="0"/>
        <w:spacing w:line="600" w:lineRule="exact"/>
        <w:ind w:left="105" w:leftChars="50" w:right="105" w:rightChars="50" w:firstLine="420" w:firstLineChars="150"/>
        <w:rPr>
          <w:rFonts w:ascii="仿宋" w:hAnsi="仿宋" w:eastAsia="仿宋"/>
          <w:sz w:val="28"/>
          <w:szCs w:val="28"/>
        </w:rPr>
      </w:pPr>
      <w:r>
        <w:rPr>
          <w:rFonts w:hint="eastAsia" w:ascii="仿宋" w:hAnsi="仿宋" w:eastAsia="仿宋"/>
          <w:sz w:val="28"/>
          <w:szCs w:val="28"/>
        </w:rPr>
        <w:t>（2）本评估结果在有效期内的使用是以相关房地产市场稳定、政策未有重大变化并排除了注册房地产估价师无法预知的不可抗力因素的影响为假设前提。</w:t>
      </w:r>
    </w:p>
    <w:p>
      <w:pPr>
        <w:pStyle w:val="6"/>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假设</w:t>
      </w:r>
      <w:r>
        <w:rPr>
          <w:rFonts w:hint="eastAsia" w:ascii="仿宋" w:hAnsi="仿宋" w:eastAsia="仿宋"/>
          <w:sz w:val="28"/>
          <w:szCs w:val="28"/>
        </w:rPr>
        <w:t>评估</w:t>
      </w:r>
      <w:r>
        <w:rPr>
          <w:rFonts w:ascii="仿宋" w:hAnsi="仿宋" w:eastAsia="仿宋"/>
          <w:sz w:val="28"/>
          <w:szCs w:val="28"/>
        </w:rPr>
        <w:t>对象于价值时点无</w:t>
      </w:r>
      <w:r>
        <w:rPr>
          <w:rFonts w:hint="eastAsia" w:ascii="仿宋" w:hAnsi="仿宋" w:eastAsia="仿宋"/>
          <w:sz w:val="28"/>
          <w:szCs w:val="28"/>
        </w:rPr>
        <w:t>影响其结果的租赁行为及评估</w:t>
      </w:r>
      <w:r>
        <w:rPr>
          <w:rFonts w:hint="eastAsia" w:ascii="仿宋" w:hAnsi="仿宋" w:eastAsia="仿宋"/>
          <w:sz w:val="28"/>
        </w:rPr>
        <w:t>委托人</w:t>
      </w:r>
      <w:r>
        <w:rPr>
          <w:rFonts w:hint="eastAsia" w:ascii="仿宋" w:hAnsi="仿宋" w:eastAsia="仿宋"/>
          <w:sz w:val="28"/>
          <w:szCs w:val="28"/>
        </w:rPr>
        <w:t>未签署影响其评估结果的租约</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（4）评估结果未考虑未来处置风险。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（5）本报告出具的价格包含了国有土地使用权出让金。如至价值时点止，评估对象所有权人尚有任何有关评估对象的应缴未缴税费，应按照规定缴纳或从评估值中相应扣减。</w:t>
      </w:r>
    </w:p>
    <w:p>
      <w:pPr>
        <w:spacing w:line="360" w:lineRule="auto"/>
        <w:ind w:firstLine="562" w:firstLineChars="200"/>
        <w:rPr>
          <w:rFonts w:ascii="仿宋" w:hAnsi="仿宋" w:eastAsia="仿宋"/>
          <w:b/>
          <w:sz w:val="28"/>
          <w:szCs w:val="28"/>
        </w:rPr>
      </w:pPr>
      <w:r>
        <w:rPr>
          <w:rFonts w:ascii="仿宋" w:hAnsi="仿宋" w:eastAsia="仿宋"/>
          <w:b/>
          <w:sz w:val="28"/>
          <w:szCs w:val="28"/>
        </w:rPr>
        <w:t>3、背离事实假设</w:t>
      </w:r>
    </w:p>
    <w:p>
      <w:pPr>
        <w:pStyle w:val="6"/>
        <w:ind w:firstLine="560" w:firstLineChars="200"/>
      </w:pPr>
      <w:r>
        <w:rPr>
          <w:rFonts w:hint="eastAsia" w:ascii="仿宋" w:hAnsi="仿宋" w:eastAsia="仿宋"/>
          <w:sz w:val="28"/>
          <w:szCs w:val="28"/>
        </w:rPr>
        <w:t>（1）根据评估委托人提供的《房屋他项权利证》，评估对象因按揭贷款已办理抵押，抵押金额为495万元，根据评估目的，本次评估不考虑评估对象已被查封因素和评估对象原有担保物权及其他优先受偿款因素的影响</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4、依据不足假设</w:t>
      </w:r>
    </w:p>
    <w:p>
      <w:pPr>
        <w:spacing w:line="360" w:lineRule="auto"/>
        <w:ind w:firstLine="520" w:firstLineChars="200"/>
        <w:rPr>
          <w:rFonts w:ascii="仿宋" w:hAnsi="仿宋" w:eastAsia="仿宋"/>
          <w:b/>
          <w:bCs/>
          <w:sz w:val="28"/>
          <w:szCs w:val="28"/>
        </w:rPr>
      </w:pPr>
      <w:r>
        <w:rPr>
          <w:rFonts w:hint="eastAsia" w:ascii="仿宋" w:hAnsi="仿宋" w:eastAsia="仿宋"/>
          <w:color w:val="FF0000"/>
          <w:spacing w:val="-10"/>
          <w:sz w:val="28"/>
          <w:szCs w:val="28"/>
        </w:rPr>
        <w:t>（1）</w:t>
      </w:r>
      <w:r>
        <w:rPr>
          <w:rFonts w:hint="eastAsia" w:ascii="仿宋" w:hAnsi="仿宋" w:eastAsia="仿宋"/>
          <w:spacing w:val="-10"/>
          <w:sz w:val="28"/>
          <w:szCs w:val="28"/>
        </w:rPr>
        <w:t>评估委托人提供的资料中未提及</w:t>
      </w:r>
      <w:r>
        <w:rPr>
          <w:rFonts w:hint="eastAsia" w:ascii="仿宋" w:hAnsi="仿宋" w:eastAsia="仿宋"/>
          <w:sz w:val="28"/>
          <w:szCs w:val="28"/>
        </w:rPr>
        <w:t>评估</w:t>
      </w:r>
      <w:r>
        <w:rPr>
          <w:rFonts w:hint="eastAsia" w:ascii="仿宋" w:hAnsi="仿宋" w:eastAsia="仿宋"/>
          <w:spacing w:val="-10"/>
          <w:sz w:val="28"/>
          <w:szCs w:val="28"/>
        </w:rPr>
        <w:t>对象中无证房屋的建成年代，根据注册房地产估价师现场调查了解房屋建成年份为2012年，本次评估中无证房屋建成年代以2012年为</w:t>
      </w:r>
      <w:r>
        <w:rPr>
          <w:rFonts w:hint="eastAsia" w:ascii="仿宋" w:hAnsi="仿宋" w:eastAsia="仿宋"/>
          <w:sz w:val="28"/>
          <w:szCs w:val="28"/>
        </w:rPr>
        <w:t>评估</w:t>
      </w:r>
      <w:r>
        <w:rPr>
          <w:rFonts w:hint="eastAsia" w:ascii="仿宋" w:hAnsi="仿宋" w:eastAsia="仿宋"/>
          <w:spacing w:val="-10"/>
          <w:sz w:val="28"/>
          <w:szCs w:val="28"/>
        </w:rPr>
        <w:t>的假设前提，如有确切资料证明房屋建成年代与设定建成年代相差三年以上，房地产评估结果或需再根据情况作必要修正，请报告使用人注意。</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rPr>
        <w:t>5、不相一致假设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评估委托人提供的《房屋所有权证》中显示评估对象有证房屋建成年代为2006年，评估委托人提供的《房地产抵押清单》中显示房产建成日期为2007年1月，此次评估中有证房屋建成年代按照《房屋所有权证》中记载的建成年代进行评估，即设定有证房屋建成年代为2006年，</w:t>
      </w:r>
      <w:r>
        <w:rPr>
          <w:rFonts w:hint="eastAsia" w:ascii="仿宋" w:hAnsi="仿宋" w:eastAsia="仿宋"/>
          <w:spacing w:val="-10"/>
          <w:sz w:val="28"/>
          <w:szCs w:val="28"/>
        </w:rPr>
        <w:t>请报告使用人注意</w:t>
      </w:r>
      <w:r>
        <w:rPr>
          <w:rFonts w:hint="eastAsia" w:ascii="仿宋" w:hAnsi="仿宋" w:eastAsia="仿宋"/>
          <w:sz w:val="28"/>
          <w:szCs w:val="28"/>
        </w:rPr>
        <w:t>。</w:t>
      </w:r>
    </w:p>
    <w:p>
      <w:pPr>
        <w:spacing w:line="360" w:lineRule="auto"/>
        <w:ind w:firstLine="562"/>
        <w:rPr>
          <w:rFonts w:ascii="仿宋" w:hAnsi="仿宋" w:eastAsia="仿宋"/>
          <w:b/>
          <w:sz w:val="28"/>
          <w:szCs w:val="28"/>
        </w:rPr>
      </w:pPr>
      <w:r>
        <w:rPr>
          <w:rFonts w:hint="eastAsia" w:ascii="仿宋" w:hAnsi="仿宋" w:eastAsia="仿宋"/>
          <w:b/>
          <w:sz w:val="28"/>
          <w:szCs w:val="28"/>
        </w:rPr>
        <w:t>6</w:t>
      </w:r>
      <w:r>
        <w:rPr>
          <w:rFonts w:ascii="仿宋" w:hAnsi="仿宋" w:eastAsia="仿宋"/>
          <w:b/>
          <w:sz w:val="28"/>
          <w:szCs w:val="28"/>
        </w:rPr>
        <w:t>、本报告的使用限制条件</w:t>
      </w:r>
    </w:p>
    <w:p>
      <w:pPr>
        <w:spacing w:line="360" w:lineRule="auto"/>
        <w:ind w:firstLine="560" w:firstLineChars="200"/>
        <w:rPr>
          <w:rFonts w:ascii="仿宋" w:hAnsi="仿宋" w:eastAsia="仿宋"/>
          <w:sz w:val="28"/>
          <w:szCs w:val="28"/>
        </w:rPr>
      </w:pPr>
      <w:r>
        <w:rPr>
          <w:rFonts w:ascii="仿宋" w:hAnsi="仿宋" w:eastAsia="仿宋"/>
          <w:sz w:val="28"/>
          <w:szCs w:val="28"/>
        </w:rPr>
        <w:t>（1）本报告仅为确定房地产</w:t>
      </w:r>
      <w:r>
        <w:rPr>
          <w:rFonts w:hint="eastAsia" w:ascii="仿宋" w:hAnsi="仿宋" w:eastAsia="仿宋"/>
          <w:sz w:val="28"/>
          <w:szCs w:val="28"/>
        </w:rPr>
        <w:t>市场价值</w:t>
      </w:r>
      <w:r>
        <w:rPr>
          <w:rFonts w:ascii="仿宋" w:hAnsi="仿宋" w:eastAsia="仿宋"/>
          <w:sz w:val="28"/>
          <w:szCs w:val="28"/>
        </w:rPr>
        <w:t>提供参考依据，不作它用。</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评估</w:t>
      </w:r>
      <w:r>
        <w:rPr>
          <w:rFonts w:ascii="仿宋" w:hAnsi="仿宋" w:eastAsia="仿宋"/>
          <w:sz w:val="28"/>
          <w:szCs w:val="28"/>
        </w:rPr>
        <w:t>报告应用的有效期自</w:t>
      </w:r>
      <w:r>
        <w:rPr>
          <w:rFonts w:hint="eastAsia" w:ascii="仿宋" w:hAnsi="仿宋" w:eastAsia="仿宋"/>
          <w:sz w:val="28"/>
          <w:szCs w:val="28"/>
        </w:rPr>
        <w:t>评估</w:t>
      </w:r>
      <w:r>
        <w:rPr>
          <w:rFonts w:ascii="仿宋" w:hAnsi="仿宋" w:eastAsia="仿宋"/>
          <w:sz w:val="28"/>
          <w:szCs w:val="28"/>
        </w:rPr>
        <w:t>报告出具之日起为一年，即</w:t>
      </w:r>
      <w:r>
        <w:rPr>
          <w:rFonts w:hint="eastAsia" w:ascii="仿宋" w:hAnsi="仿宋" w:eastAsia="仿宋"/>
          <w:sz w:val="28"/>
          <w:szCs w:val="28"/>
        </w:rPr>
        <w:t>评估目的</w:t>
      </w:r>
      <w:r>
        <w:rPr>
          <w:rFonts w:ascii="仿宋" w:hAnsi="仿宋" w:eastAsia="仿宋"/>
          <w:sz w:val="28"/>
          <w:szCs w:val="28"/>
        </w:rPr>
        <w:t>在报告完成后的一年内实现，</w:t>
      </w:r>
      <w:r>
        <w:rPr>
          <w:rFonts w:hint="eastAsia" w:ascii="仿宋" w:hAnsi="仿宋" w:eastAsia="仿宋"/>
          <w:sz w:val="28"/>
          <w:szCs w:val="28"/>
        </w:rPr>
        <w:t>评估</w:t>
      </w:r>
      <w:r>
        <w:rPr>
          <w:rFonts w:ascii="仿宋" w:hAnsi="仿宋" w:eastAsia="仿宋"/>
          <w:sz w:val="28"/>
          <w:szCs w:val="28"/>
        </w:rPr>
        <w:t>结果可作</w:t>
      </w:r>
      <w:r>
        <w:rPr>
          <w:rFonts w:hint="eastAsia" w:ascii="仿宋" w:hAnsi="仿宋" w:eastAsia="仿宋"/>
          <w:sz w:val="28"/>
          <w:szCs w:val="28"/>
        </w:rPr>
        <w:t>评估对象</w:t>
      </w:r>
      <w:r>
        <w:rPr>
          <w:rFonts w:ascii="仿宋" w:hAnsi="仿宋" w:eastAsia="仿宋"/>
          <w:sz w:val="28"/>
          <w:szCs w:val="28"/>
        </w:rPr>
        <w:t>的市场价格参考，超过一年或市场状况、</w:t>
      </w:r>
      <w:r>
        <w:rPr>
          <w:rFonts w:hint="eastAsia" w:ascii="仿宋" w:hAnsi="仿宋" w:eastAsia="仿宋"/>
          <w:sz w:val="28"/>
          <w:szCs w:val="28"/>
        </w:rPr>
        <w:t>评估对象</w:t>
      </w:r>
      <w:r>
        <w:rPr>
          <w:rFonts w:ascii="仿宋" w:hAnsi="仿宋" w:eastAsia="仿宋"/>
          <w:sz w:val="28"/>
          <w:szCs w:val="28"/>
        </w:rPr>
        <w:t>实体状况变化很大时，</w:t>
      </w:r>
      <w:r>
        <w:rPr>
          <w:rFonts w:hint="eastAsia" w:ascii="仿宋" w:hAnsi="仿宋" w:eastAsia="仿宋"/>
          <w:sz w:val="28"/>
          <w:szCs w:val="28"/>
        </w:rPr>
        <w:t>评估</w:t>
      </w:r>
      <w:r>
        <w:rPr>
          <w:rFonts w:ascii="仿宋" w:hAnsi="仿宋" w:eastAsia="仿宋"/>
          <w:sz w:val="28"/>
          <w:szCs w:val="28"/>
        </w:rPr>
        <w:t>结果应作相应调整或重新评估。</w:t>
      </w:r>
    </w:p>
    <w:p>
      <w:pPr>
        <w:spacing w:line="360" w:lineRule="auto"/>
        <w:ind w:firstLine="560" w:firstLineChars="200"/>
        <w:rPr>
          <w:rFonts w:ascii="仿宋" w:hAnsi="仿宋" w:eastAsia="仿宋"/>
          <w:sz w:val="28"/>
          <w:szCs w:val="28"/>
        </w:rPr>
      </w:pPr>
      <w:r>
        <w:rPr>
          <w:rFonts w:ascii="仿宋" w:hAnsi="仿宋" w:eastAsia="仿宋"/>
          <w:sz w:val="28"/>
          <w:szCs w:val="28"/>
        </w:rPr>
        <w:t>（3）本报告</w:t>
      </w:r>
      <w:r>
        <w:rPr>
          <w:rFonts w:hint="eastAsia" w:ascii="仿宋" w:hAnsi="仿宋" w:eastAsia="仿宋"/>
          <w:sz w:val="28"/>
          <w:szCs w:val="28"/>
        </w:rPr>
        <w:t>专</w:t>
      </w:r>
      <w:r>
        <w:rPr>
          <w:rFonts w:ascii="仿宋" w:hAnsi="仿宋" w:eastAsia="仿宋"/>
          <w:sz w:val="28"/>
          <w:szCs w:val="28"/>
        </w:rPr>
        <w:t>为</w:t>
      </w:r>
      <w:r>
        <w:rPr>
          <w:rFonts w:hint="eastAsia" w:ascii="仿宋" w:hAnsi="仿宋" w:eastAsia="仿宋"/>
          <w:sz w:val="28"/>
          <w:szCs w:val="28"/>
        </w:rPr>
        <w:t>评估委托人</w:t>
      </w:r>
      <w:r>
        <w:rPr>
          <w:rFonts w:ascii="仿宋" w:hAnsi="仿宋" w:eastAsia="仿宋"/>
          <w:sz w:val="28"/>
          <w:szCs w:val="28"/>
        </w:rPr>
        <w:t>使用，未经本公司同意，不得向</w:t>
      </w:r>
      <w:r>
        <w:rPr>
          <w:rFonts w:hint="eastAsia" w:ascii="仿宋" w:hAnsi="仿宋" w:eastAsia="仿宋"/>
          <w:sz w:val="28"/>
          <w:szCs w:val="28"/>
        </w:rPr>
        <w:t>评估委托人</w:t>
      </w:r>
      <w:r>
        <w:rPr>
          <w:rFonts w:ascii="仿宋" w:hAnsi="仿宋" w:eastAsia="仿宋"/>
          <w:sz w:val="28"/>
          <w:szCs w:val="28"/>
        </w:rPr>
        <w:t>和</w:t>
      </w:r>
      <w:r>
        <w:rPr>
          <w:rFonts w:hint="eastAsia" w:ascii="仿宋" w:hAnsi="仿宋" w:eastAsia="仿宋"/>
          <w:sz w:val="28"/>
          <w:szCs w:val="28"/>
        </w:rPr>
        <w:t>评估</w:t>
      </w:r>
      <w:r>
        <w:rPr>
          <w:rFonts w:ascii="仿宋" w:hAnsi="仿宋" w:eastAsia="仿宋"/>
          <w:sz w:val="28"/>
          <w:szCs w:val="28"/>
        </w:rPr>
        <w:t>报告审查部门之外的单位和个人提供；报告的全部或部分内容不得发表于任何公开媒体上。</w:t>
      </w:r>
    </w:p>
    <w:p>
      <w:pPr>
        <w:pStyle w:val="2"/>
        <w:pageBreakBefore w:val="0"/>
        <w:kinsoku/>
        <w:wordWrap/>
        <w:overflowPunct/>
        <w:topLinePunct w:val="0"/>
        <w:bidi w:val="0"/>
        <w:adjustRightInd/>
        <w:snapToGrid/>
        <w:spacing w:line="580" w:lineRule="exact"/>
      </w:pPr>
      <w:bookmarkStart w:id="6" w:name="_Toc251226844"/>
      <w:bookmarkStart w:id="7" w:name="_Toc251662422"/>
      <w:r>
        <w:rPr>
          <w:rFonts w:hint="eastAsia"/>
        </w:rPr>
        <w:br w:type="page"/>
      </w:r>
      <w:bookmarkStart w:id="8" w:name="_Toc323216539"/>
      <w:bookmarkStart w:id="9" w:name="_Toc15120702"/>
      <w:r>
        <w:rPr>
          <w:rFonts w:hint="eastAsia"/>
        </w:rPr>
        <w:t xml:space="preserve">第三部分  </w:t>
      </w:r>
      <w:bookmarkEnd w:id="6"/>
      <w:bookmarkEnd w:id="7"/>
      <w:r>
        <w:rPr>
          <w:rFonts w:hint="eastAsia" w:ascii="仿宋" w:hAnsi="仿宋"/>
          <w:sz w:val="28"/>
          <w:szCs w:val="28"/>
        </w:rPr>
        <w:t>评估</w:t>
      </w:r>
      <w:r>
        <w:rPr>
          <w:rFonts w:hint="eastAsia"/>
        </w:rPr>
        <w:t>结果报告</w:t>
      </w:r>
      <w:bookmarkEnd w:id="8"/>
      <w:bookmarkEnd w:id="9"/>
    </w:p>
    <w:p>
      <w:pPr>
        <w:pStyle w:val="3"/>
        <w:pageBreakBefore w:val="0"/>
        <w:kinsoku/>
        <w:wordWrap/>
        <w:overflowPunct/>
        <w:topLinePunct w:val="0"/>
        <w:bidi w:val="0"/>
        <w:adjustRightInd/>
        <w:snapToGrid/>
        <w:spacing w:line="580" w:lineRule="exact"/>
        <w:ind w:left="105" w:leftChars="50" w:right="105" w:rightChars="50" w:firstLine="562" w:firstLineChars="200"/>
        <w:contextualSpacing/>
        <w:rPr>
          <w:rFonts w:ascii="仿宋" w:hAnsi="仿宋" w:cs="仿宋"/>
          <w:szCs w:val="28"/>
        </w:rPr>
      </w:pPr>
      <w:bookmarkStart w:id="10" w:name="_Toc323216540"/>
      <w:bookmarkStart w:id="11" w:name="_Toc15120703"/>
      <w:r>
        <w:rPr>
          <w:rFonts w:hint="eastAsia" w:ascii="仿宋" w:hAnsi="仿宋" w:cs="仿宋"/>
          <w:szCs w:val="28"/>
        </w:rPr>
        <w:t>一、</w:t>
      </w:r>
      <w:bookmarkEnd w:id="10"/>
      <w:r>
        <w:rPr>
          <w:rFonts w:hint="eastAsia" w:ascii="仿宋" w:hAnsi="仿宋" w:cs="仿宋"/>
          <w:szCs w:val="28"/>
        </w:rPr>
        <w:t>评估委托人</w:t>
      </w:r>
      <w:bookmarkEnd w:id="11"/>
    </w:p>
    <w:p>
      <w:pPr>
        <w:pStyle w:val="11"/>
        <w:pageBreakBefore w:val="0"/>
        <w:kinsoku/>
        <w:wordWrap/>
        <w:overflowPunct/>
        <w:topLinePunct w:val="0"/>
        <w:bidi w:val="0"/>
        <w:adjustRightInd/>
        <w:snapToGrid/>
        <w:spacing w:line="580" w:lineRule="exact"/>
        <w:ind w:left="105" w:leftChars="50" w:right="105" w:rightChars="50" w:firstLine="560" w:firstLineChars="200"/>
        <w:contextualSpacing/>
        <w:rPr>
          <w:rFonts w:ascii="仿宋" w:hAnsi="仿宋" w:eastAsia="仿宋" w:cs="仿宋"/>
          <w:sz w:val="28"/>
          <w:szCs w:val="28"/>
        </w:rPr>
      </w:pPr>
      <w:r>
        <w:rPr>
          <w:rFonts w:hint="eastAsia" w:ascii="仿宋" w:hAnsi="仿宋" w:eastAsia="仿宋" w:cs="仿宋"/>
          <w:bCs/>
          <w:sz w:val="28"/>
          <w:szCs w:val="28"/>
        </w:rPr>
        <w:t>单位名称：</w:t>
      </w:r>
      <w:r>
        <w:rPr>
          <w:rFonts w:hint="eastAsia" w:ascii="仿宋" w:hAnsi="仿宋" w:eastAsia="仿宋" w:cs="仿宋"/>
          <w:sz w:val="28"/>
          <w:szCs w:val="28"/>
        </w:rPr>
        <w:t>高青县人民法院</w:t>
      </w:r>
    </w:p>
    <w:p>
      <w:pPr>
        <w:pStyle w:val="11"/>
        <w:pageBreakBefore w:val="0"/>
        <w:kinsoku/>
        <w:wordWrap/>
        <w:overflowPunct/>
        <w:topLinePunct w:val="0"/>
        <w:bidi w:val="0"/>
        <w:adjustRightInd/>
        <w:snapToGrid/>
        <w:spacing w:line="580" w:lineRule="exact"/>
        <w:ind w:left="105" w:leftChars="50" w:right="105" w:rightChars="50" w:firstLine="560" w:firstLineChars="200"/>
        <w:contextualSpacing/>
        <w:rPr>
          <w:rFonts w:ascii="仿宋" w:hAnsi="仿宋" w:eastAsia="仿宋" w:cs="仿宋"/>
          <w:sz w:val="28"/>
          <w:szCs w:val="28"/>
        </w:rPr>
      </w:pPr>
      <w:r>
        <w:rPr>
          <w:rFonts w:hint="eastAsia" w:ascii="仿宋" w:hAnsi="仿宋" w:eastAsia="仿宋" w:cs="仿宋"/>
          <w:sz w:val="28"/>
          <w:szCs w:val="28"/>
        </w:rPr>
        <w:t>住所：高青县芦湖路南首</w:t>
      </w:r>
    </w:p>
    <w:p>
      <w:pPr>
        <w:pStyle w:val="3"/>
        <w:pageBreakBefore w:val="0"/>
        <w:kinsoku/>
        <w:wordWrap/>
        <w:overflowPunct/>
        <w:topLinePunct w:val="0"/>
        <w:bidi w:val="0"/>
        <w:adjustRightInd/>
        <w:snapToGrid/>
        <w:spacing w:line="580" w:lineRule="exact"/>
        <w:ind w:left="105" w:leftChars="50" w:right="105" w:rightChars="50" w:firstLine="562" w:firstLineChars="200"/>
        <w:contextualSpacing/>
        <w:rPr>
          <w:rFonts w:ascii="仿宋" w:hAnsi="仿宋" w:cs="仿宋"/>
          <w:szCs w:val="28"/>
        </w:rPr>
      </w:pPr>
      <w:bookmarkStart w:id="12" w:name="_Toc323216541"/>
      <w:bookmarkStart w:id="13" w:name="_Toc15120704"/>
      <w:r>
        <w:rPr>
          <w:rFonts w:hint="eastAsia" w:ascii="仿宋" w:hAnsi="仿宋" w:cs="仿宋"/>
          <w:szCs w:val="28"/>
        </w:rPr>
        <w:t>二、</w:t>
      </w:r>
      <w:bookmarkEnd w:id="12"/>
      <w:r>
        <w:rPr>
          <w:rFonts w:hint="eastAsia" w:ascii="仿宋" w:hAnsi="仿宋" w:cs="仿宋"/>
          <w:szCs w:val="28"/>
        </w:rPr>
        <w:t>房地产估价机构</w:t>
      </w:r>
      <w:bookmarkEnd w:id="13"/>
    </w:p>
    <w:p>
      <w:pPr>
        <w:pStyle w:val="11"/>
        <w:pageBreakBefore w:val="0"/>
        <w:kinsoku/>
        <w:wordWrap/>
        <w:overflowPunct/>
        <w:topLinePunct w:val="0"/>
        <w:bidi w:val="0"/>
        <w:adjustRightInd/>
        <w:snapToGrid/>
        <w:spacing w:line="580" w:lineRule="exact"/>
        <w:ind w:left="105" w:leftChars="50" w:right="105" w:rightChars="50" w:firstLine="560" w:firstLineChars="200"/>
        <w:contextualSpacing/>
        <w:rPr>
          <w:rFonts w:ascii="仿宋" w:hAnsi="仿宋" w:eastAsia="仿宋" w:cs="仿宋"/>
          <w:sz w:val="28"/>
          <w:szCs w:val="28"/>
        </w:rPr>
      </w:pPr>
      <w:r>
        <w:rPr>
          <w:rFonts w:hint="eastAsia" w:ascii="仿宋" w:hAnsi="仿宋" w:eastAsia="仿宋" w:cs="仿宋"/>
          <w:sz w:val="28"/>
          <w:szCs w:val="28"/>
        </w:rPr>
        <w:t>机构名称：山东贵恒信房地产土地评估经纪有限公司</w:t>
      </w:r>
    </w:p>
    <w:p>
      <w:pPr>
        <w:pStyle w:val="11"/>
        <w:pageBreakBefore w:val="0"/>
        <w:kinsoku/>
        <w:wordWrap/>
        <w:overflowPunct/>
        <w:topLinePunct w:val="0"/>
        <w:bidi w:val="0"/>
        <w:adjustRightInd/>
        <w:snapToGrid/>
        <w:spacing w:line="580" w:lineRule="exact"/>
        <w:ind w:left="105" w:leftChars="50" w:right="105" w:rightChars="50" w:firstLine="560" w:firstLineChars="200"/>
        <w:contextualSpacing/>
        <w:rPr>
          <w:rFonts w:ascii="仿宋" w:hAnsi="仿宋" w:eastAsia="仿宋" w:cs="仿宋"/>
          <w:sz w:val="28"/>
          <w:szCs w:val="28"/>
        </w:rPr>
      </w:pPr>
      <w:r>
        <w:rPr>
          <w:rFonts w:hint="eastAsia" w:ascii="仿宋" w:hAnsi="仿宋" w:eastAsia="仿宋" w:cs="仿宋"/>
          <w:sz w:val="28"/>
          <w:szCs w:val="28"/>
        </w:rPr>
        <w:t>住所：济南市历下区山大路242-2号A座616号</w:t>
      </w:r>
    </w:p>
    <w:p>
      <w:pPr>
        <w:pStyle w:val="11"/>
        <w:pageBreakBefore w:val="0"/>
        <w:kinsoku/>
        <w:wordWrap/>
        <w:overflowPunct/>
        <w:topLinePunct w:val="0"/>
        <w:bidi w:val="0"/>
        <w:adjustRightInd/>
        <w:snapToGrid/>
        <w:spacing w:line="580" w:lineRule="exact"/>
        <w:ind w:left="105" w:leftChars="50" w:right="105" w:rightChars="5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法定代表人：董月华 </w:t>
      </w:r>
    </w:p>
    <w:p>
      <w:pPr>
        <w:pStyle w:val="11"/>
        <w:pageBreakBefore w:val="0"/>
        <w:kinsoku/>
        <w:wordWrap/>
        <w:overflowPunct/>
        <w:topLinePunct w:val="0"/>
        <w:bidi w:val="0"/>
        <w:adjustRightInd/>
        <w:snapToGrid/>
        <w:spacing w:line="580" w:lineRule="exact"/>
        <w:ind w:left="105" w:leftChars="50" w:right="105" w:rightChars="50" w:firstLine="560" w:firstLineChars="200"/>
        <w:contextualSpacing/>
        <w:rPr>
          <w:rFonts w:ascii="仿宋" w:hAnsi="仿宋" w:eastAsia="仿宋" w:cs="仿宋"/>
          <w:sz w:val="28"/>
          <w:szCs w:val="28"/>
        </w:rPr>
      </w:pPr>
      <w:r>
        <w:rPr>
          <w:rFonts w:hint="eastAsia" w:ascii="仿宋" w:hAnsi="仿宋" w:eastAsia="仿宋" w:cs="仿宋"/>
          <w:sz w:val="28"/>
          <w:szCs w:val="28"/>
        </w:rPr>
        <w:t>统一社会信用代码：91370102740991399Q</w:t>
      </w:r>
    </w:p>
    <w:p>
      <w:pPr>
        <w:pStyle w:val="11"/>
        <w:pageBreakBefore w:val="0"/>
        <w:kinsoku/>
        <w:wordWrap/>
        <w:overflowPunct/>
        <w:topLinePunct w:val="0"/>
        <w:bidi w:val="0"/>
        <w:adjustRightInd/>
        <w:snapToGrid/>
        <w:spacing w:line="580" w:lineRule="exact"/>
        <w:ind w:left="105" w:leftChars="50" w:right="105" w:rightChars="50" w:firstLine="560" w:firstLineChars="200"/>
        <w:contextualSpacing/>
        <w:rPr>
          <w:rFonts w:ascii="仿宋" w:hAnsi="仿宋" w:eastAsia="仿宋" w:cs="仿宋"/>
          <w:sz w:val="28"/>
          <w:szCs w:val="28"/>
        </w:rPr>
      </w:pPr>
      <w:r>
        <w:rPr>
          <w:rFonts w:hint="eastAsia" w:ascii="仿宋" w:hAnsi="仿宋" w:eastAsia="仿宋" w:cs="仿宋"/>
          <w:sz w:val="28"/>
          <w:szCs w:val="28"/>
        </w:rPr>
        <w:t>备案等级：壹级</w:t>
      </w:r>
    </w:p>
    <w:p>
      <w:pPr>
        <w:pStyle w:val="11"/>
        <w:pageBreakBefore w:val="0"/>
        <w:kinsoku/>
        <w:wordWrap/>
        <w:overflowPunct/>
        <w:topLinePunct w:val="0"/>
        <w:bidi w:val="0"/>
        <w:adjustRightInd/>
        <w:snapToGrid/>
        <w:spacing w:line="580" w:lineRule="exact"/>
        <w:ind w:left="105" w:leftChars="50" w:right="105" w:rightChars="50" w:firstLine="560" w:firstLineChars="200"/>
        <w:contextualSpacing/>
        <w:rPr>
          <w:rFonts w:ascii="仿宋" w:hAnsi="仿宋" w:eastAsia="仿宋" w:cs="仿宋"/>
          <w:sz w:val="28"/>
          <w:szCs w:val="28"/>
        </w:rPr>
      </w:pPr>
      <w:r>
        <w:rPr>
          <w:rFonts w:hint="eastAsia" w:ascii="仿宋" w:hAnsi="仿宋" w:eastAsia="仿宋" w:cs="仿宋"/>
          <w:sz w:val="28"/>
          <w:szCs w:val="28"/>
        </w:rPr>
        <w:t>证书编号：建房估证字【2013】025号</w:t>
      </w:r>
    </w:p>
    <w:p>
      <w:pPr>
        <w:pStyle w:val="11"/>
        <w:pageBreakBefore w:val="0"/>
        <w:kinsoku/>
        <w:wordWrap/>
        <w:overflowPunct/>
        <w:topLinePunct w:val="0"/>
        <w:bidi w:val="0"/>
        <w:adjustRightInd/>
        <w:snapToGrid/>
        <w:spacing w:line="580" w:lineRule="exact"/>
        <w:ind w:left="105" w:leftChars="50" w:right="105" w:rightChars="5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有效期限：2019年5月17日至2022年5月16日  </w:t>
      </w:r>
    </w:p>
    <w:p>
      <w:pPr>
        <w:pStyle w:val="3"/>
        <w:pageBreakBefore w:val="0"/>
        <w:kinsoku/>
        <w:wordWrap/>
        <w:overflowPunct/>
        <w:topLinePunct w:val="0"/>
        <w:bidi w:val="0"/>
        <w:adjustRightInd/>
        <w:snapToGrid/>
        <w:spacing w:line="580" w:lineRule="exact"/>
        <w:ind w:left="105" w:leftChars="50" w:right="105" w:rightChars="50" w:firstLine="562" w:firstLineChars="200"/>
        <w:contextualSpacing/>
        <w:rPr>
          <w:rFonts w:ascii="仿宋" w:hAnsi="仿宋" w:cs="仿宋"/>
          <w:szCs w:val="28"/>
        </w:rPr>
      </w:pPr>
      <w:bookmarkStart w:id="14" w:name="_Toc323216543"/>
      <w:bookmarkStart w:id="15" w:name="_Toc15120705"/>
      <w:bookmarkStart w:id="16" w:name="_Toc323216542"/>
      <w:r>
        <w:rPr>
          <w:rFonts w:hint="eastAsia" w:ascii="仿宋" w:hAnsi="仿宋" w:cs="仿宋"/>
          <w:szCs w:val="28"/>
        </w:rPr>
        <w:t>三、</w:t>
      </w:r>
      <w:bookmarkEnd w:id="14"/>
      <w:r>
        <w:rPr>
          <w:rFonts w:hint="eastAsia" w:ascii="仿宋" w:hAnsi="仿宋" w:cs="仿宋"/>
          <w:szCs w:val="28"/>
        </w:rPr>
        <w:t>评估目的</w:t>
      </w:r>
      <w:bookmarkEnd w:id="15"/>
    </w:p>
    <w:p>
      <w:pPr>
        <w:pageBreakBefore w:val="0"/>
        <w:kinsoku/>
        <w:wordWrap/>
        <w:overflowPunct/>
        <w:topLinePunct w:val="0"/>
        <w:bidi w:val="0"/>
        <w:adjustRightInd/>
        <w:snapToGrid/>
        <w:spacing w:line="5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根据《高青县人民法院》[（2018）鲁0322执恢295号]要求，对评估对象进行科学鉴定，为人民法院确定财产处置参考价提供参考依据。</w:t>
      </w:r>
    </w:p>
    <w:p>
      <w:pPr>
        <w:pStyle w:val="11"/>
        <w:pageBreakBefore w:val="0"/>
        <w:kinsoku/>
        <w:wordWrap/>
        <w:overflowPunct/>
        <w:topLinePunct w:val="0"/>
        <w:bidi w:val="0"/>
        <w:adjustRightInd/>
        <w:snapToGrid/>
        <w:spacing w:line="580" w:lineRule="exact"/>
        <w:ind w:firstLine="562" w:firstLineChars="200"/>
        <w:jc w:val="left"/>
        <w:rPr>
          <w:rFonts w:ascii="仿宋" w:hAnsi="仿宋" w:eastAsia="仿宋"/>
          <w:b/>
          <w:sz w:val="28"/>
          <w:szCs w:val="28"/>
        </w:rPr>
      </w:pPr>
      <w:r>
        <w:rPr>
          <w:rFonts w:hint="eastAsia" w:ascii="仿宋" w:hAnsi="仿宋" w:eastAsia="仿宋"/>
          <w:b/>
          <w:sz w:val="28"/>
          <w:szCs w:val="28"/>
        </w:rPr>
        <w:t>四、</w:t>
      </w:r>
      <w:bookmarkEnd w:id="16"/>
      <w:r>
        <w:rPr>
          <w:rFonts w:hint="eastAsia" w:ascii="仿宋" w:hAnsi="仿宋" w:eastAsia="仿宋"/>
          <w:b/>
          <w:sz w:val="28"/>
          <w:szCs w:val="28"/>
        </w:rPr>
        <w:t>评估对象</w:t>
      </w:r>
    </w:p>
    <w:p>
      <w:pPr>
        <w:pStyle w:val="11"/>
        <w:pageBreakBefore w:val="0"/>
        <w:kinsoku/>
        <w:wordWrap/>
        <w:overflowPunct/>
        <w:topLinePunct w:val="0"/>
        <w:bidi w:val="0"/>
        <w:adjustRightInd/>
        <w:snapToGrid/>
        <w:spacing w:line="580" w:lineRule="exact"/>
        <w:ind w:firstLine="604" w:firstLineChars="200"/>
        <w:jc w:val="left"/>
        <w:rPr>
          <w:rFonts w:ascii="仿宋" w:hAnsi="仿宋" w:eastAsia="仿宋" w:cs="仿宋"/>
          <w:b/>
          <w:bCs/>
          <w:spacing w:val="11"/>
          <w:sz w:val="28"/>
          <w:szCs w:val="28"/>
        </w:rPr>
      </w:pPr>
      <w:r>
        <w:rPr>
          <w:rFonts w:hint="eastAsia" w:ascii="仿宋" w:hAnsi="仿宋" w:eastAsia="仿宋" w:cs="仿宋"/>
          <w:bCs/>
          <w:spacing w:val="11"/>
          <w:sz w:val="28"/>
          <w:szCs w:val="28"/>
        </w:rPr>
        <w:t xml:space="preserve"> 1、评估对象范围：</w:t>
      </w:r>
    </w:p>
    <w:p>
      <w:pPr>
        <w:pStyle w:val="11"/>
        <w:pageBreakBefore w:val="0"/>
        <w:kinsoku/>
        <w:wordWrap/>
        <w:overflowPunct/>
        <w:topLinePunct w:val="0"/>
        <w:bidi w:val="0"/>
        <w:adjustRightInd/>
        <w:snapToGrid/>
        <w:spacing w:line="580" w:lineRule="exact"/>
        <w:ind w:firstLine="560" w:firstLineChars="200"/>
        <w:jc w:val="left"/>
        <w:rPr>
          <w:rFonts w:ascii="仿宋" w:hAnsi="仿宋" w:eastAsia="仿宋" w:cs="仿宋"/>
          <w:b/>
          <w:bCs/>
          <w:spacing w:val="11"/>
          <w:sz w:val="28"/>
          <w:szCs w:val="28"/>
        </w:rPr>
      </w:pPr>
      <w:r>
        <w:rPr>
          <w:rFonts w:hint="eastAsia" w:ascii="仿宋" w:hAnsi="仿宋" w:eastAsia="仿宋"/>
          <w:sz w:val="28"/>
        </w:rPr>
        <w:t>评估对象为</w:t>
      </w:r>
      <w:r>
        <w:rPr>
          <w:rFonts w:hint="eastAsia" w:ascii="仿宋" w:hAnsi="仿宋" w:eastAsia="仿宋" w:cs="仿宋"/>
          <w:color w:val="000000"/>
          <w:sz w:val="28"/>
          <w:szCs w:val="28"/>
        </w:rPr>
        <w:t>山东省淄博市高青县高城镇蔡旺村以北、张田路东侧部分</w:t>
      </w:r>
      <w:r>
        <w:rPr>
          <w:rFonts w:hint="eastAsia" w:ascii="仿宋" w:hAnsi="仿宋" w:eastAsia="仿宋"/>
          <w:sz w:val="28"/>
        </w:rPr>
        <w:t>房地产，</w:t>
      </w:r>
      <w:r>
        <w:rPr>
          <w:rFonts w:hint="eastAsia" w:ascii="仿宋" w:hAnsi="仿宋" w:eastAsia="仿宋" w:cs="仿宋"/>
          <w:sz w:val="28"/>
          <w:szCs w:val="28"/>
        </w:rPr>
        <w:t>包括</w:t>
      </w:r>
      <w:r>
        <w:rPr>
          <w:rFonts w:hint="eastAsia" w:ascii="仿宋" w:hAnsi="仿宋" w:eastAsia="仿宋" w:cs="仿宋"/>
          <w:spacing w:val="11"/>
          <w:sz w:val="28"/>
          <w:szCs w:val="28"/>
        </w:rPr>
        <w:t>房屋所有权及其分摊的国有土地使用权，不包括动产、债权债务、特许经营权等其他财产或权益</w:t>
      </w:r>
      <w:r>
        <w:rPr>
          <w:rFonts w:hint="eastAsia" w:ascii="仿宋" w:hAnsi="仿宋" w:eastAsia="仿宋" w:cs="仿宋"/>
          <w:sz w:val="28"/>
          <w:szCs w:val="28"/>
        </w:rPr>
        <w:t>。</w:t>
      </w:r>
    </w:p>
    <w:p>
      <w:pPr>
        <w:pStyle w:val="11"/>
        <w:pageBreakBefore w:val="0"/>
        <w:kinsoku/>
        <w:wordWrap/>
        <w:overflowPunct/>
        <w:topLinePunct w:val="0"/>
        <w:bidi w:val="0"/>
        <w:adjustRightInd/>
        <w:snapToGrid/>
        <w:spacing w:line="5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2、评估对象基本状况：</w:t>
      </w:r>
    </w:p>
    <w:p>
      <w:pPr>
        <w:pageBreakBefore w:val="0"/>
        <w:kinsoku/>
        <w:wordWrap/>
        <w:overflowPunct/>
        <w:topLinePunct w:val="0"/>
        <w:bidi w:val="0"/>
        <w:adjustRightInd/>
        <w:snapToGrid/>
        <w:spacing w:line="580" w:lineRule="exact"/>
        <w:ind w:firstLine="560" w:firstLineChars="200"/>
        <w:jc w:val="left"/>
        <w:rPr>
          <w:rFonts w:ascii="仿宋" w:hAnsi="仿宋" w:eastAsia="仿宋"/>
          <w:color w:val="000000"/>
          <w:szCs w:val="21"/>
        </w:rPr>
      </w:pPr>
      <w:r>
        <w:rPr>
          <w:rFonts w:hint="eastAsia" w:ascii="仿宋" w:hAnsi="仿宋" w:eastAsia="仿宋" w:cs="仿宋"/>
          <w:color w:val="000000"/>
          <w:sz w:val="28"/>
          <w:szCs w:val="28"/>
        </w:rPr>
        <w:t>本次评估对象坐落于山东省淄博市高青县高城镇蔡旺村以北、张田路东侧部分房屋，房屋使用权人为山东青河农业科技发展股份有限公司，</w:t>
      </w:r>
      <w:r>
        <w:rPr>
          <w:rFonts w:hint="eastAsia" w:ascii="仿宋" w:hAnsi="仿宋" w:eastAsia="仿宋"/>
          <w:sz w:val="28"/>
          <w:szCs w:val="28"/>
        </w:rPr>
        <w:t>此次评估房屋总建筑面积为</w:t>
      </w:r>
      <w:r>
        <w:rPr>
          <w:rFonts w:hint="eastAsia" w:ascii="仿宋" w:hAnsi="仿宋" w:eastAsia="仿宋" w:cs="仿宋"/>
          <w:color w:val="000000"/>
          <w:sz w:val="28"/>
          <w:szCs w:val="28"/>
        </w:rPr>
        <w:t>4808.33㎡。</w:t>
      </w:r>
    </w:p>
    <w:p>
      <w:pPr>
        <w:keepNext w:val="0"/>
        <w:keepLines w:val="0"/>
        <w:pageBreakBefore w:val="0"/>
        <w:kinsoku/>
        <w:wordWrap/>
        <w:overflowPunct/>
        <w:topLinePunct w:val="0"/>
        <w:autoSpaceDE w:val="0"/>
        <w:autoSpaceDN w:val="0"/>
        <w:bidi w:val="0"/>
        <w:adjustRightInd/>
        <w:snapToGrid/>
        <w:spacing w:line="580" w:lineRule="exact"/>
        <w:ind w:firstLine="560" w:firstLineChars="200"/>
        <w:jc w:val="left"/>
        <w:rPr>
          <w:rFonts w:ascii="仿宋" w:hAnsi="仿宋" w:eastAsia="仿宋" w:cs="仿宋"/>
          <w:sz w:val="28"/>
        </w:rPr>
      </w:pPr>
      <w:r>
        <w:rPr>
          <w:rFonts w:hint="eastAsia" w:ascii="仿宋" w:hAnsi="仿宋" w:eastAsia="仿宋"/>
          <w:sz w:val="28"/>
          <w:szCs w:val="28"/>
        </w:rPr>
        <w:t>根据评估委托人提供的《房屋他项权利证》，评估对象因按揭贷款已办理抵押，抵押金额为495万元</w:t>
      </w:r>
    </w:p>
    <w:p>
      <w:pPr>
        <w:pStyle w:val="11"/>
        <w:keepNext w:val="0"/>
        <w:keepLines w:val="0"/>
        <w:pageBreakBefore w:val="0"/>
        <w:numPr>
          <w:ilvl w:val="0"/>
          <w:numId w:val="2"/>
        </w:numPr>
        <w:kinsoku/>
        <w:wordWrap/>
        <w:overflowPunct/>
        <w:topLinePunct w:val="0"/>
        <w:bidi w:val="0"/>
        <w:adjustRightInd/>
        <w:snapToGrid/>
        <w:spacing w:line="580" w:lineRule="exact"/>
        <w:ind w:right="105" w:rightChars="50" w:firstLine="560" w:firstLineChars="200"/>
        <w:jc w:val="left"/>
        <w:rPr>
          <w:rFonts w:ascii="仿宋" w:hAnsi="仿宋" w:eastAsia="仿宋"/>
          <w:sz w:val="28"/>
        </w:rPr>
      </w:pPr>
      <w:r>
        <w:rPr>
          <w:rFonts w:hint="eastAsia" w:ascii="仿宋" w:hAnsi="仿宋" w:eastAsia="仿宋"/>
          <w:sz w:val="28"/>
        </w:rPr>
        <w:t>土地基本情况：</w:t>
      </w:r>
    </w:p>
    <w:p>
      <w:pPr>
        <w:keepNext w:val="0"/>
        <w:keepLines w:val="0"/>
        <w:pageBreakBefore w:val="0"/>
        <w:kinsoku/>
        <w:wordWrap/>
        <w:overflowPunct/>
        <w:topLinePunct w:val="0"/>
        <w:autoSpaceDE w:val="0"/>
        <w:autoSpaceDN w:val="0"/>
        <w:bidi w:val="0"/>
        <w:adjustRightInd/>
        <w:snapToGrid/>
        <w:spacing w:line="5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国有土地使用证号为高国用（2012）第1658号，土地使用权人为山东青河农业科技发展股份有限公司，坐落为高城镇蔡旺村以北、张田路东侧,地类（用途）为工业用地，使用权类型为出让，使用权面积为6665.4㎡，终止日期为2056-12-14，宗地北至龙大公司、南至大邵村土地、西距张田路中心线31m、东至大邵村土地。</w:t>
      </w:r>
    </w:p>
    <w:p>
      <w:pPr>
        <w:keepNext w:val="0"/>
        <w:keepLines w:val="0"/>
        <w:pageBreakBefore w:val="0"/>
        <w:kinsoku/>
        <w:wordWrap/>
        <w:overflowPunct/>
        <w:topLinePunct w:val="0"/>
        <w:autoSpaceDE w:val="0"/>
        <w:autoSpaceDN w:val="0"/>
        <w:bidi w:val="0"/>
        <w:adjustRightInd/>
        <w:snapToGrid/>
        <w:spacing w:line="580" w:lineRule="exact"/>
        <w:ind w:firstLine="560" w:firstLineChars="200"/>
        <w:jc w:val="left"/>
        <w:rPr>
          <w:rFonts w:ascii="仿宋" w:hAnsi="仿宋" w:eastAsia="仿宋" w:cs="仿宋"/>
          <w:color w:val="000000"/>
          <w:sz w:val="28"/>
          <w:szCs w:val="28"/>
        </w:rPr>
      </w:pPr>
      <w:r>
        <w:rPr>
          <w:rFonts w:hint="eastAsia" w:ascii="仿宋" w:hAnsi="仿宋" w:eastAsia="仿宋"/>
          <w:sz w:val="28"/>
        </w:rPr>
        <w:t>本次评估对象所占用土地地质条件较好，地基承载力较好，稳定性较强，红线内外基础设施达到</w:t>
      </w:r>
      <w:r>
        <w:rPr>
          <w:rFonts w:hint="eastAsia" w:ascii="仿宋" w:hAnsi="仿宋" w:eastAsia="仿宋"/>
          <w:sz w:val="28"/>
          <w:szCs w:val="28"/>
        </w:rPr>
        <w:t>“五通一平”（包括</w:t>
      </w:r>
      <w:r>
        <w:rPr>
          <w:rFonts w:hint="eastAsia" w:ascii="仿宋" w:hAnsi="仿宋" w:eastAsia="仿宋" w:cs="仿宋"/>
          <w:sz w:val="28"/>
          <w:szCs w:val="28"/>
        </w:rPr>
        <w:t>通上水、通下水、</w:t>
      </w:r>
      <w:r>
        <w:rPr>
          <w:rFonts w:hint="eastAsia" w:ascii="仿宋" w:hAnsi="仿宋" w:eastAsia="仿宋"/>
          <w:sz w:val="28"/>
          <w:szCs w:val="28"/>
        </w:rPr>
        <w:t>通路、</w:t>
      </w:r>
      <w:r>
        <w:rPr>
          <w:rFonts w:ascii="仿宋" w:hAnsi="仿宋" w:eastAsia="仿宋"/>
          <w:sz w:val="28"/>
          <w:szCs w:val="28"/>
        </w:rPr>
        <w:t>通电、通讯</w:t>
      </w:r>
      <w:r>
        <w:rPr>
          <w:rFonts w:hint="eastAsia" w:ascii="仿宋" w:hAnsi="仿宋" w:eastAsia="仿宋"/>
          <w:sz w:val="28"/>
          <w:szCs w:val="28"/>
        </w:rPr>
        <w:t>及</w:t>
      </w:r>
      <w:r>
        <w:rPr>
          <w:rFonts w:hint="eastAsia" w:ascii="仿宋" w:hAnsi="仿宋" w:eastAsia="仿宋"/>
          <w:sz w:val="28"/>
        </w:rPr>
        <w:t>土地平整），基础配套水平一般，但可以满足工业生产需要。</w:t>
      </w:r>
    </w:p>
    <w:p>
      <w:pPr>
        <w:keepNext w:val="0"/>
        <w:keepLines w:val="0"/>
        <w:pageBreakBefore w:val="0"/>
        <w:kinsoku/>
        <w:wordWrap/>
        <w:overflowPunct/>
        <w:topLinePunct w:val="0"/>
        <w:autoSpaceDE w:val="0"/>
        <w:autoSpaceDN w:val="0"/>
        <w:bidi w:val="0"/>
        <w:adjustRightInd/>
        <w:snapToGrid/>
        <w:spacing w:line="5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土地他项权证号为高他项（2014）第00341号，土地他项权利人为中国农业银行股份有限公司高青支行，义务人为山东青河农业科技发展股份有限公司，坐落为高城镇蔡旺村以北、张田路东侧,地号为370322103011</w:t>
      </w:r>
      <w:r>
        <w:rPr>
          <w:rFonts w:ascii="仿宋" w:hAnsi="仿宋" w:eastAsia="仿宋" w:cs="仿宋"/>
          <w:color w:val="000000"/>
          <w:sz w:val="28"/>
          <w:szCs w:val="28"/>
        </w:rPr>
        <w:t>GB</w:t>
      </w:r>
      <w:r>
        <w:rPr>
          <w:rFonts w:hint="eastAsia" w:ascii="仿宋" w:hAnsi="仿宋" w:eastAsia="仿宋" w:cs="仿宋"/>
          <w:color w:val="000000"/>
          <w:sz w:val="28"/>
          <w:szCs w:val="28"/>
        </w:rPr>
        <w:t>00006，权属性质为国有土地使用权，使用权面积为6665.4㎡，地类（用途）为工业用地，使用权类型为出让；他项权利种类及范围为他项权利：土地使用权抵押权，抵押金额：53.5790万元，抵押面积：6665.40平方米，抵押期限：2年（2014年10月22日-2016年10月21日），土地证书号为：高国用（2012）第1658号；设定日期为2014-10-22，权利顺序为：1、中国农业银行股份有限公司高青支行，存续期限为自2014-10-22至2016-10-21。</w:t>
      </w:r>
    </w:p>
    <w:p>
      <w:pPr>
        <w:pStyle w:val="22"/>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before="0" w:beforeAutospacing="0" w:after="0" w:afterAutospacing="0" w:line="580" w:lineRule="exact"/>
        <w:ind w:right="112" w:firstLine="700" w:firstLineChars="250"/>
        <w:textAlignment w:val="baseline"/>
        <w:rPr>
          <w:rFonts w:ascii="仿宋" w:hAnsi="仿宋" w:eastAsia="仿宋"/>
          <w:sz w:val="28"/>
        </w:rPr>
      </w:pPr>
      <w:r>
        <w:rPr>
          <w:rFonts w:hint="eastAsia" w:ascii="仿宋" w:hAnsi="仿宋" w:eastAsia="仿宋"/>
          <w:sz w:val="28"/>
        </w:rPr>
        <w:t>4、建筑物基本状况：</w:t>
      </w:r>
    </w:p>
    <w:p>
      <w:pPr>
        <w:pStyle w:val="22"/>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before="0" w:beforeAutospacing="0" w:after="0" w:afterAutospacing="0" w:line="580" w:lineRule="exact"/>
        <w:ind w:right="112"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山东省淄博市高青县高城镇蔡旺村以北、张田路东侧部分房地产</w:t>
      </w:r>
    </w:p>
    <w:tbl>
      <w:tblPr>
        <w:tblStyle w:val="25"/>
        <w:tblW w:w="9400" w:type="dxa"/>
        <w:tblInd w:w="0" w:type="dxa"/>
        <w:tblLayout w:type="fixed"/>
        <w:tblCellMar>
          <w:top w:w="0" w:type="dxa"/>
          <w:left w:w="0" w:type="dxa"/>
          <w:bottom w:w="0" w:type="dxa"/>
          <w:right w:w="0" w:type="dxa"/>
        </w:tblCellMar>
      </w:tblPr>
      <w:tblGrid>
        <w:gridCol w:w="984"/>
        <w:gridCol w:w="1228"/>
        <w:gridCol w:w="1502"/>
        <w:gridCol w:w="631"/>
        <w:gridCol w:w="735"/>
        <w:gridCol w:w="735"/>
        <w:gridCol w:w="690"/>
        <w:gridCol w:w="915"/>
        <w:gridCol w:w="1980"/>
      </w:tblGrid>
      <w:tr>
        <w:tblPrEx>
          <w:tblLayout w:type="fixed"/>
          <w:tblCellMar>
            <w:top w:w="0" w:type="dxa"/>
            <w:left w:w="0" w:type="dxa"/>
            <w:bottom w:w="0" w:type="dxa"/>
            <w:right w:w="0" w:type="dxa"/>
          </w:tblCellMar>
        </w:tblPrEx>
        <w:trPr>
          <w:trHeight w:val="509"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房屋使用权人</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坐落</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房屋所有权证号</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建成年代</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结构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用途</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建筑面积（㎡）</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房屋状况</w:t>
            </w:r>
          </w:p>
        </w:tc>
      </w:tr>
      <w:tr>
        <w:tblPrEx>
          <w:tblLayout w:type="fixed"/>
          <w:tblCellMar>
            <w:top w:w="0" w:type="dxa"/>
            <w:left w:w="0" w:type="dxa"/>
            <w:bottom w:w="0" w:type="dxa"/>
            <w:right w:w="0" w:type="dxa"/>
          </w:tblCellMar>
        </w:tblPrEx>
        <w:trPr>
          <w:trHeight w:val="90" w:hRule="atLeast"/>
        </w:trPr>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山东青河农业科技发展股份有限公司</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高青县高城镇蔡旺村北、张田路东侧1#</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淄博市房权证高青县字第09-0038585号</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钢结构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仓储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1185.03</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外墙刷涂料，铁门，铝合金窗，水泥地面，尖顶，定稿7.37m，立柱H钢6根</w:t>
            </w:r>
          </w:p>
        </w:tc>
      </w:tr>
      <w:tr>
        <w:tblPrEx>
          <w:tblLayout w:type="fixed"/>
          <w:tblCellMar>
            <w:top w:w="0" w:type="dxa"/>
            <w:left w:w="0" w:type="dxa"/>
            <w:bottom w:w="0" w:type="dxa"/>
            <w:right w:w="0" w:type="dxa"/>
          </w:tblCellMar>
        </w:tblPrEx>
        <w:trPr>
          <w:trHeight w:val="515"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高青县高城镇蔡旺村北、张田路东侧1#北侧加建房屋</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无证</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olor w:val="000000"/>
                <w:szCs w:val="21"/>
              </w:rPr>
              <w:t>轻</w:t>
            </w:r>
            <w:r>
              <w:rPr>
                <w:rFonts w:hint="eastAsia" w:ascii="仿宋" w:hAnsi="仿宋" w:eastAsia="仿宋" w:cs="仿宋"/>
                <w:color w:val="000000"/>
                <w:kern w:val="0"/>
                <w:szCs w:val="21"/>
              </w:rPr>
              <w:t>钢</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结构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118.95</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均高5.67m，宽5.24m，长22.7m，墙只有三面，铝合金门窗，水泥地面</w:t>
            </w:r>
          </w:p>
        </w:tc>
      </w:tr>
      <w:tr>
        <w:tblPrEx>
          <w:tblLayout w:type="fixed"/>
          <w:tblCellMar>
            <w:top w:w="0" w:type="dxa"/>
            <w:left w:w="0" w:type="dxa"/>
            <w:bottom w:w="0" w:type="dxa"/>
            <w:right w:w="0" w:type="dxa"/>
          </w:tblCellMar>
        </w:tblPrEx>
        <w:trPr>
          <w:trHeight w:val="635"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高青县高城镇蔡旺村北、张田路东侧2#</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淄博市房权证高青县字第09-0038586号</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钢混</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其他</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1083.47</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地上5层，地下1层，楼梯水泥踏步，铁立柱，水泥扶手，铝合金窗，部分铁门部分铝合金门</w:t>
            </w:r>
          </w:p>
        </w:tc>
      </w:tr>
      <w:tr>
        <w:tblPrEx>
          <w:tblLayout w:type="fixed"/>
          <w:tblCellMar>
            <w:top w:w="0" w:type="dxa"/>
            <w:left w:w="0" w:type="dxa"/>
            <w:bottom w:w="0" w:type="dxa"/>
            <w:right w:w="0" w:type="dxa"/>
          </w:tblCellMar>
        </w:tblPrEx>
        <w:trPr>
          <w:trHeight w:val="90"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高青县高城镇蔡旺村北、张田路东侧2#南侧加建房屋</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无证</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olor w:val="000000"/>
                <w:szCs w:val="21"/>
              </w:rPr>
              <w:t>轻</w:t>
            </w:r>
            <w:r>
              <w:rPr>
                <w:rFonts w:hint="eastAsia" w:ascii="仿宋" w:hAnsi="仿宋" w:eastAsia="仿宋" w:cs="仿宋"/>
                <w:color w:val="000000"/>
                <w:kern w:val="0"/>
                <w:szCs w:val="21"/>
              </w:rPr>
              <w:t>钢</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结构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5.89</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彩钢板围成，铝合金窗，铁皮门，高3.12m，3面墙</w:t>
            </w:r>
          </w:p>
        </w:tc>
      </w:tr>
      <w:tr>
        <w:tblPrEx>
          <w:tblLayout w:type="fixed"/>
          <w:tblCellMar>
            <w:top w:w="0" w:type="dxa"/>
            <w:left w:w="0" w:type="dxa"/>
            <w:bottom w:w="0" w:type="dxa"/>
            <w:right w:w="0" w:type="dxa"/>
          </w:tblCellMar>
        </w:tblPrEx>
        <w:trPr>
          <w:trHeight w:val="605"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高青县高城镇蔡旺村北、张田路东侧3#</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淄博市房权证高青县字第09-0038587号</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仓储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1215.32</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室内尖顶（有4个拱），砖混立柱，水泥地面，铝合金窗，铁门</w:t>
            </w:r>
          </w:p>
        </w:tc>
      </w:tr>
      <w:tr>
        <w:tblPrEx>
          <w:tblLayout w:type="fixed"/>
          <w:tblCellMar>
            <w:top w:w="0" w:type="dxa"/>
            <w:left w:w="0" w:type="dxa"/>
            <w:bottom w:w="0" w:type="dxa"/>
            <w:right w:w="0" w:type="dxa"/>
          </w:tblCellMar>
        </w:tblPrEx>
        <w:trPr>
          <w:trHeight w:val="90"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高青县高城镇蔡旺村北、张田路东侧3#南侧加建房屋</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无证</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olor w:val="000000"/>
                <w:szCs w:val="21"/>
              </w:rPr>
              <w:t>轻</w:t>
            </w:r>
            <w:r>
              <w:rPr>
                <w:rFonts w:hint="eastAsia" w:ascii="仿宋" w:hAnsi="仿宋" w:eastAsia="仿宋" w:cs="仿宋"/>
                <w:color w:val="000000"/>
                <w:kern w:val="0"/>
                <w:szCs w:val="21"/>
              </w:rPr>
              <w:t>钢</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结构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24.19</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水泥地面，彩钢板围成，铁皮门3面墙，高3.36m</w:t>
            </w:r>
          </w:p>
        </w:tc>
      </w:tr>
      <w:tr>
        <w:tblPrEx>
          <w:tblLayout w:type="fixed"/>
          <w:tblCellMar>
            <w:top w:w="0" w:type="dxa"/>
            <w:left w:w="0" w:type="dxa"/>
            <w:bottom w:w="0" w:type="dxa"/>
            <w:right w:w="0" w:type="dxa"/>
          </w:tblCellMar>
        </w:tblPrEx>
        <w:trPr>
          <w:trHeight w:val="90"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高青县高城镇蔡旺村北、张田路东侧4#</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淄博市房权证高青县字第09-0038588号</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其他</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121.52</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水泥地面，砖混墙面，彩钢板顶</w:t>
            </w:r>
          </w:p>
        </w:tc>
      </w:tr>
      <w:tr>
        <w:tblPrEx>
          <w:tblLayout w:type="fixed"/>
          <w:tblCellMar>
            <w:top w:w="0" w:type="dxa"/>
            <w:left w:w="0" w:type="dxa"/>
            <w:bottom w:w="0" w:type="dxa"/>
            <w:right w:w="0" w:type="dxa"/>
          </w:tblCellMar>
        </w:tblPrEx>
        <w:trPr>
          <w:trHeight w:val="140"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高青县高城镇蔡旺村北、张田路东侧4#以北加建厕所</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无证</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101.61</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高2.69m，长10.07m，宽10.09m，瓷砖墙，地面瓷砖，塑钢门，彩钢顶</w:t>
            </w:r>
          </w:p>
        </w:tc>
      </w:tr>
      <w:tr>
        <w:tblPrEx>
          <w:tblLayout w:type="fixed"/>
          <w:tblCellMar>
            <w:top w:w="0" w:type="dxa"/>
            <w:left w:w="0" w:type="dxa"/>
            <w:bottom w:w="0" w:type="dxa"/>
            <w:right w:w="0" w:type="dxa"/>
          </w:tblCellMar>
        </w:tblPrEx>
        <w:trPr>
          <w:trHeight w:val="425"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高青县高城镇蔡旺村北、张田路东侧5#</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淄博市房权证高青县字第09-0038589号</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钢结构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仓储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200.47</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构筑物下部混合结构，约高17m，上部彩钢板，约高17m，尖顶，水泥地面，铁皮门</w:t>
            </w:r>
          </w:p>
        </w:tc>
      </w:tr>
      <w:tr>
        <w:tblPrEx>
          <w:tblLayout w:type="fixed"/>
          <w:tblCellMar>
            <w:top w:w="0" w:type="dxa"/>
            <w:left w:w="0" w:type="dxa"/>
            <w:bottom w:w="0" w:type="dxa"/>
            <w:right w:w="0" w:type="dxa"/>
          </w:tblCellMar>
        </w:tblPrEx>
        <w:trPr>
          <w:trHeight w:val="665"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高青县高城镇蔡旺村北、张田路东侧6#</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淄博市房权证高青县字第09-0038590号</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钢结构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仓储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200.47</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构筑物下部混合结构，约高17m，上部彩钢板，约高17m，尖顶，水泥地面，铁皮门</w:t>
            </w:r>
          </w:p>
        </w:tc>
      </w:tr>
      <w:tr>
        <w:tblPrEx>
          <w:tblLayout w:type="fixed"/>
          <w:tblCellMar>
            <w:top w:w="0" w:type="dxa"/>
            <w:left w:w="0" w:type="dxa"/>
            <w:bottom w:w="0" w:type="dxa"/>
            <w:right w:w="0" w:type="dxa"/>
          </w:tblCellMar>
        </w:tblPrEx>
        <w:trPr>
          <w:trHeight w:val="500"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val="0"/>
                <w:bCs w:val="0"/>
                <w:color w:val="000000"/>
                <w:szCs w:val="21"/>
              </w:rPr>
            </w:pPr>
            <w:r>
              <w:rPr>
                <w:rFonts w:hint="eastAsia" w:ascii="仿宋" w:hAnsi="仿宋" w:eastAsia="仿宋" w:cs="仿宋"/>
                <w:color w:val="000000"/>
                <w:kern w:val="0"/>
                <w:szCs w:val="21"/>
              </w:rPr>
              <w:t>高青县高城镇蔡旺村北、张田路东侧7#</w:t>
            </w:r>
            <w:r>
              <w:rPr>
                <w:rFonts w:hint="eastAsia" w:ascii="仿宋" w:hAnsi="仿宋" w:eastAsia="仿宋"/>
                <w:color w:val="000000"/>
                <w:szCs w:val="21"/>
                <w:lang w:eastAsia="zh-CN"/>
              </w:rPr>
              <w:t>宿舍</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无证</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2006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87.78</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外墙刷涂料，部分木窗，部分铝合金窗，2个防盗窗，吊顶，地面瓷砖，墙面部分瓷砖部分刮腻子，高3.18m，尖顶瓦房</w:t>
            </w:r>
          </w:p>
        </w:tc>
      </w:tr>
      <w:tr>
        <w:tblPrEx>
          <w:tblLayout w:type="fixed"/>
          <w:tblCellMar>
            <w:top w:w="0" w:type="dxa"/>
            <w:left w:w="0" w:type="dxa"/>
            <w:bottom w:w="0" w:type="dxa"/>
            <w:right w:w="0" w:type="dxa"/>
          </w:tblCellMar>
        </w:tblPrEx>
        <w:trPr>
          <w:trHeight w:val="1115"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高青县高城镇蔡旺村北、张田路东侧7#</w:t>
            </w:r>
            <w:r>
              <w:rPr>
                <w:rFonts w:hint="eastAsia" w:ascii="仿宋" w:hAnsi="仿宋" w:eastAsia="仿宋"/>
                <w:color w:val="000000"/>
                <w:szCs w:val="21"/>
                <w:lang w:eastAsia="zh-CN"/>
              </w:rPr>
              <w:t>宿舍</w:t>
            </w:r>
            <w:r>
              <w:rPr>
                <w:rFonts w:hint="eastAsia" w:ascii="仿宋" w:hAnsi="仿宋" w:eastAsia="仿宋" w:cs="仿宋"/>
                <w:color w:val="000000"/>
                <w:kern w:val="0"/>
                <w:szCs w:val="21"/>
              </w:rPr>
              <w:t>东侧加建厕所</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无证</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9.2</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三面墙，地面瓷砖，墙面部分瓷砖部分刮腻子，彩钢板顶，均高2.6米，铝合金窗</w:t>
            </w:r>
          </w:p>
        </w:tc>
      </w:tr>
      <w:tr>
        <w:tblPrEx>
          <w:tblLayout w:type="fixed"/>
          <w:tblCellMar>
            <w:top w:w="0" w:type="dxa"/>
            <w:left w:w="0" w:type="dxa"/>
            <w:bottom w:w="0" w:type="dxa"/>
            <w:right w:w="0" w:type="dxa"/>
          </w:tblCellMar>
        </w:tblPrEx>
        <w:trPr>
          <w:trHeight w:val="890"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高青县高城镇蔡旺村北、张田路东侧5#以北加建铁皮房</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无证</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olor w:val="000000"/>
                <w:szCs w:val="21"/>
              </w:rPr>
              <w:t>轻</w:t>
            </w:r>
            <w:r>
              <w:rPr>
                <w:rFonts w:hint="eastAsia" w:ascii="仿宋" w:hAnsi="仿宋" w:eastAsia="仿宋" w:cs="仿宋"/>
                <w:color w:val="000000"/>
                <w:kern w:val="0"/>
                <w:szCs w:val="21"/>
              </w:rPr>
              <w:t>钢</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结构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87.99</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高4.63m，长13.62m，宽6.46m，无门无窗，彩钢板围成</w:t>
            </w:r>
          </w:p>
        </w:tc>
      </w:tr>
      <w:tr>
        <w:tblPrEx>
          <w:tblLayout w:type="fixed"/>
          <w:tblCellMar>
            <w:top w:w="0" w:type="dxa"/>
            <w:left w:w="0" w:type="dxa"/>
            <w:bottom w:w="0" w:type="dxa"/>
            <w:right w:w="0" w:type="dxa"/>
          </w:tblCellMar>
        </w:tblPrEx>
        <w:trPr>
          <w:trHeight w:val="428"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高青县高城镇蔡旺村北、张田路东侧停车棚</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无证</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2012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olor w:val="000000"/>
                <w:szCs w:val="21"/>
              </w:rPr>
              <w:t>轻</w:t>
            </w:r>
            <w:r>
              <w:rPr>
                <w:rFonts w:hint="eastAsia" w:ascii="仿宋" w:hAnsi="仿宋" w:eastAsia="仿宋" w:cs="仿宋"/>
                <w:color w:val="000000"/>
                <w:kern w:val="0"/>
                <w:szCs w:val="21"/>
              </w:rPr>
              <w:t>钢</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结构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140.4</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彩钢铁皮顶，铁管承重柱</w:t>
            </w:r>
          </w:p>
        </w:tc>
      </w:tr>
      <w:tr>
        <w:tblPrEx>
          <w:tblLayout w:type="fixed"/>
          <w:tblCellMar>
            <w:top w:w="0" w:type="dxa"/>
            <w:left w:w="0" w:type="dxa"/>
            <w:bottom w:w="0" w:type="dxa"/>
            <w:right w:w="0" w:type="dxa"/>
          </w:tblCellMar>
        </w:tblPrEx>
        <w:trPr>
          <w:trHeight w:val="738"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高青县高城镇蔡旺村北、张田路东侧院子门口办公室</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无证</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Cs w:val="21"/>
              </w:rPr>
            </w:pPr>
            <w:r>
              <w:rPr>
                <w:rFonts w:hint="eastAsia" w:ascii="仿宋" w:hAnsi="仿宋" w:eastAsia="仿宋"/>
                <w:color w:val="000000"/>
                <w:szCs w:val="21"/>
              </w:rPr>
              <w:t>2012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混合</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Cs w:val="21"/>
              </w:rPr>
            </w:pPr>
            <w:r>
              <w:rPr>
                <w:rFonts w:hint="eastAsia" w:ascii="仿宋" w:hAnsi="仿宋" w:eastAsia="仿宋"/>
                <w:color w:val="000000"/>
                <w:szCs w:val="21"/>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193.28</w:t>
            </w:r>
          </w:p>
        </w:tc>
        <w:tc>
          <w:tcPr>
            <w:tcW w:w="19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内高2.86</w:t>
            </w:r>
            <w:r>
              <w:rPr>
                <w:rFonts w:ascii="仿宋" w:hAnsi="仿宋" w:eastAsia="仿宋" w:cs="仿宋"/>
                <w:color w:val="000000"/>
                <w:szCs w:val="21"/>
              </w:rPr>
              <w:t>m</w:t>
            </w:r>
            <w:r>
              <w:rPr>
                <w:rFonts w:hint="eastAsia" w:ascii="仿宋" w:hAnsi="仿宋" w:eastAsia="仿宋" w:cs="仿宋"/>
                <w:color w:val="000000"/>
                <w:szCs w:val="21"/>
              </w:rPr>
              <w:t>，彩钢屋顶，内墙乳胶漆，瓷砖地面</w:t>
            </w:r>
          </w:p>
        </w:tc>
      </w:tr>
    </w:tbl>
    <w:p>
      <w:pPr>
        <w:pStyle w:val="22"/>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80" w:lineRule="exact"/>
        <w:ind w:left="4" w:right="112" w:firstLine="795" w:firstLineChars="297"/>
        <w:textAlignment w:val="baseline"/>
        <w:rPr>
          <w:rFonts w:ascii="微软雅黑" w:hAnsi="微软雅黑" w:eastAsia="微软雅黑" w:cs="微软雅黑"/>
          <w:sz w:val="16"/>
          <w:szCs w:val="16"/>
        </w:rPr>
      </w:pPr>
      <w:bookmarkStart w:id="17" w:name="_Toc323216544"/>
      <w:r>
        <w:rPr>
          <w:rFonts w:hint="eastAsia" w:ascii="仿宋" w:hAnsi="仿宋" w:eastAsia="仿宋" w:cs="仿宋"/>
          <w:spacing w:val="-6"/>
          <w:sz w:val="28"/>
          <w:szCs w:val="28"/>
        </w:rPr>
        <w:t>5</w:t>
      </w:r>
      <w:r>
        <w:rPr>
          <w:rFonts w:ascii="仿宋" w:hAnsi="仿宋" w:eastAsia="仿宋" w:cs="仿宋"/>
          <w:spacing w:val="-6"/>
          <w:sz w:val="28"/>
          <w:szCs w:val="28"/>
        </w:rPr>
        <w:t>、地理位置与周围环境</w:t>
      </w:r>
    </w:p>
    <w:p>
      <w:pPr>
        <w:pStyle w:val="51"/>
        <w:keepNext w:val="0"/>
        <w:keepLines w:val="0"/>
        <w:pageBreakBefore w:val="0"/>
        <w:kinsoku/>
        <w:wordWrap/>
        <w:overflowPunct/>
        <w:topLinePunct w:val="0"/>
        <w:autoSpaceDE/>
        <w:autoSpaceDN/>
        <w:bidi w:val="0"/>
        <w:adjustRightInd/>
        <w:snapToGrid/>
        <w:spacing w:line="580" w:lineRule="exact"/>
        <w:ind w:firstLine="570"/>
        <w:rPr>
          <w:rFonts w:ascii="仿宋" w:hAnsi="仿宋" w:cs="仿宋"/>
          <w:szCs w:val="28"/>
        </w:rPr>
      </w:pPr>
      <w:r>
        <w:rPr>
          <w:rFonts w:hint="eastAsia" w:ascii="仿宋" w:hAnsi="仿宋" w:eastAsia="仿宋" w:cs="仿宋"/>
          <w:bCs/>
          <w:spacing w:val="11"/>
          <w:sz w:val="28"/>
          <w:szCs w:val="28"/>
        </w:rPr>
        <w:t>评估对象位于</w:t>
      </w:r>
      <w:r>
        <w:rPr>
          <w:rFonts w:hint="eastAsia" w:ascii="仿宋" w:hAnsi="仿宋" w:eastAsia="仿宋" w:cs="仿宋"/>
          <w:color w:val="000000"/>
          <w:sz w:val="28"/>
          <w:szCs w:val="28"/>
        </w:rPr>
        <w:t>高城镇蔡旺村以北、张田路东侧</w:t>
      </w:r>
      <w:r>
        <w:rPr>
          <w:rFonts w:hint="eastAsia" w:ascii="仿宋" w:hAnsi="仿宋" w:eastAsia="仿宋" w:cs="仿宋"/>
          <w:bCs/>
          <w:spacing w:val="11"/>
          <w:sz w:val="28"/>
          <w:szCs w:val="28"/>
        </w:rPr>
        <w:t>，靠近高淄路，交通便捷度较高；评估对象距高青台湾工业园2.7公里，周围有山东鲁农种业股份有限公司、淄博德顺机电设备有限公司等，周围工业企业较多，但产业集聚度较好；产业管制一般，自然条件好，地质条件有利于开发建设；供水、排水、供电等基础设施较完备，能够满足企业生产的基本需求；区域土地开发程度达到</w:t>
      </w:r>
      <w:r>
        <w:rPr>
          <w:rFonts w:hint="eastAsia" w:ascii="仿宋" w:hAnsi="仿宋" w:eastAsia="仿宋" w:cs="仿宋"/>
          <w:sz w:val="28"/>
          <w:szCs w:val="28"/>
        </w:rPr>
        <w:t>“五通一平”（</w:t>
      </w:r>
      <w:r>
        <w:rPr>
          <w:rFonts w:hint="eastAsia" w:ascii="仿宋" w:hAnsi="仿宋" w:eastAsia="仿宋"/>
          <w:sz w:val="28"/>
          <w:szCs w:val="28"/>
        </w:rPr>
        <w:t>包括</w:t>
      </w:r>
      <w:r>
        <w:rPr>
          <w:rFonts w:hint="eastAsia" w:ascii="仿宋" w:hAnsi="仿宋" w:eastAsia="仿宋" w:cs="仿宋"/>
          <w:sz w:val="28"/>
          <w:szCs w:val="28"/>
        </w:rPr>
        <w:t>通上水、通下水、</w:t>
      </w:r>
      <w:r>
        <w:rPr>
          <w:rFonts w:hint="eastAsia" w:ascii="仿宋" w:hAnsi="仿宋" w:eastAsia="仿宋"/>
          <w:sz w:val="28"/>
          <w:szCs w:val="28"/>
        </w:rPr>
        <w:t>通路、</w:t>
      </w:r>
      <w:r>
        <w:rPr>
          <w:rFonts w:ascii="仿宋" w:hAnsi="仿宋" w:eastAsia="仿宋"/>
          <w:sz w:val="28"/>
          <w:szCs w:val="28"/>
        </w:rPr>
        <w:t>通电、通讯</w:t>
      </w:r>
      <w:r>
        <w:rPr>
          <w:rFonts w:hint="eastAsia" w:ascii="仿宋" w:hAnsi="仿宋" w:eastAsia="仿宋"/>
          <w:sz w:val="28"/>
          <w:szCs w:val="28"/>
        </w:rPr>
        <w:t>及</w:t>
      </w:r>
      <w:r>
        <w:rPr>
          <w:rFonts w:hint="eastAsia" w:ascii="仿宋" w:hAnsi="仿宋" w:eastAsia="仿宋"/>
          <w:sz w:val="28"/>
        </w:rPr>
        <w:t>土地平整</w:t>
      </w:r>
      <w:r>
        <w:rPr>
          <w:rFonts w:hint="eastAsia" w:ascii="仿宋" w:hAnsi="仿宋" w:eastAsia="仿宋" w:cs="仿宋"/>
          <w:sz w:val="28"/>
          <w:szCs w:val="28"/>
        </w:rPr>
        <w:t>）</w:t>
      </w:r>
      <w:r>
        <w:rPr>
          <w:rFonts w:hint="eastAsia" w:ascii="仿宋" w:hAnsi="仿宋" w:eastAsia="仿宋" w:cs="仿宋"/>
          <w:bCs/>
          <w:spacing w:val="11"/>
          <w:sz w:val="28"/>
          <w:szCs w:val="28"/>
        </w:rPr>
        <w:t>,基础设施一般，公共设施完善度一般；评估对象院内可停放车辆，停车方便程度较高。</w:t>
      </w:r>
    </w:p>
    <w:p>
      <w:pPr>
        <w:pStyle w:val="3"/>
        <w:pageBreakBefore w:val="0"/>
        <w:widowControl w:val="0"/>
        <w:kinsoku/>
        <w:wordWrap/>
        <w:overflowPunct/>
        <w:topLinePunct w:val="0"/>
        <w:autoSpaceDE/>
        <w:autoSpaceDN/>
        <w:bidi w:val="0"/>
        <w:adjustRightInd/>
        <w:spacing w:line="580" w:lineRule="exact"/>
        <w:ind w:left="105" w:leftChars="50" w:right="105" w:rightChars="50" w:firstLine="562" w:firstLineChars="200"/>
        <w:contextualSpacing/>
        <w:textAlignment w:val="auto"/>
        <w:rPr>
          <w:rFonts w:ascii="仿宋" w:hAnsi="仿宋" w:cs="仿宋"/>
          <w:szCs w:val="28"/>
        </w:rPr>
      </w:pPr>
      <w:bookmarkStart w:id="18" w:name="_Toc15120706"/>
      <w:r>
        <w:rPr>
          <w:rFonts w:hint="eastAsia" w:ascii="仿宋" w:hAnsi="仿宋" w:cs="仿宋"/>
          <w:szCs w:val="28"/>
        </w:rPr>
        <w:t>五、价值时点</w:t>
      </w:r>
      <w:bookmarkEnd w:id="17"/>
      <w:bookmarkEnd w:id="18"/>
    </w:p>
    <w:p>
      <w:pPr>
        <w:pStyle w:val="11"/>
        <w:pageBreakBefore w:val="0"/>
        <w:widowControl w:val="0"/>
        <w:kinsoku/>
        <w:wordWrap/>
        <w:overflowPunct/>
        <w:topLinePunct w:val="0"/>
        <w:autoSpaceDE/>
        <w:autoSpaceDN/>
        <w:bidi w:val="0"/>
        <w:adjustRightInd/>
        <w:snapToGrid w:val="0"/>
        <w:spacing w:line="580" w:lineRule="exact"/>
        <w:ind w:left="5" w:right="105" w:rightChars="50" w:firstLine="518" w:firstLineChars="185"/>
        <w:jc w:val="left"/>
        <w:textAlignment w:val="auto"/>
        <w:rPr>
          <w:rFonts w:ascii="仿宋" w:hAnsi="仿宋" w:eastAsia="仿宋" w:cs="仿宋"/>
          <w:sz w:val="28"/>
          <w:szCs w:val="28"/>
        </w:rPr>
      </w:pPr>
      <w:r>
        <w:rPr>
          <w:rFonts w:hint="eastAsia" w:ascii="仿宋" w:hAnsi="仿宋" w:eastAsia="仿宋" w:cs="仿宋"/>
          <w:sz w:val="28"/>
          <w:szCs w:val="28"/>
        </w:rPr>
        <w:t>价值时点确定为注册房地产估价师实地查勘完成之日2019年7月11日。</w:t>
      </w:r>
    </w:p>
    <w:p>
      <w:pPr>
        <w:pStyle w:val="3"/>
        <w:pageBreakBefore w:val="0"/>
        <w:kinsoku/>
        <w:wordWrap/>
        <w:overflowPunct/>
        <w:topLinePunct w:val="0"/>
        <w:autoSpaceDE/>
        <w:autoSpaceDN/>
        <w:bidi w:val="0"/>
        <w:spacing w:line="580" w:lineRule="exact"/>
        <w:ind w:left="105" w:leftChars="50" w:right="105" w:rightChars="50" w:firstLine="562" w:firstLineChars="200"/>
        <w:contextualSpacing/>
        <w:rPr>
          <w:rFonts w:ascii="仿宋" w:hAnsi="仿宋" w:cs="仿宋"/>
          <w:szCs w:val="28"/>
        </w:rPr>
      </w:pPr>
      <w:bookmarkStart w:id="19" w:name="_Toc323216545"/>
      <w:bookmarkStart w:id="20" w:name="_Toc15120707"/>
      <w:r>
        <w:rPr>
          <w:rFonts w:hint="eastAsia" w:ascii="仿宋" w:hAnsi="仿宋" w:cs="仿宋"/>
          <w:szCs w:val="28"/>
        </w:rPr>
        <w:t>六、价值</w:t>
      </w:r>
      <w:bookmarkEnd w:id="19"/>
      <w:r>
        <w:rPr>
          <w:rFonts w:hint="eastAsia" w:ascii="仿宋" w:hAnsi="仿宋" w:cs="仿宋"/>
          <w:szCs w:val="28"/>
        </w:rPr>
        <w:t>类型</w:t>
      </w:r>
      <w:bookmarkEnd w:id="20"/>
    </w:p>
    <w:p>
      <w:pPr>
        <w:pageBreakBefore w:val="0"/>
        <w:tabs>
          <w:tab w:val="left" w:pos="1985"/>
          <w:tab w:val="left" w:pos="3402"/>
        </w:tabs>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bookmarkStart w:id="21" w:name="_Toc323216546"/>
      <w:r>
        <w:rPr>
          <w:rFonts w:hint="eastAsia" w:ascii="仿宋" w:hAnsi="仿宋" w:eastAsia="仿宋" w:cs="仿宋"/>
          <w:sz w:val="28"/>
          <w:szCs w:val="28"/>
        </w:rPr>
        <w:t>本次评估的价值类型是房地产市场价值。</w:t>
      </w:r>
    </w:p>
    <w:p>
      <w:pPr>
        <w:pageBreakBefore w:val="0"/>
        <w:tabs>
          <w:tab w:val="left" w:pos="1985"/>
          <w:tab w:val="left" w:pos="3402"/>
        </w:tabs>
        <w:kinsoku/>
        <w:wordWrap/>
        <w:overflowPunct/>
        <w:topLinePunct w:val="0"/>
        <w:autoSpaceDE/>
        <w:autoSpaceDN/>
        <w:bidi w:val="0"/>
        <w:snapToGrid w:val="0"/>
        <w:spacing w:line="580" w:lineRule="exact"/>
        <w:ind w:right="105" w:rightChars="50" w:firstLine="560" w:firstLineChars="200"/>
        <w:rPr>
          <w:rFonts w:ascii="仿宋" w:hAnsi="仿宋" w:eastAsia="仿宋" w:cs="仿宋"/>
          <w:b/>
          <w:sz w:val="28"/>
          <w:szCs w:val="28"/>
        </w:rPr>
      </w:pPr>
      <w:r>
        <w:rPr>
          <w:rFonts w:hint="eastAsia" w:ascii="仿宋" w:hAnsi="仿宋" w:eastAsia="仿宋" w:cs="仿宋"/>
          <w:sz w:val="28"/>
          <w:szCs w:val="28"/>
        </w:rPr>
        <w:t>根据《房地产评估基本术语标准》（GB/T50291-2013）第3.0.5条：市场价值定义为评估对象经适当营销后，有熟悉情况、谨慎行事且不受压迫的交易双方，以公平交易方式在价值时点自愿进行交易的金额。</w:t>
      </w:r>
    </w:p>
    <w:p>
      <w:pPr>
        <w:pStyle w:val="11"/>
        <w:pageBreakBefore w:val="0"/>
        <w:kinsoku/>
        <w:wordWrap/>
        <w:overflowPunct/>
        <w:topLinePunct w:val="0"/>
        <w:autoSpaceDE/>
        <w:autoSpaceDN/>
        <w:bidi w:val="0"/>
        <w:spacing w:line="580" w:lineRule="exact"/>
        <w:ind w:right="105" w:rightChars="50" w:firstLine="560" w:firstLineChars="200"/>
        <w:jc w:val="left"/>
        <w:rPr>
          <w:rFonts w:ascii="仿宋" w:hAnsi="仿宋" w:eastAsia="仿宋" w:cs="仿宋"/>
          <w:sz w:val="28"/>
          <w:szCs w:val="28"/>
        </w:rPr>
      </w:pPr>
      <w:r>
        <w:rPr>
          <w:rFonts w:hint="eastAsia" w:ascii="仿宋" w:hAnsi="仿宋" w:eastAsia="仿宋" w:cs="仿宋"/>
          <w:sz w:val="28"/>
          <w:szCs w:val="28"/>
        </w:rPr>
        <w:t>此次评估的评估对象</w:t>
      </w:r>
      <w:r>
        <w:rPr>
          <w:rFonts w:hint="eastAsia" w:ascii="仿宋" w:hAnsi="仿宋" w:eastAsia="仿宋" w:cs="宋体"/>
          <w:kern w:val="0"/>
          <w:sz w:val="28"/>
          <w:szCs w:val="28"/>
        </w:rPr>
        <w:t>山东青河农业科技发展股份有限公司</w:t>
      </w:r>
      <w:r>
        <w:rPr>
          <w:rFonts w:hint="eastAsia" w:ascii="仿宋" w:hAnsi="仿宋" w:eastAsia="仿宋"/>
          <w:sz w:val="28"/>
          <w:szCs w:val="28"/>
        </w:rPr>
        <w:t>所拥有的坐落于</w:t>
      </w:r>
      <w:r>
        <w:rPr>
          <w:rFonts w:hint="eastAsia" w:ascii="仿宋" w:hAnsi="仿宋" w:eastAsia="仿宋" w:cs="仿宋"/>
          <w:color w:val="000000"/>
          <w:sz w:val="28"/>
          <w:szCs w:val="28"/>
        </w:rPr>
        <w:t>山东省淄博市高青县高城镇蔡旺村以北、张田路东侧部分</w:t>
      </w:r>
      <w:r>
        <w:rPr>
          <w:rFonts w:hint="eastAsia" w:ascii="仿宋" w:hAnsi="仿宋" w:eastAsia="仿宋"/>
          <w:sz w:val="28"/>
          <w:szCs w:val="28"/>
        </w:rPr>
        <w:t>房地产，总建筑面积为</w:t>
      </w:r>
      <w:r>
        <w:rPr>
          <w:rFonts w:hint="eastAsia" w:ascii="仿宋" w:hAnsi="仿宋" w:eastAsia="仿宋" w:cs="仿宋"/>
          <w:color w:val="000000"/>
          <w:sz w:val="28"/>
          <w:szCs w:val="28"/>
        </w:rPr>
        <w:t>4808.33</w:t>
      </w:r>
      <w:r>
        <w:rPr>
          <w:rFonts w:hint="eastAsia" w:ascii="仿宋" w:hAnsi="仿宋" w:eastAsia="仿宋"/>
          <w:sz w:val="28"/>
          <w:szCs w:val="28"/>
        </w:rPr>
        <w:t>㎡，</w:t>
      </w:r>
      <w:r>
        <w:rPr>
          <w:rFonts w:hint="eastAsia" w:ascii="仿宋" w:hAnsi="仿宋" w:eastAsia="仿宋" w:cs="仿宋"/>
          <w:sz w:val="28"/>
          <w:szCs w:val="28"/>
        </w:rPr>
        <w:t>于价值时点2019年7月11日的房地产市场价值。</w:t>
      </w:r>
    </w:p>
    <w:p>
      <w:pPr>
        <w:pStyle w:val="3"/>
        <w:pageBreakBefore w:val="0"/>
        <w:kinsoku/>
        <w:wordWrap/>
        <w:overflowPunct/>
        <w:topLinePunct w:val="0"/>
        <w:autoSpaceDE/>
        <w:autoSpaceDN/>
        <w:bidi w:val="0"/>
        <w:spacing w:line="580" w:lineRule="exact"/>
        <w:ind w:left="105" w:leftChars="50" w:right="105" w:rightChars="50" w:firstLine="562" w:firstLineChars="200"/>
        <w:contextualSpacing/>
        <w:rPr>
          <w:rFonts w:ascii="仿宋" w:hAnsi="仿宋" w:cs="仿宋"/>
          <w:szCs w:val="28"/>
        </w:rPr>
      </w:pPr>
      <w:bookmarkStart w:id="22" w:name="_Toc15120708"/>
      <w:r>
        <w:rPr>
          <w:rFonts w:hint="eastAsia" w:ascii="仿宋" w:hAnsi="仿宋" w:cs="仿宋"/>
          <w:szCs w:val="28"/>
        </w:rPr>
        <w:t>七、</w:t>
      </w:r>
      <w:r>
        <w:rPr>
          <w:rFonts w:hint="eastAsia" w:ascii="仿宋" w:hAnsi="仿宋"/>
          <w:szCs w:val="28"/>
        </w:rPr>
        <w:t>评估</w:t>
      </w:r>
      <w:r>
        <w:rPr>
          <w:rFonts w:hint="eastAsia" w:ascii="仿宋" w:hAnsi="仿宋" w:cs="仿宋"/>
          <w:szCs w:val="28"/>
        </w:rPr>
        <w:t>原则</w:t>
      </w:r>
      <w:bookmarkEnd w:id="21"/>
      <w:bookmarkEnd w:id="22"/>
    </w:p>
    <w:p>
      <w:pPr>
        <w:pStyle w:val="11"/>
        <w:pageBreakBefore w:val="0"/>
        <w:kinsoku/>
        <w:wordWrap/>
        <w:overflowPunct/>
        <w:topLinePunct w:val="0"/>
        <w:autoSpaceDE/>
        <w:autoSpaceDN/>
        <w:bidi w:val="0"/>
        <w:adjustRightInd w:val="0"/>
        <w:snapToGrid w:val="0"/>
        <w:spacing w:line="580" w:lineRule="exact"/>
        <w:ind w:right="105" w:rightChars="50"/>
        <w:jc w:val="left"/>
        <w:rPr>
          <w:rFonts w:hint="eastAsia" w:ascii="仿宋" w:hAnsi="仿宋" w:eastAsia="仿宋" w:cs="仿宋"/>
          <w:sz w:val="28"/>
          <w:szCs w:val="28"/>
        </w:rPr>
      </w:pPr>
      <w:r>
        <w:rPr>
          <w:rFonts w:hint="eastAsia" w:ascii="仿宋" w:hAnsi="仿宋" w:eastAsia="仿宋" w:cs="仿宋"/>
          <w:sz w:val="28"/>
          <w:szCs w:val="28"/>
        </w:rPr>
        <w:t xml:space="preserve">   （1）客观、独立、公正原则：要求站在中立的立场上，实事求是、公平正直地评估出对各方</w:t>
      </w:r>
      <w:r>
        <w:rPr>
          <w:rFonts w:hint="eastAsia" w:ascii="仿宋" w:hAnsi="仿宋" w:eastAsia="仿宋"/>
          <w:sz w:val="28"/>
          <w:szCs w:val="28"/>
        </w:rPr>
        <w:t>评估</w:t>
      </w:r>
      <w:r>
        <w:rPr>
          <w:rFonts w:hint="eastAsia" w:ascii="仿宋" w:hAnsi="仿宋" w:eastAsia="仿宋" w:cs="仿宋"/>
          <w:sz w:val="28"/>
          <w:szCs w:val="28"/>
        </w:rPr>
        <w:t>利害关系人均是公平合理的价值或价格的原则。</w:t>
      </w:r>
      <w:r>
        <w:rPr>
          <w:rFonts w:hint="eastAsia" w:ascii="仿宋" w:hAnsi="仿宋" w:eastAsia="仿宋" w:cs="仿宋"/>
          <w:sz w:val="28"/>
          <w:szCs w:val="28"/>
        </w:rPr>
        <w:br w:type="textWrapping"/>
      </w:r>
      <w:r>
        <w:rPr>
          <w:rFonts w:hint="eastAsia" w:ascii="仿宋" w:hAnsi="仿宋" w:eastAsia="仿宋" w:cs="仿宋"/>
          <w:sz w:val="28"/>
          <w:szCs w:val="28"/>
        </w:rPr>
        <w:t xml:space="preserve">   （2）合法原则：要求</w:t>
      </w:r>
      <w:r>
        <w:rPr>
          <w:rFonts w:hint="eastAsia" w:ascii="仿宋" w:hAnsi="仿宋" w:eastAsia="仿宋"/>
          <w:sz w:val="28"/>
          <w:szCs w:val="28"/>
        </w:rPr>
        <w:t>评估</w:t>
      </w:r>
      <w:r>
        <w:rPr>
          <w:rFonts w:hint="eastAsia" w:ascii="仿宋" w:hAnsi="仿宋" w:eastAsia="仿宋" w:cs="仿宋"/>
          <w:sz w:val="28"/>
          <w:szCs w:val="28"/>
        </w:rPr>
        <w:t>结果是在依法判定的评估对象状况下的价值或价格的原则。</w:t>
      </w:r>
      <w:r>
        <w:rPr>
          <w:rFonts w:hint="eastAsia" w:ascii="仿宋" w:hAnsi="仿宋" w:eastAsia="仿宋" w:cs="仿宋"/>
          <w:sz w:val="28"/>
          <w:szCs w:val="28"/>
        </w:rPr>
        <w:br w:type="textWrapping"/>
      </w:r>
      <w:r>
        <w:rPr>
          <w:rFonts w:hint="eastAsia" w:ascii="仿宋" w:hAnsi="仿宋" w:eastAsia="仿宋" w:cs="仿宋"/>
          <w:sz w:val="28"/>
          <w:szCs w:val="28"/>
        </w:rPr>
        <w:t xml:space="preserve">   （3）价值时点原则：要求</w:t>
      </w:r>
      <w:r>
        <w:rPr>
          <w:rFonts w:hint="eastAsia" w:ascii="仿宋" w:hAnsi="仿宋" w:eastAsia="仿宋"/>
          <w:sz w:val="28"/>
          <w:szCs w:val="28"/>
        </w:rPr>
        <w:t>评估</w:t>
      </w:r>
      <w:r>
        <w:rPr>
          <w:rFonts w:hint="eastAsia" w:ascii="仿宋" w:hAnsi="仿宋" w:eastAsia="仿宋" w:cs="仿宋"/>
          <w:sz w:val="28"/>
          <w:szCs w:val="28"/>
        </w:rPr>
        <w:t>结果是在根据评估目的确定的某一特定时间的价值或价格的原则。</w:t>
      </w:r>
      <w:r>
        <w:rPr>
          <w:rFonts w:hint="eastAsia" w:ascii="仿宋" w:hAnsi="仿宋" w:eastAsia="仿宋" w:cs="仿宋"/>
          <w:sz w:val="28"/>
          <w:szCs w:val="28"/>
        </w:rPr>
        <w:br w:type="textWrapping"/>
      </w:r>
      <w:r>
        <w:rPr>
          <w:rFonts w:hint="eastAsia" w:ascii="仿宋" w:hAnsi="仿宋" w:eastAsia="仿宋" w:cs="仿宋"/>
          <w:sz w:val="28"/>
          <w:szCs w:val="28"/>
        </w:rPr>
        <w:t xml:space="preserve">   （4）替代原则：要求</w:t>
      </w:r>
      <w:r>
        <w:rPr>
          <w:rFonts w:hint="eastAsia" w:ascii="仿宋" w:hAnsi="仿宋" w:eastAsia="仿宋"/>
          <w:sz w:val="28"/>
          <w:szCs w:val="28"/>
        </w:rPr>
        <w:t>评估</w:t>
      </w:r>
      <w:r>
        <w:rPr>
          <w:rFonts w:hint="eastAsia" w:ascii="仿宋" w:hAnsi="仿宋" w:eastAsia="仿宋" w:cs="仿宋"/>
          <w:sz w:val="28"/>
          <w:szCs w:val="28"/>
        </w:rPr>
        <w:t>结果与评估对象的类似房地产在同等条件下的价值或者价格偏差在合理范围内的原则。</w:t>
      </w:r>
    </w:p>
    <w:p>
      <w:pPr>
        <w:pStyle w:val="11"/>
        <w:pageBreakBefore w:val="0"/>
        <w:kinsoku/>
        <w:wordWrap/>
        <w:overflowPunct/>
        <w:topLinePunct w:val="0"/>
        <w:autoSpaceDE/>
        <w:autoSpaceDN/>
        <w:bidi w:val="0"/>
        <w:adjustRightInd w:val="0"/>
        <w:snapToGrid w:val="0"/>
        <w:spacing w:line="580" w:lineRule="exact"/>
        <w:ind w:right="105" w:rightChars="5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_GB2312" w:hAnsi="仿宋_GB2312" w:eastAsia="仿宋_GB2312" w:cs="仿宋_GB2312"/>
          <w:spacing w:val="-6"/>
          <w:sz w:val="28"/>
          <w:szCs w:val="28"/>
        </w:rPr>
        <w:t>最高最佳利用原则：要求估价结果是在估价对象最高最佳利用状况下的价值或价格的原则。最高最佳利用：房地产在法律上允许、技术上可能、财务上可行并使价值最大的合理、可能的利用，包括最佳的用途、规模、档次等。</w:t>
      </w:r>
    </w:p>
    <w:p>
      <w:pPr>
        <w:pStyle w:val="3"/>
        <w:pageBreakBefore w:val="0"/>
        <w:kinsoku/>
        <w:wordWrap/>
        <w:overflowPunct/>
        <w:topLinePunct w:val="0"/>
        <w:autoSpaceDE/>
        <w:autoSpaceDN/>
        <w:bidi w:val="0"/>
        <w:spacing w:line="580" w:lineRule="exact"/>
        <w:ind w:left="105" w:leftChars="50" w:right="105" w:rightChars="50" w:firstLine="562" w:firstLineChars="200"/>
        <w:contextualSpacing/>
        <w:rPr>
          <w:rFonts w:ascii="仿宋" w:hAnsi="仿宋" w:cs="仿宋"/>
          <w:szCs w:val="28"/>
        </w:rPr>
      </w:pPr>
      <w:bookmarkStart w:id="23" w:name="_Toc15120709"/>
      <w:r>
        <w:rPr>
          <w:rFonts w:hint="eastAsia" w:ascii="仿宋" w:hAnsi="仿宋" w:cs="仿宋"/>
          <w:szCs w:val="28"/>
        </w:rPr>
        <w:t>八、</w:t>
      </w:r>
      <w:r>
        <w:rPr>
          <w:rFonts w:hint="eastAsia" w:ascii="仿宋" w:hAnsi="仿宋"/>
          <w:szCs w:val="28"/>
        </w:rPr>
        <w:t>评估</w:t>
      </w:r>
      <w:r>
        <w:rPr>
          <w:rFonts w:hint="eastAsia" w:ascii="仿宋" w:hAnsi="仿宋" w:cs="仿宋"/>
          <w:szCs w:val="28"/>
        </w:rPr>
        <w:t>依据</w:t>
      </w:r>
      <w:bookmarkEnd w:id="23"/>
    </w:p>
    <w:p>
      <w:pPr>
        <w:pStyle w:val="6"/>
        <w:pageBreakBefore w:val="0"/>
        <w:kinsoku/>
        <w:wordWrap/>
        <w:overflowPunct/>
        <w:topLinePunct w:val="0"/>
        <w:autoSpaceDE/>
        <w:autoSpaceDN/>
        <w:bidi w:val="0"/>
        <w:spacing w:line="580" w:lineRule="exact"/>
        <w:ind w:firstLine="420" w:firstLineChars="150"/>
        <w:rPr>
          <w:rFonts w:ascii="仿宋" w:hAnsi="仿宋" w:eastAsia="仿宋"/>
          <w:sz w:val="28"/>
        </w:rPr>
      </w:pPr>
      <w:bookmarkStart w:id="24" w:name="_Toc323216547"/>
      <w:bookmarkStart w:id="25" w:name="_Toc309572402"/>
      <w:r>
        <w:rPr>
          <w:rFonts w:hint="eastAsia" w:ascii="仿宋" w:hAnsi="仿宋" w:eastAsia="仿宋"/>
          <w:sz w:val="28"/>
          <w:szCs w:val="28"/>
        </w:rPr>
        <w:t>（一）</w:t>
      </w:r>
      <w:r>
        <w:rPr>
          <w:rFonts w:hint="eastAsia" w:ascii="仿宋" w:hAnsi="仿宋" w:eastAsia="仿宋"/>
          <w:sz w:val="28"/>
        </w:rPr>
        <w:t>本次评估所依据的有关法律、法规和政策文件；</w:t>
      </w:r>
    </w:p>
    <w:p>
      <w:pPr>
        <w:pStyle w:val="6"/>
        <w:pageBreakBefore w:val="0"/>
        <w:kinsoku/>
        <w:wordWrap/>
        <w:overflowPunct/>
        <w:topLinePunct w:val="0"/>
        <w:autoSpaceDE/>
        <w:autoSpaceDN/>
        <w:bidi w:val="0"/>
        <w:snapToGrid w:val="0"/>
        <w:spacing w:line="580" w:lineRule="exact"/>
        <w:ind w:firstLine="420" w:firstLineChars="150"/>
        <w:rPr>
          <w:rFonts w:ascii="仿宋" w:hAnsi="仿宋" w:eastAsia="仿宋"/>
          <w:sz w:val="28"/>
          <w:szCs w:val="28"/>
        </w:rPr>
      </w:pPr>
      <w:r>
        <w:rPr>
          <w:rFonts w:hint="eastAsia" w:ascii="仿宋" w:hAnsi="仿宋" w:eastAsia="仿宋"/>
          <w:sz w:val="28"/>
        </w:rPr>
        <w:t xml:space="preserve"> 1、</w:t>
      </w:r>
      <w:r>
        <w:rPr>
          <w:rFonts w:hint="eastAsia" w:ascii="仿宋" w:hAnsi="仿宋" w:eastAsia="仿宋" w:cs="仿宋"/>
          <w:sz w:val="28"/>
          <w:szCs w:val="28"/>
        </w:rPr>
        <w:t>《中华人民共和国资产评估法》；</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2、《中华人民共和国城市房地产管理法》；</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3、《中华人民共和国土地管理法》；</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4、《中华人民共和国担保法》；</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5、《全国人民代表大会常务委员会关于司法鉴定管理问题的决定》；</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6、《中华人民共和国物权法》及最高人民法院的司法解释；</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7、《不动产登记暂行条例》；</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8、《不动产登记暂行条例实施细则》；</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9、《人民法院委托评估工作规范》；</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_GB2312" w:hAnsi="仿宋" w:eastAsia="仿宋_GB2312"/>
          <w:sz w:val="28"/>
        </w:rPr>
      </w:pPr>
      <w:r>
        <w:rPr>
          <w:rFonts w:hint="eastAsia" w:ascii="仿宋" w:hAnsi="仿宋" w:eastAsia="仿宋" w:cs="仿宋"/>
          <w:sz w:val="28"/>
          <w:szCs w:val="28"/>
        </w:rPr>
        <w:t>10、</w:t>
      </w:r>
      <w:r>
        <w:rPr>
          <w:rFonts w:hint="eastAsia" w:ascii="仿宋_GB2312" w:hAnsi="仿宋" w:eastAsia="仿宋_GB2312"/>
          <w:sz w:val="28"/>
        </w:rPr>
        <w:t>《最高人民法院关于印发&lt;人民法院司法鉴定工作暂行规定&gt;的通知》；</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11、《最高人民法院</w:t>
      </w:r>
      <w:r>
        <w:rPr>
          <w:rFonts w:hint="eastAsia" w:ascii="仿宋" w:hAnsi="仿宋" w:eastAsia="仿宋" w:cs="仿宋"/>
          <w:bCs/>
          <w:sz w:val="28"/>
          <w:szCs w:val="28"/>
        </w:rPr>
        <w:t>关于人民法院确定财产处置参考价若干问题的规定</w:t>
      </w:r>
      <w:r>
        <w:rPr>
          <w:rFonts w:hint="eastAsia" w:ascii="仿宋" w:hAnsi="仿宋" w:eastAsia="仿宋" w:cs="仿宋"/>
          <w:sz w:val="28"/>
          <w:szCs w:val="28"/>
        </w:rPr>
        <w:t>》；</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12、《最高人民法院关于人民法院委托评估、拍卖和变卖工作的若干规定》；</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_GB2312" w:hAnsi="仿宋" w:eastAsia="仿宋_GB2312"/>
          <w:sz w:val="28"/>
        </w:rPr>
      </w:pPr>
      <w:r>
        <w:rPr>
          <w:rFonts w:hint="eastAsia" w:ascii="仿宋_GB2312" w:hAnsi="仿宋" w:eastAsia="仿宋_GB2312"/>
          <w:sz w:val="28"/>
        </w:rPr>
        <w:t>13、《人民法院对外委托司法鉴定管理规定》；</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14、《司法鉴定程序通则》；</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15、《司法鉴定人管理办法》；</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16、《司法鉴定机构登记管理办法》；</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17、《营业税改增值税试点实施办法》；</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_GB2312" w:hAnsi="仿宋" w:eastAsia="仿宋_GB2312"/>
          <w:sz w:val="28"/>
        </w:rPr>
      </w:pPr>
      <w:r>
        <w:rPr>
          <w:rFonts w:hint="eastAsia" w:ascii="仿宋_GB2312" w:hAnsi="仿宋" w:eastAsia="仿宋_GB2312"/>
          <w:sz w:val="28"/>
        </w:rPr>
        <w:t>18、《山东省司法鉴定人职业道德和执业纪律规范（试行）》；</w:t>
      </w:r>
    </w:p>
    <w:p>
      <w:pPr>
        <w:pStyle w:val="11"/>
        <w:pageBreakBefore w:val="0"/>
        <w:kinsoku/>
        <w:wordWrap/>
        <w:overflowPunct/>
        <w:topLinePunct w:val="0"/>
        <w:autoSpaceDE/>
        <w:autoSpaceDN/>
        <w:bidi w:val="0"/>
        <w:snapToGrid w:val="0"/>
        <w:spacing w:line="580" w:lineRule="exact"/>
        <w:ind w:right="105" w:rightChars="50" w:firstLine="560" w:firstLineChars="200"/>
        <w:rPr>
          <w:rFonts w:ascii="仿宋" w:hAnsi="仿宋" w:eastAsia="仿宋" w:cs="仿宋"/>
          <w:sz w:val="28"/>
          <w:szCs w:val="28"/>
        </w:rPr>
      </w:pPr>
      <w:r>
        <w:rPr>
          <w:rFonts w:hint="eastAsia" w:ascii="仿宋" w:hAnsi="仿宋" w:eastAsia="仿宋" w:cs="仿宋"/>
          <w:sz w:val="28"/>
          <w:szCs w:val="28"/>
        </w:rPr>
        <w:t>19、《山东省建筑工程消耗量定额》（2016年）；</w:t>
      </w:r>
    </w:p>
    <w:p>
      <w:pPr>
        <w:pStyle w:val="11"/>
        <w:pageBreakBefore w:val="0"/>
        <w:widowControl w:val="0"/>
        <w:kinsoku/>
        <w:wordWrap/>
        <w:overflowPunct/>
        <w:topLinePunct w:val="0"/>
        <w:bidi w:val="0"/>
        <w:spacing w:line="580" w:lineRule="exact"/>
        <w:ind w:right="105" w:rightChars="50" w:firstLine="560" w:firstLineChars="200"/>
        <w:textAlignment w:val="auto"/>
        <w:rPr>
          <w:rFonts w:ascii="仿宋" w:hAnsi="仿宋" w:eastAsia="仿宋" w:cs="仿宋"/>
          <w:sz w:val="28"/>
          <w:szCs w:val="28"/>
        </w:rPr>
      </w:pPr>
      <w:r>
        <w:rPr>
          <w:rFonts w:hint="eastAsia" w:ascii="仿宋" w:hAnsi="仿宋" w:eastAsia="仿宋" w:cs="仿宋"/>
          <w:sz w:val="28"/>
          <w:szCs w:val="28"/>
        </w:rPr>
        <w:t>20、《山东省安装工程消耗量定额》（2015年）；</w:t>
      </w:r>
    </w:p>
    <w:p>
      <w:pPr>
        <w:pStyle w:val="11"/>
        <w:pageBreakBefore w:val="0"/>
        <w:widowControl w:val="0"/>
        <w:kinsoku/>
        <w:wordWrap/>
        <w:overflowPunct/>
        <w:topLinePunct w:val="0"/>
        <w:bidi w:val="0"/>
        <w:spacing w:line="580" w:lineRule="exact"/>
        <w:ind w:right="105" w:rightChars="50" w:firstLine="560" w:firstLineChars="200"/>
        <w:textAlignment w:val="auto"/>
        <w:rPr>
          <w:rFonts w:ascii="仿宋" w:hAnsi="仿宋" w:eastAsia="仿宋" w:cs="仿宋"/>
          <w:sz w:val="28"/>
          <w:szCs w:val="28"/>
        </w:rPr>
      </w:pPr>
      <w:r>
        <w:rPr>
          <w:rFonts w:hint="eastAsia" w:ascii="仿宋" w:hAnsi="仿宋" w:eastAsia="仿宋" w:cs="仿宋"/>
          <w:sz w:val="28"/>
          <w:szCs w:val="28"/>
        </w:rPr>
        <w:t>21、《山东省建设工程费用项目组成及计算规则》（2016）</w:t>
      </w:r>
    </w:p>
    <w:p>
      <w:pPr>
        <w:pStyle w:val="51"/>
        <w:pageBreakBefore w:val="0"/>
        <w:widowControl w:val="0"/>
        <w:kinsoku/>
        <w:wordWrap/>
        <w:overflowPunct/>
        <w:topLinePunct w:val="0"/>
        <w:bidi w:val="0"/>
        <w:adjustRightInd w:val="0"/>
        <w:spacing w:line="580" w:lineRule="exact"/>
        <w:ind w:firstLine="280" w:firstLineChars="100"/>
        <w:textAlignment w:val="auto"/>
        <w:rPr>
          <w:rFonts w:ascii="仿宋" w:hAnsi="仿宋" w:eastAsia="仿宋"/>
          <w:sz w:val="28"/>
        </w:rPr>
      </w:pPr>
      <w:r>
        <w:rPr>
          <w:rFonts w:hint="eastAsia" w:ascii="仿宋" w:hAnsi="仿宋" w:eastAsia="仿宋"/>
          <w:sz w:val="28"/>
        </w:rPr>
        <w:t>（二）本次评估采用的技术规程</w:t>
      </w:r>
    </w:p>
    <w:p>
      <w:pPr>
        <w:pStyle w:val="51"/>
        <w:pageBreakBefore w:val="0"/>
        <w:widowControl w:val="0"/>
        <w:kinsoku/>
        <w:wordWrap/>
        <w:overflowPunct/>
        <w:topLinePunct w:val="0"/>
        <w:bidi w:val="0"/>
        <w:adjustRightInd w:val="0"/>
        <w:spacing w:line="580" w:lineRule="exact"/>
        <w:ind w:left="567"/>
        <w:textAlignment w:val="auto"/>
        <w:rPr>
          <w:rFonts w:ascii="仿宋" w:hAnsi="仿宋" w:eastAsia="仿宋"/>
          <w:sz w:val="28"/>
        </w:rPr>
      </w:pPr>
      <w:r>
        <w:rPr>
          <w:rFonts w:hint="eastAsia" w:ascii="仿宋" w:hAnsi="仿宋" w:eastAsia="仿宋"/>
          <w:sz w:val="28"/>
        </w:rPr>
        <w:t>1.《</w:t>
      </w:r>
      <w:r>
        <w:rPr>
          <w:rFonts w:hint="eastAsia" w:ascii="仿宋" w:hAnsi="仿宋" w:eastAsia="仿宋"/>
          <w:sz w:val="28"/>
          <w:szCs w:val="28"/>
        </w:rPr>
        <w:t>房地产估价规范</w:t>
      </w:r>
      <w:r>
        <w:rPr>
          <w:rFonts w:hint="eastAsia" w:ascii="仿宋" w:hAnsi="仿宋" w:eastAsia="仿宋"/>
          <w:sz w:val="28"/>
        </w:rPr>
        <w:t>》（GB/T 50291-2015）；</w:t>
      </w:r>
    </w:p>
    <w:p>
      <w:pPr>
        <w:pStyle w:val="51"/>
        <w:pageBreakBefore w:val="0"/>
        <w:widowControl w:val="0"/>
        <w:kinsoku/>
        <w:wordWrap/>
        <w:overflowPunct/>
        <w:topLinePunct w:val="0"/>
        <w:bidi w:val="0"/>
        <w:adjustRightInd w:val="0"/>
        <w:spacing w:line="580" w:lineRule="exact"/>
        <w:ind w:left="567"/>
        <w:textAlignment w:val="auto"/>
        <w:rPr>
          <w:rFonts w:ascii="仿宋" w:hAnsi="仿宋" w:eastAsia="仿宋"/>
          <w:sz w:val="28"/>
        </w:rPr>
      </w:pPr>
      <w:r>
        <w:rPr>
          <w:rFonts w:hint="eastAsia" w:ascii="仿宋" w:hAnsi="仿宋" w:eastAsia="仿宋"/>
          <w:sz w:val="28"/>
        </w:rPr>
        <w:t>2.</w:t>
      </w:r>
      <w:r>
        <w:rPr>
          <w:rFonts w:hint="eastAsia" w:ascii="仿宋" w:hAnsi="仿宋" w:eastAsia="仿宋"/>
          <w:sz w:val="28"/>
          <w:szCs w:val="28"/>
        </w:rPr>
        <w:t>《房地产估价基本术语标准》（GB/T</w:t>
      </w:r>
      <w:r>
        <w:rPr>
          <w:rFonts w:ascii="仿宋" w:hAnsi="仿宋" w:eastAsia="仿宋"/>
          <w:sz w:val="28"/>
          <w:szCs w:val="28"/>
        </w:rPr>
        <w:t>50899-2013</w:t>
      </w:r>
      <w:r>
        <w:rPr>
          <w:rFonts w:hint="eastAsia" w:ascii="仿宋" w:hAnsi="仿宋" w:eastAsia="仿宋"/>
          <w:sz w:val="28"/>
          <w:szCs w:val="28"/>
        </w:rPr>
        <w:t>）</w:t>
      </w:r>
    </w:p>
    <w:p>
      <w:pPr>
        <w:pStyle w:val="51"/>
        <w:pageBreakBefore w:val="0"/>
        <w:widowControl w:val="0"/>
        <w:kinsoku/>
        <w:wordWrap/>
        <w:overflowPunct/>
        <w:topLinePunct w:val="0"/>
        <w:bidi w:val="0"/>
        <w:adjustRightInd w:val="0"/>
        <w:spacing w:line="580" w:lineRule="exact"/>
        <w:ind w:firstLine="420" w:firstLineChars="150"/>
        <w:textAlignment w:val="auto"/>
        <w:rPr>
          <w:rFonts w:ascii="仿宋" w:hAnsi="仿宋" w:eastAsia="仿宋"/>
          <w:sz w:val="28"/>
        </w:rPr>
      </w:pPr>
      <w:r>
        <w:rPr>
          <w:rFonts w:hint="eastAsia" w:ascii="仿宋" w:hAnsi="仿宋" w:eastAsia="仿宋"/>
          <w:sz w:val="28"/>
        </w:rPr>
        <w:t>（三）评估委托人提供的权属证明及其他有关资料。</w:t>
      </w:r>
    </w:p>
    <w:p>
      <w:pPr>
        <w:pStyle w:val="51"/>
        <w:pageBreakBefore w:val="0"/>
        <w:widowControl w:val="0"/>
        <w:kinsoku/>
        <w:wordWrap/>
        <w:overflowPunct/>
        <w:topLinePunct w:val="0"/>
        <w:bidi w:val="0"/>
        <w:adjustRightInd w:val="0"/>
        <w:spacing w:line="580" w:lineRule="exact"/>
        <w:ind w:firstLine="420" w:firstLineChars="150"/>
        <w:textAlignment w:val="auto"/>
        <w:rPr>
          <w:rFonts w:ascii="仿宋" w:hAnsi="仿宋" w:eastAsia="仿宋"/>
          <w:sz w:val="28"/>
        </w:rPr>
      </w:pPr>
      <w:r>
        <w:rPr>
          <w:rFonts w:hint="eastAsia" w:ascii="仿宋" w:hAnsi="仿宋" w:eastAsia="仿宋"/>
          <w:sz w:val="28"/>
        </w:rPr>
        <w:t>（四）注册房地产估价师掌握的有关市场资料及评估人员实地勘察、调查所获得的相关资料。</w:t>
      </w:r>
    </w:p>
    <w:p>
      <w:pPr>
        <w:pStyle w:val="3"/>
        <w:pageBreakBefore w:val="0"/>
        <w:widowControl w:val="0"/>
        <w:kinsoku/>
        <w:wordWrap/>
        <w:overflowPunct/>
        <w:topLinePunct w:val="0"/>
        <w:bidi w:val="0"/>
        <w:spacing w:line="580" w:lineRule="exact"/>
        <w:ind w:left="105" w:leftChars="50" w:right="105" w:rightChars="50" w:firstLine="562" w:firstLineChars="200"/>
        <w:contextualSpacing/>
        <w:textAlignment w:val="auto"/>
      </w:pPr>
      <w:bookmarkStart w:id="26" w:name="_Toc15120710"/>
      <w:r>
        <w:rPr>
          <w:rFonts w:hint="eastAsia" w:ascii="仿宋" w:hAnsi="仿宋" w:cs="仿宋"/>
          <w:szCs w:val="28"/>
        </w:rPr>
        <w:t>九、</w:t>
      </w:r>
      <w:r>
        <w:rPr>
          <w:rFonts w:hint="eastAsia" w:ascii="仿宋" w:hAnsi="仿宋"/>
          <w:szCs w:val="28"/>
        </w:rPr>
        <w:t>评估</w:t>
      </w:r>
      <w:r>
        <w:rPr>
          <w:rFonts w:hint="eastAsia" w:ascii="仿宋" w:hAnsi="仿宋" w:cs="仿宋"/>
          <w:szCs w:val="28"/>
        </w:rPr>
        <w:t>方法</w:t>
      </w:r>
      <w:bookmarkEnd w:id="24"/>
      <w:bookmarkEnd w:id="25"/>
      <w:bookmarkEnd w:id="26"/>
    </w:p>
    <w:p>
      <w:pPr>
        <w:pageBreakBefore w:val="0"/>
        <w:widowControl w:val="0"/>
        <w:kinsoku/>
        <w:wordWrap/>
        <w:overflowPunct/>
        <w:topLinePunct w:val="0"/>
        <w:bidi w:val="0"/>
        <w:spacing w:line="580" w:lineRule="exact"/>
        <w:ind w:firstLine="560"/>
        <w:textAlignment w:val="auto"/>
        <w:rPr>
          <w:rFonts w:ascii="仿宋" w:hAnsi="仿宋" w:eastAsia="仿宋" w:cs="仿宋"/>
          <w:sz w:val="28"/>
          <w:szCs w:val="28"/>
        </w:rPr>
      </w:pPr>
      <w:r>
        <w:rPr>
          <w:rFonts w:hint="eastAsia" w:ascii="仿宋" w:hAnsi="仿宋" w:eastAsia="仿宋" w:cs="仿宋"/>
          <w:sz w:val="28"/>
          <w:szCs w:val="28"/>
        </w:rPr>
        <w:t>房地产</w:t>
      </w:r>
      <w:r>
        <w:rPr>
          <w:rFonts w:hint="eastAsia" w:ascii="仿宋" w:hAnsi="仿宋" w:eastAsia="仿宋"/>
          <w:sz w:val="28"/>
          <w:szCs w:val="28"/>
        </w:rPr>
        <w:t>评估</w:t>
      </w:r>
      <w:r>
        <w:rPr>
          <w:rFonts w:hint="eastAsia" w:ascii="仿宋" w:hAnsi="仿宋" w:eastAsia="仿宋" w:cs="仿宋"/>
          <w:sz w:val="28"/>
          <w:szCs w:val="28"/>
        </w:rPr>
        <w:t>方法主要有比较法、收益法、成本法、假设开发法、基准地价系数修正法等。</w:t>
      </w:r>
    </w:p>
    <w:p>
      <w:pPr>
        <w:pageBreakBefore w:val="0"/>
        <w:widowControl w:val="0"/>
        <w:kinsoku/>
        <w:wordWrap/>
        <w:overflowPunct/>
        <w:topLinePunct w:val="0"/>
        <w:bidi w:val="0"/>
        <w:spacing w:line="580" w:lineRule="exact"/>
        <w:ind w:firstLine="560"/>
        <w:textAlignment w:val="auto"/>
        <w:rPr>
          <w:rFonts w:ascii="仿宋" w:hAnsi="仿宋" w:eastAsia="仿宋" w:cs="仿宋"/>
          <w:sz w:val="28"/>
          <w:szCs w:val="28"/>
        </w:rPr>
      </w:pPr>
      <w:r>
        <w:rPr>
          <w:rFonts w:hint="eastAsia" w:ascii="仿宋" w:hAnsi="仿宋" w:eastAsia="仿宋" w:cs="仿宋"/>
          <w:sz w:val="28"/>
          <w:szCs w:val="28"/>
        </w:rPr>
        <w:t>比较法：选取一定数量的可比实例，将它们与评估对象进行比较，根据其间的差异对可比实例成交价格进行处理后得到评估对象价值或价格的方法。</w:t>
      </w:r>
    </w:p>
    <w:p>
      <w:pPr>
        <w:pageBreakBefore w:val="0"/>
        <w:widowControl w:val="0"/>
        <w:kinsoku/>
        <w:wordWrap/>
        <w:overflowPunct/>
        <w:topLinePunct w:val="0"/>
        <w:bidi w:val="0"/>
        <w:spacing w:line="580" w:lineRule="exact"/>
        <w:textAlignment w:val="auto"/>
        <w:rPr>
          <w:rFonts w:ascii="仿宋" w:hAnsi="仿宋" w:eastAsia="仿宋" w:cs="仿宋"/>
          <w:sz w:val="28"/>
          <w:szCs w:val="28"/>
        </w:rPr>
      </w:pPr>
      <w:bookmarkStart w:id="27" w:name="_Toc323216548"/>
      <w:r>
        <w:rPr>
          <w:rFonts w:hint="eastAsia" w:ascii="仿宋" w:hAnsi="仿宋" w:eastAsia="仿宋" w:cs="仿宋"/>
          <w:sz w:val="28"/>
          <w:szCs w:val="28"/>
        </w:rPr>
        <w:t xml:space="preserve">    收益法：预计评估对象的未来收益，利用报酬率或资本化率、收益乘数将未来收益转换为价值得到评估对象价值或价格的方法。</w:t>
      </w:r>
    </w:p>
    <w:p>
      <w:pPr>
        <w:pageBreakBefore w:val="0"/>
        <w:widowControl w:val="0"/>
        <w:kinsoku/>
        <w:wordWrap/>
        <w:overflowPunct/>
        <w:topLinePunct w:val="0"/>
        <w:bidi w:val="0"/>
        <w:spacing w:line="580" w:lineRule="exact"/>
        <w:textAlignment w:val="auto"/>
        <w:rPr>
          <w:rFonts w:ascii="仿宋" w:hAnsi="仿宋" w:eastAsia="仿宋" w:cs="仿宋"/>
          <w:sz w:val="28"/>
          <w:szCs w:val="28"/>
        </w:rPr>
      </w:pPr>
      <w:r>
        <w:rPr>
          <w:rFonts w:hint="eastAsia" w:ascii="仿宋" w:hAnsi="仿宋" w:eastAsia="仿宋" w:cs="仿宋"/>
          <w:sz w:val="28"/>
          <w:szCs w:val="28"/>
        </w:rPr>
        <w:t xml:space="preserve">    成本法：测算评估对象在价值时点的重置成本或重建成本和折旧，将重置成本或重建成本减去折旧得到评估对象价值或价格的方法。</w:t>
      </w:r>
    </w:p>
    <w:p>
      <w:pPr>
        <w:pStyle w:val="11"/>
        <w:pageBreakBefore w:val="0"/>
        <w:widowControl w:val="0"/>
        <w:kinsoku/>
        <w:wordWrap/>
        <w:overflowPunct/>
        <w:topLinePunct w:val="0"/>
        <w:bidi w:val="0"/>
        <w:spacing w:line="580" w:lineRule="exact"/>
        <w:ind w:left="105" w:leftChars="50" w:right="105" w:rightChars="50" w:firstLine="560" w:firstLineChars="200"/>
        <w:textAlignment w:val="auto"/>
        <w:rPr>
          <w:rFonts w:ascii="仿宋" w:hAnsi="仿宋" w:eastAsia="仿宋" w:cs="仿宋"/>
          <w:sz w:val="28"/>
          <w:szCs w:val="28"/>
        </w:rPr>
      </w:pPr>
      <w:r>
        <w:rPr>
          <w:rFonts w:hint="eastAsia" w:ascii="仿宋" w:hAnsi="仿宋" w:eastAsia="仿宋" w:cs="仿宋"/>
          <w:sz w:val="28"/>
          <w:szCs w:val="28"/>
        </w:rPr>
        <w:t>假设开发法：求得评估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评估对象价值或价格的方法。</w:t>
      </w:r>
    </w:p>
    <w:p>
      <w:pPr>
        <w:pStyle w:val="11"/>
        <w:pageBreakBefore w:val="0"/>
        <w:widowControl w:val="0"/>
        <w:kinsoku/>
        <w:wordWrap/>
        <w:overflowPunct/>
        <w:topLinePunct w:val="0"/>
        <w:bidi w:val="0"/>
        <w:spacing w:line="580" w:lineRule="exact"/>
        <w:ind w:left="105" w:leftChars="50" w:right="105" w:rightChars="50" w:firstLine="560" w:firstLineChars="200"/>
        <w:textAlignment w:val="auto"/>
        <w:rPr>
          <w:rFonts w:ascii="仿宋" w:hAnsi="仿宋" w:eastAsia="仿宋" w:cs="仿宋"/>
          <w:sz w:val="28"/>
          <w:szCs w:val="28"/>
        </w:rPr>
      </w:pPr>
      <w:r>
        <w:rPr>
          <w:rFonts w:hint="eastAsia" w:ascii="仿宋" w:hAnsi="仿宋" w:eastAsia="仿宋" w:cs="仿宋"/>
          <w:sz w:val="28"/>
          <w:szCs w:val="28"/>
        </w:rPr>
        <w:t>基准地价系数修正法：在政府或其有关部门已公布基准地价的地区，利用有关调整系数对评估对象宗地所在位置的基准地价进行调整后得到评估对象宗地价值或价格的方法。</w:t>
      </w:r>
    </w:p>
    <w:p>
      <w:pPr>
        <w:pageBreakBefore w:val="0"/>
        <w:widowControl w:val="0"/>
        <w:kinsoku/>
        <w:wordWrap/>
        <w:overflowPunct/>
        <w:topLinePunct w:val="0"/>
        <w:bidi w:val="0"/>
        <w:spacing w:line="580" w:lineRule="exact"/>
        <w:ind w:firstLine="562" w:firstLineChars="201"/>
        <w:textAlignment w:val="auto"/>
        <w:rPr>
          <w:rFonts w:ascii="仿宋" w:hAnsi="仿宋" w:eastAsia="仿宋" w:cs="宋体-18030"/>
          <w:sz w:val="28"/>
        </w:rPr>
      </w:pPr>
      <w:r>
        <w:rPr>
          <w:rFonts w:hint="eastAsia" w:ascii="仿宋" w:hAnsi="仿宋" w:eastAsia="仿宋"/>
          <w:sz w:val="28"/>
          <w:szCs w:val="28"/>
        </w:rPr>
        <w:t>评估</w:t>
      </w:r>
      <w:r>
        <w:rPr>
          <w:rFonts w:ascii="仿宋" w:hAnsi="仿宋" w:eastAsia="仿宋" w:cs="宋体-18030"/>
          <w:sz w:val="28"/>
        </w:rPr>
        <w:t>人员在认真分析所掌握的资料并进行了实地查勘之后，根据</w:t>
      </w:r>
      <w:r>
        <w:rPr>
          <w:rFonts w:hint="eastAsia" w:ascii="仿宋" w:hAnsi="仿宋" w:eastAsia="仿宋" w:cs="宋体-18030"/>
          <w:sz w:val="28"/>
        </w:rPr>
        <w:t>评估目的并结合评估对象</w:t>
      </w:r>
      <w:r>
        <w:rPr>
          <w:rFonts w:ascii="仿宋" w:hAnsi="仿宋" w:eastAsia="仿宋" w:cs="宋体-18030"/>
          <w:sz w:val="28"/>
        </w:rPr>
        <w:t>的</w:t>
      </w:r>
      <w:r>
        <w:rPr>
          <w:rFonts w:hint="eastAsia" w:ascii="仿宋" w:hAnsi="仿宋" w:eastAsia="仿宋" w:cs="宋体-18030"/>
          <w:sz w:val="28"/>
        </w:rPr>
        <w:t>用途</w:t>
      </w:r>
      <w:r>
        <w:rPr>
          <w:rFonts w:ascii="仿宋" w:hAnsi="仿宋" w:eastAsia="仿宋" w:cs="宋体-18030"/>
          <w:sz w:val="28"/>
        </w:rPr>
        <w:t>和实际状况</w:t>
      </w:r>
      <w:r>
        <w:rPr>
          <w:rFonts w:hint="eastAsia" w:ascii="仿宋" w:hAnsi="仿宋" w:eastAsia="仿宋" w:cs="宋体-18030"/>
          <w:sz w:val="28"/>
        </w:rPr>
        <w:t>及周边房地产市场状况</w:t>
      </w:r>
      <w:r>
        <w:rPr>
          <w:rFonts w:ascii="仿宋" w:hAnsi="仿宋" w:eastAsia="仿宋" w:cs="宋体-18030"/>
          <w:sz w:val="28"/>
        </w:rPr>
        <w:t>，选取</w:t>
      </w:r>
      <w:r>
        <w:rPr>
          <w:rFonts w:hint="eastAsia" w:ascii="仿宋" w:hAnsi="仿宋" w:eastAsia="仿宋"/>
          <w:color w:val="000000"/>
          <w:sz w:val="28"/>
        </w:rPr>
        <w:t>基准地价修正法</w:t>
      </w:r>
      <w:r>
        <w:rPr>
          <w:rFonts w:hint="eastAsia" w:ascii="仿宋" w:hAnsi="仿宋" w:eastAsia="仿宋" w:cs="宋体-18030"/>
          <w:sz w:val="28"/>
        </w:rPr>
        <w:t>、比较法和成本法</w:t>
      </w:r>
      <w:r>
        <w:rPr>
          <w:rFonts w:ascii="仿宋" w:hAnsi="仿宋" w:eastAsia="仿宋" w:cs="宋体-18030"/>
          <w:sz w:val="28"/>
        </w:rPr>
        <w:t>作为本次</w:t>
      </w:r>
      <w:r>
        <w:rPr>
          <w:rFonts w:hint="eastAsia" w:ascii="仿宋" w:hAnsi="仿宋" w:eastAsia="仿宋"/>
          <w:sz w:val="28"/>
          <w:szCs w:val="28"/>
        </w:rPr>
        <w:t>评估</w:t>
      </w:r>
      <w:r>
        <w:rPr>
          <w:rFonts w:ascii="仿宋" w:hAnsi="仿宋" w:eastAsia="仿宋" w:cs="宋体-18030"/>
          <w:sz w:val="28"/>
        </w:rPr>
        <w:t>的基本方法。</w:t>
      </w:r>
    </w:p>
    <w:p>
      <w:pPr>
        <w:pStyle w:val="11"/>
        <w:pageBreakBefore w:val="0"/>
        <w:widowControl w:val="0"/>
        <w:kinsoku/>
        <w:wordWrap/>
        <w:overflowPunct/>
        <w:topLinePunct w:val="0"/>
        <w:bidi w:val="0"/>
        <w:spacing w:line="600" w:lineRule="exact"/>
        <w:ind w:left="105" w:leftChars="50" w:right="105" w:rightChars="50" w:firstLine="560" w:firstLineChars="200"/>
        <w:textAlignment w:val="auto"/>
        <w:rPr>
          <w:rFonts w:ascii="仿宋" w:hAnsi="仿宋" w:eastAsia="仿宋"/>
          <w:sz w:val="28"/>
          <w:szCs w:val="28"/>
        </w:rPr>
      </w:pPr>
      <w:r>
        <w:rPr>
          <w:rFonts w:hint="eastAsia" w:ascii="仿宋" w:hAnsi="仿宋" w:eastAsia="仿宋"/>
          <w:sz w:val="28"/>
        </w:rPr>
        <w:t>选取上述</w:t>
      </w:r>
      <w:r>
        <w:rPr>
          <w:rFonts w:hint="eastAsia" w:ascii="仿宋" w:hAnsi="仿宋" w:eastAsia="仿宋"/>
          <w:sz w:val="28"/>
          <w:szCs w:val="28"/>
        </w:rPr>
        <w:t>评估</w:t>
      </w:r>
      <w:r>
        <w:rPr>
          <w:rFonts w:hint="eastAsia" w:ascii="仿宋" w:hAnsi="仿宋" w:eastAsia="仿宋"/>
          <w:sz w:val="28"/>
        </w:rPr>
        <w:t>方法原因为：</w:t>
      </w:r>
      <w:r>
        <w:rPr>
          <w:rFonts w:hint="eastAsia" w:ascii="仿宋" w:hAnsi="仿宋" w:eastAsia="仿宋"/>
          <w:sz w:val="28"/>
          <w:szCs w:val="28"/>
        </w:rPr>
        <w:t>一是</w:t>
      </w:r>
      <w:r>
        <w:rPr>
          <w:rFonts w:hint="eastAsia" w:ascii="仿宋" w:hAnsi="仿宋" w:eastAsia="仿宋" w:cs="仿宋"/>
          <w:sz w:val="28"/>
          <w:szCs w:val="28"/>
        </w:rPr>
        <w:t>评估对象房屋建造成本较易取得，因此本次评估选用成本法进行测算评估对象房产价值；</w:t>
      </w:r>
      <w:r>
        <w:rPr>
          <w:rFonts w:hint="eastAsia" w:ascii="仿宋" w:hAnsi="仿宋" w:eastAsia="仿宋"/>
          <w:sz w:val="28"/>
          <w:szCs w:val="28"/>
        </w:rPr>
        <w:t>二是评估对象土地在高青县高城镇基准地价范围内，</w:t>
      </w:r>
      <w:r>
        <w:rPr>
          <w:rFonts w:hint="eastAsia" w:ascii="仿宋" w:hAnsi="仿宋" w:eastAsia="仿宋" w:cs="仿宋"/>
          <w:sz w:val="28"/>
          <w:szCs w:val="28"/>
        </w:rPr>
        <w:t>基准地价水平交易取得，</w:t>
      </w:r>
      <w:r>
        <w:rPr>
          <w:rFonts w:hint="eastAsia" w:ascii="仿宋" w:hAnsi="仿宋" w:eastAsia="仿宋"/>
          <w:sz w:val="28"/>
          <w:szCs w:val="28"/>
        </w:rPr>
        <w:t>故可采用基准地价修正法进行计算评估对象土地价值；</w:t>
      </w:r>
      <w:r>
        <w:rPr>
          <w:rFonts w:hint="eastAsia" w:ascii="仿宋" w:hAnsi="仿宋" w:eastAsia="仿宋"/>
          <w:color w:val="000000"/>
          <w:sz w:val="28"/>
        </w:rPr>
        <w:t>三是评估对象土地市场交易案例交易取得，</w:t>
      </w:r>
      <w:r>
        <w:rPr>
          <w:rFonts w:hint="eastAsia" w:ascii="仿宋" w:hAnsi="仿宋" w:eastAsia="仿宋"/>
          <w:sz w:val="28"/>
          <w:szCs w:val="28"/>
        </w:rPr>
        <w:t>故可采用比较法进行计算评估对象土地价值</w:t>
      </w:r>
      <w:r>
        <w:rPr>
          <w:rFonts w:hint="eastAsia" w:ascii="仿宋" w:hAnsi="仿宋" w:eastAsia="仿宋"/>
          <w:color w:val="000000"/>
          <w:sz w:val="28"/>
        </w:rPr>
        <w:t>；根据评估对象的实际情况，结合本报告评估目的，综合分析，本次评估决定采用成本法评估房屋的价格，采用基准地价修正法和比较法评估评估对象土地价格。</w:t>
      </w:r>
    </w:p>
    <w:p>
      <w:pPr>
        <w:pStyle w:val="6"/>
        <w:pageBreakBefore w:val="0"/>
        <w:widowControl w:val="0"/>
        <w:kinsoku/>
        <w:wordWrap/>
        <w:overflowPunct/>
        <w:topLinePunct w:val="0"/>
        <w:bidi w:val="0"/>
        <w:spacing w:line="600" w:lineRule="exact"/>
        <w:ind w:firstLine="560" w:firstLineChars="200"/>
        <w:textAlignment w:val="auto"/>
      </w:pPr>
      <w:r>
        <w:rPr>
          <w:rFonts w:hint="eastAsia" w:ascii="仿宋" w:hAnsi="仿宋" w:eastAsia="仿宋"/>
          <w:sz w:val="28"/>
        </w:rPr>
        <w:t>未选用其他</w:t>
      </w:r>
      <w:r>
        <w:rPr>
          <w:rFonts w:hint="eastAsia" w:ascii="仿宋" w:hAnsi="仿宋" w:eastAsia="仿宋"/>
          <w:sz w:val="28"/>
          <w:szCs w:val="28"/>
        </w:rPr>
        <w:t>评估</w:t>
      </w:r>
      <w:r>
        <w:rPr>
          <w:rFonts w:hint="eastAsia" w:ascii="仿宋" w:hAnsi="仿宋" w:eastAsia="仿宋"/>
          <w:sz w:val="28"/>
        </w:rPr>
        <w:t>方法的原因:一是评估对象为工业房地产，</w:t>
      </w:r>
      <w:r>
        <w:rPr>
          <w:rFonts w:ascii="仿宋" w:hAnsi="仿宋" w:eastAsia="仿宋"/>
          <w:sz w:val="28"/>
        </w:rPr>
        <w:t>周边类似房地产交易案例较少，开发完成后的房地产价格难以取得，故不采用假设开发法来评估</w:t>
      </w:r>
      <w:r>
        <w:rPr>
          <w:rFonts w:hint="eastAsia" w:ascii="仿宋" w:hAnsi="仿宋" w:eastAsia="仿宋"/>
          <w:sz w:val="28"/>
          <w:szCs w:val="20"/>
        </w:rPr>
        <w:t>；</w:t>
      </w:r>
      <w:r>
        <w:rPr>
          <w:rFonts w:hint="eastAsia" w:ascii="仿宋" w:hAnsi="仿宋" w:eastAsia="仿宋"/>
          <w:color w:val="252525" w:themeColor="text1" w:themeTint="D9"/>
          <w:sz w:val="28"/>
          <w:szCs w:val="28"/>
        </w:rPr>
        <w:t>二是</w:t>
      </w:r>
      <w:r>
        <w:rPr>
          <w:rFonts w:hint="eastAsia" w:ascii="仿宋" w:hAnsi="仿宋" w:eastAsia="仿宋"/>
          <w:sz w:val="28"/>
          <w:szCs w:val="28"/>
        </w:rPr>
        <w:t>评估对象为工业房地产，</w:t>
      </w:r>
      <w:r>
        <w:rPr>
          <w:rFonts w:ascii="仿宋" w:hAnsi="仿宋" w:eastAsia="仿宋"/>
          <w:sz w:val="28"/>
          <w:szCs w:val="28"/>
        </w:rPr>
        <w:t>周围类似房地产出租案例较少，市场租金无法取得，无法采用收益法来评估</w:t>
      </w:r>
      <w:r>
        <w:rPr>
          <w:rFonts w:hint="eastAsia" w:ascii="仿宋" w:hAnsi="仿宋" w:eastAsia="仿宋"/>
          <w:sz w:val="28"/>
          <w:szCs w:val="28"/>
        </w:rPr>
        <w:t>。</w:t>
      </w:r>
    </w:p>
    <w:p>
      <w:pPr>
        <w:pStyle w:val="3"/>
        <w:pageBreakBefore w:val="0"/>
        <w:widowControl w:val="0"/>
        <w:kinsoku/>
        <w:wordWrap/>
        <w:overflowPunct/>
        <w:topLinePunct w:val="0"/>
        <w:bidi w:val="0"/>
        <w:spacing w:line="600" w:lineRule="exact"/>
        <w:ind w:left="105" w:leftChars="50" w:right="105" w:rightChars="50" w:firstLine="562" w:firstLineChars="200"/>
        <w:contextualSpacing/>
        <w:textAlignment w:val="auto"/>
        <w:rPr>
          <w:rFonts w:ascii="仿宋" w:hAnsi="仿宋" w:cs="仿宋"/>
          <w:szCs w:val="28"/>
        </w:rPr>
      </w:pPr>
      <w:bookmarkStart w:id="28" w:name="_Toc15120711"/>
      <w:r>
        <w:rPr>
          <w:rFonts w:hint="eastAsia" w:ascii="仿宋" w:hAnsi="仿宋" w:cs="仿宋"/>
          <w:szCs w:val="28"/>
        </w:rPr>
        <w:t>十、</w:t>
      </w:r>
      <w:r>
        <w:rPr>
          <w:rFonts w:hint="eastAsia" w:ascii="仿宋" w:hAnsi="仿宋"/>
          <w:szCs w:val="28"/>
        </w:rPr>
        <w:t>评估</w:t>
      </w:r>
      <w:r>
        <w:rPr>
          <w:rFonts w:hint="eastAsia" w:ascii="仿宋" w:hAnsi="仿宋" w:cs="仿宋"/>
          <w:szCs w:val="28"/>
        </w:rPr>
        <w:t>结果</w:t>
      </w:r>
      <w:bookmarkEnd w:id="27"/>
      <w:bookmarkEnd w:id="28"/>
    </w:p>
    <w:p>
      <w:pPr>
        <w:pageBreakBefore w:val="0"/>
        <w:widowControl w:val="0"/>
        <w:kinsoku/>
        <w:wordWrap/>
        <w:overflowPunct/>
        <w:topLinePunct w:val="0"/>
        <w:autoSpaceDE w:val="0"/>
        <w:autoSpaceDN w:val="0"/>
        <w:bidi w:val="0"/>
        <w:adjustRightInd w:val="0"/>
        <w:snapToGrid w:val="0"/>
        <w:spacing w:line="600" w:lineRule="exact"/>
        <w:ind w:left="105" w:leftChars="50" w:right="105" w:rightChars="50" w:firstLine="546" w:firstLineChars="195"/>
        <w:textAlignment w:val="auto"/>
        <w:rPr>
          <w:rFonts w:ascii="仿宋" w:hAnsi="仿宋" w:eastAsia="仿宋" w:cs="仿宋"/>
          <w:sz w:val="28"/>
          <w:szCs w:val="28"/>
        </w:rPr>
      </w:pPr>
      <w:bookmarkStart w:id="29" w:name="_Toc323216549"/>
      <w:r>
        <w:rPr>
          <w:rFonts w:hint="eastAsia" w:ascii="仿宋" w:hAnsi="仿宋" w:eastAsia="仿宋" w:cs="仿宋"/>
          <w:sz w:val="28"/>
          <w:szCs w:val="28"/>
        </w:rPr>
        <w:t>注册房地产估价师根据评估目的，遵循</w:t>
      </w:r>
      <w:r>
        <w:rPr>
          <w:rFonts w:hint="eastAsia" w:ascii="仿宋" w:hAnsi="仿宋" w:eastAsia="仿宋"/>
          <w:sz w:val="28"/>
          <w:szCs w:val="28"/>
        </w:rPr>
        <w:t>评估</w:t>
      </w:r>
      <w:r>
        <w:rPr>
          <w:rFonts w:hint="eastAsia" w:ascii="仿宋" w:hAnsi="仿宋" w:eastAsia="仿宋" w:cs="仿宋"/>
          <w:sz w:val="28"/>
          <w:szCs w:val="28"/>
        </w:rPr>
        <w:t>原则，按照评估工作程序，利用科学的评估方法，在认真分析现有资料的基础上，经过周密准确的测算确定评估对象在设定条件下，于价值时点2019年7月11日的</w:t>
      </w:r>
      <w:r>
        <w:rPr>
          <w:rFonts w:hint="eastAsia" w:ascii="仿宋" w:hAnsi="仿宋" w:eastAsia="仿宋"/>
          <w:sz w:val="28"/>
          <w:szCs w:val="28"/>
        </w:rPr>
        <w:t>市场价值为（币种：人民币）：</w:t>
      </w:r>
    </w:p>
    <w:p>
      <w:pPr>
        <w:pageBreakBefore w:val="0"/>
        <w:widowControl w:val="0"/>
        <w:kinsoku/>
        <w:wordWrap/>
        <w:overflowPunct/>
        <w:topLinePunct w:val="0"/>
        <w:autoSpaceDE w:val="0"/>
        <w:autoSpaceDN w:val="0"/>
        <w:bidi w:val="0"/>
        <w:adjustRightInd w:val="0"/>
        <w:snapToGrid w:val="0"/>
        <w:spacing w:line="600" w:lineRule="exact"/>
        <w:ind w:right="105" w:rightChars="50" w:firstLine="551" w:firstLineChars="196"/>
        <w:textAlignment w:val="auto"/>
        <w:rPr>
          <w:rFonts w:ascii="仿宋" w:hAnsi="仿宋" w:eastAsia="仿宋" w:cs="仿宋"/>
          <w:b/>
          <w:sz w:val="28"/>
          <w:szCs w:val="28"/>
        </w:rPr>
      </w:pPr>
      <w:r>
        <w:rPr>
          <w:rFonts w:hint="eastAsia" w:ascii="仿宋" w:hAnsi="仿宋" w:eastAsia="仿宋"/>
          <w:b/>
          <w:sz w:val="28"/>
          <w:szCs w:val="28"/>
        </w:rPr>
        <w:t>评估对象总价：</w:t>
      </w:r>
      <w:r>
        <w:rPr>
          <w:rFonts w:hint="eastAsia" w:ascii="仿宋" w:hAnsi="仿宋" w:eastAsia="仿宋" w:cs="仿宋"/>
          <w:b/>
          <w:sz w:val="28"/>
          <w:szCs w:val="28"/>
        </w:rPr>
        <w:t>701.92万元</w:t>
      </w:r>
    </w:p>
    <w:p>
      <w:pPr>
        <w:pageBreakBefore w:val="0"/>
        <w:widowControl w:val="0"/>
        <w:kinsoku/>
        <w:wordWrap/>
        <w:overflowPunct/>
        <w:topLinePunct w:val="0"/>
        <w:bidi w:val="0"/>
        <w:snapToGrid w:val="0"/>
        <w:spacing w:line="600" w:lineRule="exact"/>
        <w:ind w:right="105" w:rightChars="50" w:firstLine="562" w:firstLineChars="200"/>
        <w:textAlignment w:val="auto"/>
        <w:rPr>
          <w:rFonts w:ascii="仿宋" w:hAnsi="仿宋" w:eastAsia="仿宋"/>
          <w:b/>
          <w:sz w:val="28"/>
          <w:szCs w:val="28"/>
        </w:rPr>
      </w:pPr>
      <w:r>
        <w:rPr>
          <w:rFonts w:hint="eastAsia" w:ascii="仿宋" w:hAnsi="仿宋" w:eastAsia="仿宋"/>
          <w:b/>
          <w:sz w:val="28"/>
          <w:szCs w:val="28"/>
        </w:rPr>
        <w:t>大写金额：柒佰零壹万玖仟贰佰元整。</w:t>
      </w:r>
    </w:p>
    <w:p>
      <w:pPr>
        <w:pageBreakBefore w:val="0"/>
        <w:widowControl w:val="0"/>
        <w:kinsoku/>
        <w:wordWrap/>
        <w:overflowPunct/>
        <w:topLinePunct w:val="0"/>
        <w:bidi w:val="0"/>
        <w:snapToGrid w:val="0"/>
        <w:spacing w:line="600" w:lineRule="exact"/>
        <w:ind w:right="105" w:rightChars="50" w:firstLine="551" w:firstLineChars="196"/>
        <w:textAlignment w:val="auto"/>
        <w:rPr>
          <w:rFonts w:ascii="仿宋" w:hAnsi="仿宋" w:eastAsia="仿宋"/>
          <w:b/>
          <w:sz w:val="28"/>
          <w:szCs w:val="28"/>
        </w:rPr>
      </w:pPr>
      <w:r>
        <w:rPr>
          <w:rFonts w:hint="eastAsia" w:ascii="仿宋" w:hAnsi="仿宋" w:eastAsia="仿宋"/>
          <w:b/>
          <w:sz w:val="28"/>
          <w:szCs w:val="28"/>
        </w:rPr>
        <w:t>其中包含国有土地使用权价值196.63万元。</w:t>
      </w:r>
    </w:p>
    <w:p>
      <w:pPr>
        <w:pageBreakBefore w:val="0"/>
        <w:widowControl w:val="0"/>
        <w:kinsoku/>
        <w:wordWrap/>
        <w:overflowPunct/>
        <w:topLinePunct w:val="0"/>
        <w:bidi w:val="0"/>
        <w:snapToGrid w:val="0"/>
        <w:spacing w:line="600" w:lineRule="exact"/>
        <w:ind w:right="105" w:rightChars="50" w:firstLine="551" w:firstLineChars="196"/>
        <w:textAlignment w:val="auto"/>
        <w:rPr>
          <w:rFonts w:ascii="仿宋" w:hAnsi="仿宋" w:eastAsia="仿宋"/>
          <w:b/>
          <w:sz w:val="28"/>
          <w:szCs w:val="28"/>
        </w:rPr>
      </w:pPr>
      <w:r>
        <w:rPr>
          <w:rFonts w:hint="eastAsia" w:ascii="仿宋" w:hAnsi="仿宋" w:eastAsia="仿宋"/>
          <w:b/>
          <w:sz w:val="28"/>
          <w:szCs w:val="28"/>
        </w:rPr>
        <w:t>房屋土地价值详见下表：</w:t>
      </w:r>
    </w:p>
    <w:tbl>
      <w:tblPr>
        <w:tblStyle w:val="25"/>
        <w:tblW w:w="9505" w:type="dxa"/>
        <w:tblInd w:w="108" w:type="dxa"/>
        <w:tblLayout w:type="fixed"/>
        <w:tblCellMar>
          <w:top w:w="0" w:type="dxa"/>
          <w:left w:w="108" w:type="dxa"/>
          <w:bottom w:w="0" w:type="dxa"/>
          <w:right w:w="108" w:type="dxa"/>
        </w:tblCellMar>
      </w:tblPr>
      <w:tblGrid>
        <w:gridCol w:w="1672"/>
        <w:gridCol w:w="682"/>
        <w:gridCol w:w="1140"/>
        <w:gridCol w:w="788"/>
        <w:gridCol w:w="292"/>
        <w:gridCol w:w="848"/>
        <w:gridCol w:w="232"/>
        <w:gridCol w:w="1051"/>
        <w:gridCol w:w="29"/>
        <w:gridCol w:w="1346"/>
        <w:gridCol w:w="1425"/>
      </w:tblGrid>
      <w:tr>
        <w:tblPrEx>
          <w:tblLayout w:type="fixed"/>
          <w:tblCellMar>
            <w:top w:w="0" w:type="dxa"/>
            <w:left w:w="108" w:type="dxa"/>
            <w:bottom w:w="0" w:type="dxa"/>
            <w:right w:w="108" w:type="dxa"/>
          </w:tblCellMar>
        </w:tblPrEx>
        <w:trPr>
          <w:trHeight w:val="540" w:hRule="atLeast"/>
        </w:trPr>
        <w:tc>
          <w:tcPr>
            <w:tcW w:w="2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bookmarkStart w:id="30" w:name="_Toc15120712"/>
            <w:r>
              <w:rPr>
                <w:rFonts w:hint="eastAsia" w:ascii="仿宋" w:hAnsi="仿宋" w:eastAsia="仿宋" w:cs="仿宋"/>
                <w:color w:val="000000"/>
                <w:kern w:val="0"/>
                <w:szCs w:val="21"/>
              </w:rPr>
              <w:t>坐落</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总层数</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建筑结构</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用途</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建筑面积（㎡）</w:t>
            </w:r>
          </w:p>
        </w:tc>
        <w:tc>
          <w:tcPr>
            <w:tcW w:w="134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评估单价</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（元/㎡）</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评估总价（万元）</w:t>
            </w:r>
          </w:p>
        </w:tc>
      </w:tr>
      <w:tr>
        <w:tblPrEx>
          <w:tblLayout w:type="fixed"/>
          <w:tblCellMar>
            <w:top w:w="0" w:type="dxa"/>
            <w:left w:w="108" w:type="dxa"/>
            <w:bottom w:w="0" w:type="dxa"/>
            <w:right w:w="108" w:type="dxa"/>
          </w:tblCellMar>
        </w:tblPrEx>
        <w:trPr>
          <w:trHeight w:val="156"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高青县高城镇蔡旺村北、张田路东侧1#</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仓储</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1185.03</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1277</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151.33</w:t>
            </w:r>
          </w:p>
        </w:tc>
      </w:tr>
      <w:tr>
        <w:tblPrEx>
          <w:tblLayout w:type="fixed"/>
          <w:tblCellMar>
            <w:top w:w="0" w:type="dxa"/>
            <w:left w:w="108" w:type="dxa"/>
            <w:bottom w:w="0" w:type="dxa"/>
            <w:right w:w="108" w:type="dxa"/>
          </w:tblCellMar>
        </w:tblPrEx>
        <w:trPr>
          <w:trHeight w:val="80"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高青县高城镇蔡旺村北、张田路东侧1#北侧加建房屋</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118.95</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486</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5.78</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高青县高城镇蔡旺村北、张田路东侧2#</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钢混</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1083.47</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1647</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178.45</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高青县高城镇蔡旺村北、张田路东侧2#南侧加建房屋</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5.89</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469</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0.28</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高青县高城镇蔡旺村北、张田路东侧3#</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仓储</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1215.32</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892</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108.41</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高青县高城镇蔡旺村北、张田路东侧3#南侧加建房屋</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24.19</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452</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1.09</w:t>
            </w:r>
          </w:p>
        </w:tc>
      </w:tr>
      <w:tr>
        <w:tblPrEx>
          <w:tblLayout w:type="fixed"/>
          <w:tblCellMar>
            <w:top w:w="0" w:type="dxa"/>
            <w:left w:w="108" w:type="dxa"/>
            <w:bottom w:w="0" w:type="dxa"/>
            <w:right w:w="108" w:type="dxa"/>
          </w:tblCellMar>
        </w:tblPrEx>
        <w:trPr>
          <w:trHeight w:val="96"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高青县高城镇蔡旺村北、张田路东侧4#</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其他</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121.52</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836</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10.16</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高青县高城镇蔡旺村北、张田路东侧4#以北加建厕所</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101.61</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571</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5.8</w:t>
            </w:r>
          </w:p>
        </w:tc>
      </w:tr>
      <w:tr>
        <w:tblPrEx>
          <w:tblLayout w:type="fixed"/>
          <w:tblCellMar>
            <w:top w:w="0" w:type="dxa"/>
            <w:left w:w="108" w:type="dxa"/>
            <w:bottom w:w="0" w:type="dxa"/>
            <w:right w:w="108" w:type="dxa"/>
          </w:tblCellMar>
        </w:tblPrEx>
        <w:trPr>
          <w:trHeight w:val="90"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高青县高城镇蔡旺村北、张田路东侧5#</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仓储</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200.47</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10.11</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高青县高城镇蔡旺村北、张田路东侧6#</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仓储</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200.47</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10.11</w:t>
            </w:r>
          </w:p>
        </w:tc>
      </w:tr>
      <w:tr>
        <w:tblPrEx>
          <w:tblLayout w:type="fixed"/>
          <w:tblCellMar>
            <w:top w:w="0" w:type="dxa"/>
            <w:left w:w="108" w:type="dxa"/>
            <w:bottom w:w="0" w:type="dxa"/>
            <w:right w:w="108" w:type="dxa"/>
          </w:tblCellMar>
        </w:tblPrEx>
        <w:trPr>
          <w:trHeight w:val="77"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val="0"/>
                <w:bCs w:val="0"/>
                <w:color w:val="000000"/>
                <w:szCs w:val="21"/>
              </w:rPr>
            </w:pPr>
            <w:r>
              <w:rPr>
                <w:rFonts w:hint="eastAsia" w:ascii="仿宋" w:hAnsi="仿宋" w:eastAsia="仿宋" w:cs="仿宋"/>
                <w:color w:val="000000"/>
                <w:kern w:val="0"/>
                <w:szCs w:val="21"/>
              </w:rPr>
              <w:t>高青县高城镇蔡旺村北、张田路东侧7#</w:t>
            </w:r>
            <w:r>
              <w:rPr>
                <w:rFonts w:hint="eastAsia" w:ascii="仿宋" w:hAnsi="仿宋" w:eastAsia="仿宋"/>
                <w:color w:val="000000"/>
                <w:szCs w:val="21"/>
                <w:lang w:eastAsia="zh-CN"/>
              </w:rPr>
              <w:t>宿舍</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87.78</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545</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4.78</w:t>
            </w:r>
          </w:p>
        </w:tc>
      </w:tr>
      <w:tr>
        <w:tblPrEx>
          <w:tblLayout w:type="fixed"/>
          <w:tblCellMar>
            <w:top w:w="0" w:type="dxa"/>
            <w:left w:w="108" w:type="dxa"/>
            <w:bottom w:w="0" w:type="dxa"/>
            <w:right w:w="108" w:type="dxa"/>
          </w:tblCellMar>
        </w:tblPrEx>
        <w:trPr>
          <w:trHeight w:val="306"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高青县高城镇蔡旺村北、张田路东侧7#</w:t>
            </w:r>
            <w:r>
              <w:rPr>
                <w:rFonts w:hint="eastAsia" w:ascii="仿宋" w:hAnsi="仿宋" w:eastAsia="仿宋"/>
                <w:color w:val="000000"/>
                <w:szCs w:val="21"/>
                <w:lang w:eastAsia="zh-CN"/>
              </w:rPr>
              <w:t>宿舍</w:t>
            </w:r>
            <w:r>
              <w:rPr>
                <w:rFonts w:hint="eastAsia" w:ascii="仿宋" w:hAnsi="仿宋" w:eastAsia="仿宋" w:cs="仿宋"/>
                <w:color w:val="000000"/>
                <w:kern w:val="0"/>
                <w:szCs w:val="21"/>
              </w:rPr>
              <w:t>东侧加建厕所</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9.2</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561</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0.52</w:t>
            </w:r>
          </w:p>
        </w:tc>
      </w:tr>
      <w:tr>
        <w:tblPrEx>
          <w:tblLayout w:type="fixed"/>
          <w:tblCellMar>
            <w:top w:w="0" w:type="dxa"/>
            <w:left w:w="108" w:type="dxa"/>
            <w:bottom w:w="0" w:type="dxa"/>
            <w:right w:w="108" w:type="dxa"/>
          </w:tblCellMar>
        </w:tblPrEx>
        <w:trPr>
          <w:trHeight w:val="471"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高青县高城镇蔡旺村北、张田路东侧5#以北加建铁皮房</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87.99</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528</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4.65</w:t>
            </w:r>
          </w:p>
        </w:tc>
      </w:tr>
      <w:tr>
        <w:tblPrEx>
          <w:tblLayout w:type="fixed"/>
          <w:tblCellMar>
            <w:top w:w="0" w:type="dxa"/>
            <w:left w:w="108" w:type="dxa"/>
            <w:bottom w:w="0" w:type="dxa"/>
            <w:right w:w="108" w:type="dxa"/>
          </w:tblCellMar>
        </w:tblPrEx>
        <w:trPr>
          <w:trHeight w:val="264"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高青县高城镇蔡旺村北、张田路东侧停车棚</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140.4</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68</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0.95</w:t>
            </w:r>
          </w:p>
        </w:tc>
      </w:tr>
      <w:tr>
        <w:tblPrEx>
          <w:tblLayout w:type="fixed"/>
          <w:tblCellMar>
            <w:top w:w="0" w:type="dxa"/>
            <w:left w:w="108" w:type="dxa"/>
            <w:bottom w:w="0" w:type="dxa"/>
            <w:right w:w="108" w:type="dxa"/>
          </w:tblCellMar>
        </w:tblPrEx>
        <w:trPr>
          <w:trHeight w:val="339"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高青县高城镇蔡旺村北、张田路东侧门卫室</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olor w:val="000000"/>
                <w:szCs w:val="21"/>
              </w:rPr>
              <w:t>轻</w:t>
            </w:r>
            <w:r>
              <w:rPr>
                <w:rFonts w:hint="eastAsia" w:ascii="仿宋" w:hAnsi="仿宋" w:eastAsia="仿宋" w:cs="仿宋"/>
                <w:color w:val="000000"/>
                <w:kern w:val="0"/>
                <w:szCs w:val="21"/>
              </w:rPr>
              <w:t>钢结构</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32.76</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494</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1.62</w:t>
            </w:r>
          </w:p>
        </w:tc>
      </w:tr>
      <w:tr>
        <w:tblPrEx>
          <w:tblLayout w:type="fixed"/>
          <w:tblCellMar>
            <w:top w:w="0" w:type="dxa"/>
            <w:left w:w="108" w:type="dxa"/>
            <w:bottom w:w="0" w:type="dxa"/>
            <w:right w:w="108" w:type="dxa"/>
          </w:tblCellMar>
        </w:tblPrEx>
        <w:trPr>
          <w:trHeight w:val="339" w:hRule="atLeast"/>
        </w:trPr>
        <w:tc>
          <w:tcPr>
            <w:tcW w:w="23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高青县高城镇蔡旺村北、张田路东侧院子门口办公室</w:t>
            </w:r>
          </w:p>
        </w:tc>
        <w:tc>
          <w:tcPr>
            <w:tcW w:w="11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1层</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混合</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193.28</w:t>
            </w:r>
          </w:p>
        </w:tc>
        <w:tc>
          <w:tcPr>
            <w:tcW w:w="13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582</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11.25</w:t>
            </w:r>
          </w:p>
        </w:tc>
      </w:tr>
      <w:tr>
        <w:tblPrEx>
          <w:tblLayout w:type="fixed"/>
          <w:tblCellMar>
            <w:top w:w="0" w:type="dxa"/>
            <w:left w:w="108" w:type="dxa"/>
            <w:bottom w:w="0" w:type="dxa"/>
            <w:right w:w="108" w:type="dxa"/>
          </w:tblCellMar>
        </w:tblPrEx>
        <w:trPr>
          <w:trHeight w:val="90" w:hRule="atLeast"/>
        </w:trPr>
        <w:tc>
          <w:tcPr>
            <w:tcW w:w="8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合计</w:t>
            </w:r>
          </w:p>
        </w:tc>
        <w:tc>
          <w:tcPr>
            <w:tcW w:w="14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505.29</w:t>
            </w:r>
          </w:p>
        </w:tc>
      </w:tr>
      <w:tr>
        <w:tblPrEx>
          <w:tblLayout w:type="fixed"/>
          <w:tblCellMar>
            <w:top w:w="0" w:type="dxa"/>
            <w:left w:w="108" w:type="dxa"/>
            <w:bottom w:w="0" w:type="dxa"/>
            <w:right w:w="108" w:type="dxa"/>
          </w:tblCellMar>
        </w:tblPrEx>
        <w:trPr>
          <w:trHeight w:val="540" w:hRule="atLeast"/>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坐落</w:t>
            </w:r>
          </w:p>
        </w:tc>
        <w:tc>
          <w:tcPr>
            <w:tcW w:w="261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国有土地使用证号</w:t>
            </w:r>
          </w:p>
        </w:tc>
        <w:tc>
          <w:tcPr>
            <w:tcW w:w="1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地类</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（用途）</w:t>
            </w:r>
          </w:p>
        </w:tc>
        <w:tc>
          <w:tcPr>
            <w:tcW w:w="12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使用权面积</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13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评估单价</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（元/㎡）</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评估总价</w:t>
            </w:r>
          </w:p>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（万元）</w:t>
            </w:r>
          </w:p>
        </w:tc>
      </w:tr>
      <w:tr>
        <w:tblPrEx>
          <w:tblLayout w:type="fixed"/>
          <w:tblCellMar>
            <w:top w:w="0" w:type="dxa"/>
            <w:left w:w="108" w:type="dxa"/>
            <w:bottom w:w="0" w:type="dxa"/>
            <w:right w:w="108" w:type="dxa"/>
          </w:tblCellMar>
        </w:tblPrEx>
        <w:trPr>
          <w:trHeight w:val="435" w:hRule="atLeast"/>
        </w:trPr>
        <w:tc>
          <w:tcPr>
            <w:tcW w:w="16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高城镇蔡旺村以北、张田路东侧</w:t>
            </w:r>
          </w:p>
        </w:tc>
        <w:tc>
          <w:tcPr>
            <w:tcW w:w="261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高国用（2012）第1658号</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工业用地</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6665.4</w:t>
            </w:r>
          </w:p>
        </w:tc>
        <w:tc>
          <w:tcPr>
            <w:tcW w:w="13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295</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196.63</w:t>
            </w:r>
          </w:p>
        </w:tc>
      </w:tr>
      <w:tr>
        <w:tblPrEx>
          <w:tblLayout w:type="fixed"/>
          <w:tblCellMar>
            <w:top w:w="0" w:type="dxa"/>
            <w:left w:w="108" w:type="dxa"/>
            <w:bottom w:w="0" w:type="dxa"/>
            <w:right w:w="108" w:type="dxa"/>
          </w:tblCellMar>
        </w:tblPrEx>
        <w:trPr>
          <w:trHeight w:val="435" w:hRule="atLeast"/>
        </w:trPr>
        <w:tc>
          <w:tcPr>
            <w:tcW w:w="8080"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总计</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701.92</w:t>
            </w:r>
          </w:p>
        </w:tc>
      </w:tr>
    </w:tbl>
    <w:p>
      <w:pPr>
        <w:pStyle w:val="3"/>
        <w:spacing w:line="360" w:lineRule="auto"/>
        <w:ind w:left="105" w:leftChars="50" w:right="105" w:rightChars="50" w:firstLine="562" w:firstLineChars="200"/>
        <w:contextualSpacing/>
        <w:rPr>
          <w:rFonts w:ascii="仿宋" w:hAnsi="仿宋" w:cs="仿宋"/>
          <w:szCs w:val="28"/>
        </w:rPr>
      </w:pPr>
      <w:r>
        <w:rPr>
          <w:rFonts w:hint="eastAsia" w:ascii="仿宋" w:hAnsi="仿宋" w:cs="仿宋"/>
          <w:szCs w:val="28"/>
        </w:rPr>
        <w:t>十一、</w:t>
      </w:r>
      <w:bookmarkEnd w:id="29"/>
      <w:r>
        <w:rPr>
          <w:rFonts w:hint="eastAsia" w:ascii="仿宋" w:hAnsi="仿宋" w:cs="仿宋"/>
          <w:szCs w:val="28"/>
        </w:rPr>
        <w:t>注册房地产估价师</w:t>
      </w:r>
      <w:bookmarkEnd w:id="30"/>
    </w:p>
    <w:tbl>
      <w:tblPr>
        <w:tblStyle w:val="25"/>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650"/>
        <w:gridCol w:w="3908"/>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360" w:type="dxa"/>
            <w:vAlign w:val="center"/>
          </w:tcPr>
          <w:p>
            <w:pPr>
              <w:widowControl/>
              <w:jc w:val="center"/>
              <w:rPr>
                <w:rFonts w:ascii="仿宋" w:hAnsi="仿宋" w:eastAsia="仿宋" w:cs="宋体"/>
                <w:kern w:val="0"/>
                <w:sz w:val="28"/>
                <w:szCs w:val="28"/>
              </w:rPr>
            </w:pPr>
            <w:bookmarkStart w:id="31" w:name="_Toc413853857"/>
            <w:bookmarkStart w:id="32" w:name="_Toc323216550"/>
            <w:r>
              <w:rPr>
                <w:rFonts w:hint="eastAsia" w:ascii="仿宋" w:hAnsi="仿宋" w:eastAsia="仿宋" w:cs="宋体"/>
                <w:kern w:val="0"/>
                <w:sz w:val="28"/>
                <w:szCs w:val="28"/>
              </w:rPr>
              <w:t>姓名</w:t>
            </w:r>
          </w:p>
        </w:tc>
        <w:tc>
          <w:tcPr>
            <w:tcW w:w="1650" w:type="dxa"/>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注册号</w:t>
            </w:r>
          </w:p>
        </w:tc>
        <w:tc>
          <w:tcPr>
            <w:tcW w:w="3908" w:type="dxa"/>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签    名</w:t>
            </w:r>
          </w:p>
        </w:tc>
        <w:tc>
          <w:tcPr>
            <w:tcW w:w="2613" w:type="dxa"/>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trPr>
        <w:tc>
          <w:tcPr>
            <w:tcW w:w="1360" w:type="dxa"/>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董月华</w:t>
            </w:r>
          </w:p>
        </w:tc>
        <w:tc>
          <w:tcPr>
            <w:tcW w:w="1650" w:type="dxa"/>
            <w:vAlign w:val="center"/>
          </w:tcPr>
          <w:p>
            <w:pPr>
              <w:widowControl/>
              <w:jc w:val="center"/>
              <w:rPr>
                <w:rFonts w:ascii="仿宋" w:hAnsi="仿宋" w:eastAsia="仿宋" w:cs="宋体"/>
                <w:kern w:val="0"/>
                <w:sz w:val="28"/>
                <w:szCs w:val="28"/>
              </w:rPr>
            </w:pPr>
            <w:r>
              <w:rPr>
                <w:rFonts w:hint="eastAsia" w:ascii="仿宋" w:hAnsi="仿宋" w:eastAsia="仿宋"/>
                <w:spacing w:val="-10"/>
                <w:sz w:val="28"/>
                <w:szCs w:val="28"/>
              </w:rPr>
              <w:t>1120040185</w:t>
            </w:r>
          </w:p>
        </w:tc>
        <w:tc>
          <w:tcPr>
            <w:tcW w:w="3908" w:type="dxa"/>
            <w:vAlign w:val="center"/>
          </w:tcPr>
          <w:p>
            <w:pPr>
              <w:widowControl/>
              <w:jc w:val="center"/>
              <w:rPr>
                <w:rFonts w:ascii="仿宋" w:hAnsi="仿宋" w:eastAsia="仿宋" w:cs="宋体"/>
                <w:kern w:val="0"/>
                <w:sz w:val="28"/>
                <w:szCs w:val="28"/>
              </w:rPr>
            </w:pPr>
          </w:p>
        </w:tc>
        <w:tc>
          <w:tcPr>
            <w:tcW w:w="2613" w:type="dxa"/>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仿宋"/>
                <w:sz w:val="28"/>
                <w:szCs w:val="28"/>
                <w:lang w:eastAsia="zh-CN"/>
              </w:rPr>
              <w:t>2019年7月30日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trPr>
        <w:tc>
          <w:tcPr>
            <w:tcW w:w="1360" w:type="dxa"/>
            <w:vAlign w:val="center"/>
          </w:tcPr>
          <w:p>
            <w:pPr>
              <w:tabs>
                <w:tab w:val="left" w:pos="1985"/>
                <w:tab w:val="left" w:pos="3402"/>
              </w:tabs>
              <w:autoSpaceDE w:val="0"/>
              <w:autoSpaceDN w:val="0"/>
              <w:adjustRightInd w:val="0"/>
              <w:snapToGrid w:val="0"/>
              <w:spacing w:line="360" w:lineRule="auto"/>
              <w:jc w:val="center"/>
              <w:textAlignment w:val="bottom"/>
              <w:rPr>
                <w:rFonts w:ascii="仿宋" w:hAnsi="仿宋" w:eastAsia="仿宋" w:cs="宋体"/>
                <w:kern w:val="0"/>
                <w:sz w:val="28"/>
                <w:szCs w:val="28"/>
              </w:rPr>
            </w:pPr>
            <w:r>
              <w:rPr>
                <w:rFonts w:hint="eastAsia" w:ascii="仿宋" w:hAnsi="仿宋" w:eastAsia="仿宋" w:cs="仿宋"/>
                <w:sz w:val="28"/>
                <w:szCs w:val="28"/>
              </w:rPr>
              <w:t>张金华</w:t>
            </w:r>
          </w:p>
        </w:tc>
        <w:tc>
          <w:tcPr>
            <w:tcW w:w="1650" w:type="dxa"/>
            <w:vAlign w:val="center"/>
          </w:tcPr>
          <w:p>
            <w:pPr>
              <w:tabs>
                <w:tab w:val="left" w:pos="1985"/>
                <w:tab w:val="left" w:pos="3402"/>
              </w:tabs>
              <w:autoSpaceDE w:val="0"/>
              <w:autoSpaceDN w:val="0"/>
              <w:adjustRightInd w:val="0"/>
              <w:snapToGrid w:val="0"/>
              <w:spacing w:line="360" w:lineRule="auto"/>
              <w:jc w:val="center"/>
              <w:textAlignment w:val="bottom"/>
              <w:rPr>
                <w:rFonts w:ascii="仿宋" w:hAnsi="仿宋" w:eastAsia="仿宋" w:cs="宋体"/>
                <w:kern w:val="0"/>
                <w:sz w:val="28"/>
                <w:szCs w:val="28"/>
              </w:rPr>
            </w:pPr>
            <w:r>
              <w:rPr>
                <w:rFonts w:hint="eastAsia" w:ascii="仿宋" w:hAnsi="仿宋" w:eastAsia="仿宋"/>
                <w:spacing w:val="-10"/>
                <w:sz w:val="28"/>
                <w:szCs w:val="28"/>
              </w:rPr>
              <w:t>3720160163</w:t>
            </w:r>
          </w:p>
        </w:tc>
        <w:tc>
          <w:tcPr>
            <w:tcW w:w="3908" w:type="dxa"/>
            <w:vAlign w:val="center"/>
          </w:tcPr>
          <w:p>
            <w:pPr>
              <w:widowControl/>
              <w:jc w:val="center"/>
              <w:rPr>
                <w:rFonts w:ascii="仿宋" w:hAnsi="仿宋" w:eastAsia="仿宋" w:cs="宋体"/>
                <w:kern w:val="0"/>
                <w:sz w:val="28"/>
                <w:szCs w:val="28"/>
              </w:rPr>
            </w:pPr>
          </w:p>
        </w:tc>
        <w:tc>
          <w:tcPr>
            <w:tcW w:w="2613" w:type="dxa"/>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仿宋"/>
                <w:sz w:val="28"/>
                <w:szCs w:val="28"/>
                <w:lang w:eastAsia="zh-CN"/>
              </w:rPr>
              <w:t>2019年7月30日</w:t>
            </w:r>
          </w:p>
        </w:tc>
      </w:tr>
    </w:tbl>
    <w:p>
      <w:pPr>
        <w:pStyle w:val="3"/>
        <w:spacing w:before="156" w:beforeLines="50" w:line="360" w:lineRule="auto"/>
        <w:ind w:left="105" w:leftChars="50" w:right="105" w:rightChars="50" w:firstLine="562" w:firstLineChars="200"/>
        <w:contextualSpacing/>
        <w:rPr>
          <w:rFonts w:ascii="仿宋" w:hAnsi="仿宋" w:cs="仿宋"/>
          <w:szCs w:val="28"/>
        </w:rPr>
      </w:pPr>
      <w:bookmarkStart w:id="33" w:name="_Toc15120713"/>
      <w:r>
        <w:rPr>
          <w:rFonts w:hint="eastAsia" w:ascii="仿宋" w:hAnsi="仿宋" w:cs="仿宋"/>
          <w:szCs w:val="28"/>
        </w:rPr>
        <w:t>十二、实地查勘期</w:t>
      </w:r>
      <w:bookmarkEnd w:id="31"/>
      <w:bookmarkEnd w:id="33"/>
    </w:p>
    <w:p>
      <w:pPr>
        <w:ind w:firstLine="700" w:firstLineChars="250"/>
        <w:rPr>
          <w:rFonts w:ascii="仿宋" w:hAnsi="仿宋" w:eastAsia="仿宋"/>
          <w:sz w:val="28"/>
          <w:szCs w:val="28"/>
        </w:rPr>
      </w:pPr>
      <w:r>
        <w:rPr>
          <w:rFonts w:hint="eastAsia" w:ascii="仿宋" w:hAnsi="仿宋" w:eastAsia="仿宋"/>
          <w:sz w:val="28"/>
          <w:szCs w:val="28"/>
        </w:rPr>
        <w:t>2019年7月11日</w:t>
      </w:r>
    </w:p>
    <w:p>
      <w:pPr>
        <w:pStyle w:val="3"/>
        <w:spacing w:line="360" w:lineRule="auto"/>
        <w:ind w:left="105" w:leftChars="50" w:right="105" w:rightChars="50" w:firstLine="562" w:firstLineChars="200"/>
        <w:contextualSpacing/>
        <w:rPr>
          <w:rFonts w:ascii="仿宋" w:hAnsi="仿宋" w:cs="仿宋"/>
          <w:szCs w:val="28"/>
        </w:rPr>
      </w:pPr>
      <w:bookmarkStart w:id="34" w:name="_Toc15120714"/>
      <w:r>
        <w:rPr>
          <w:rFonts w:hint="eastAsia" w:ascii="仿宋" w:hAnsi="仿宋" w:cs="仿宋"/>
          <w:szCs w:val="28"/>
        </w:rPr>
        <w:t>十三、</w:t>
      </w:r>
      <w:r>
        <w:rPr>
          <w:rFonts w:hint="eastAsia" w:ascii="仿宋" w:hAnsi="仿宋"/>
          <w:szCs w:val="28"/>
        </w:rPr>
        <w:t>评估</w:t>
      </w:r>
      <w:r>
        <w:rPr>
          <w:rFonts w:hint="eastAsia" w:ascii="仿宋" w:hAnsi="仿宋" w:cs="仿宋"/>
          <w:szCs w:val="28"/>
        </w:rPr>
        <w:t>作业期</w:t>
      </w:r>
      <w:bookmarkEnd w:id="32"/>
      <w:bookmarkEnd w:id="34"/>
    </w:p>
    <w:p>
      <w:pPr>
        <w:pStyle w:val="11"/>
        <w:spacing w:line="640" w:lineRule="exact"/>
        <w:ind w:right="105" w:rightChars="50" w:firstLine="700" w:firstLineChars="250"/>
        <w:rPr>
          <w:rFonts w:hint="eastAsia" w:ascii="仿宋" w:hAnsi="仿宋" w:eastAsia="仿宋" w:cs="仿宋"/>
          <w:sz w:val="28"/>
          <w:szCs w:val="28"/>
          <w:lang w:eastAsia="zh-CN"/>
        </w:rPr>
      </w:pPr>
      <w:bookmarkStart w:id="39" w:name="_GoBack"/>
      <w:bookmarkEnd w:id="39"/>
      <w:r>
        <w:rPr>
          <w:rFonts w:hint="eastAsia" w:ascii="仿宋" w:hAnsi="仿宋" w:eastAsia="仿宋" w:cs="仿宋"/>
          <w:sz w:val="28"/>
          <w:szCs w:val="28"/>
          <w:lang w:eastAsia="zh-CN"/>
        </w:rPr>
        <w:t>2019年7月6日</w:t>
      </w:r>
      <w:r>
        <w:rPr>
          <w:rFonts w:hint="eastAsia" w:ascii="仿宋" w:hAnsi="仿宋" w:eastAsia="仿宋" w:cs="仿宋"/>
          <w:sz w:val="28"/>
          <w:szCs w:val="28"/>
        </w:rPr>
        <w:t xml:space="preserve">至 </w:t>
      </w:r>
      <w:r>
        <w:rPr>
          <w:rFonts w:hint="eastAsia" w:ascii="仿宋" w:hAnsi="仿宋" w:eastAsia="仿宋" w:cs="仿宋"/>
          <w:sz w:val="28"/>
          <w:szCs w:val="28"/>
          <w:lang w:eastAsia="zh-CN"/>
        </w:rPr>
        <w:t>2019年7月30日</w:t>
      </w:r>
    </w:p>
    <w:p>
      <w:pPr>
        <w:pStyle w:val="2"/>
        <w:spacing w:before="0" w:after="0" w:line="640" w:lineRule="exact"/>
        <w:ind w:right="105" w:rightChars="50"/>
        <w:jc w:val="both"/>
        <w:rPr>
          <w:rFonts w:ascii="仿宋" w:hAnsi="仿宋" w:cs="仿宋"/>
          <w:sz w:val="28"/>
          <w:szCs w:val="28"/>
        </w:rPr>
      </w:pPr>
      <w:bookmarkStart w:id="35" w:name="_Toc436905803"/>
      <w:bookmarkStart w:id="36" w:name="_Toc323216561"/>
      <w:bookmarkStart w:id="37" w:name="_Toc251662434"/>
      <w:bookmarkStart w:id="38" w:name="_Toc251226845"/>
    </w:p>
    <w:p/>
    <w:p>
      <w:pPr>
        <w:pStyle w:val="11"/>
        <w:snapToGrid w:val="0"/>
        <w:spacing w:line="360" w:lineRule="auto"/>
        <w:ind w:right="105" w:rightChars="50" w:firstLine="3920" w:firstLineChars="1400"/>
        <w:rPr>
          <w:rFonts w:ascii="仿宋" w:hAnsi="仿宋" w:eastAsia="仿宋" w:cs="仿宋"/>
          <w:sz w:val="28"/>
          <w:szCs w:val="28"/>
        </w:rPr>
      </w:pPr>
      <w:r>
        <w:rPr>
          <w:rFonts w:hint="eastAsia" w:ascii="仿宋" w:hAnsi="仿宋" w:eastAsia="仿宋" w:cs="仿宋"/>
          <w:sz w:val="28"/>
          <w:szCs w:val="28"/>
        </w:rPr>
        <w:t xml:space="preserve">山东贵恒信房地产土地评估经纪有限公司                                      </w:t>
      </w:r>
    </w:p>
    <w:p>
      <w:pPr>
        <w:pStyle w:val="11"/>
        <w:snapToGrid w:val="0"/>
        <w:spacing w:line="360" w:lineRule="auto"/>
        <w:ind w:left="3150" w:leftChars="1500" w:right="105" w:rightChars="50" w:firstLine="1820" w:firstLineChars="65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二〇一九年七月三十日</w:t>
      </w: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150" w:leftChars="1500" w:right="105" w:rightChars="50" w:firstLine="1820" w:firstLineChars="650"/>
        <w:jc w:val="left"/>
        <w:rPr>
          <w:rFonts w:ascii="仿宋" w:hAnsi="仿宋" w:eastAsia="仿宋" w:cs="仿宋"/>
          <w:sz w:val="28"/>
          <w:szCs w:val="28"/>
        </w:rPr>
      </w:pPr>
    </w:p>
    <w:p>
      <w:pPr>
        <w:pStyle w:val="11"/>
        <w:snapToGrid w:val="0"/>
        <w:spacing w:line="360" w:lineRule="auto"/>
        <w:ind w:left="3255" w:leftChars="1550" w:right="105" w:rightChars="50"/>
        <w:jc w:val="left"/>
        <w:rPr>
          <w:rFonts w:ascii="仿宋" w:hAnsi="仿宋" w:eastAsia="仿宋" w:cs="仿宋"/>
          <w:b/>
          <w:sz w:val="28"/>
          <w:szCs w:val="28"/>
        </w:rPr>
      </w:pPr>
      <w:r>
        <w:rPr>
          <w:rFonts w:hint="eastAsia" w:ascii="仿宋" w:hAnsi="仿宋" w:eastAsia="仿宋" w:cs="仿宋"/>
          <w:b/>
          <w:sz w:val="28"/>
          <w:szCs w:val="28"/>
        </w:rPr>
        <w:t>第四部分  附 件</w:t>
      </w:r>
      <w:bookmarkEnd w:id="35"/>
    </w:p>
    <w:p>
      <w:pPr>
        <w:spacing w:line="360" w:lineRule="auto"/>
        <w:ind w:right="105" w:rightChars="50"/>
        <w:jc w:val="left"/>
        <w:rPr>
          <w:rFonts w:ascii="仿宋" w:hAnsi="仿宋" w:eastAsia="仿宋" w:cs="仿宋"/>
          <w:sz w:val="28"/>
          <w:szCs w:val="28"/>
        </w:rPr>
      </w:pPr>
      <w:r>
        <w:rPr>
          <w:rFonts w:hint="eastAsia" w:ascii="仿宋" w:hAnsi="仿宋" w:eastAsia="仿宋" w:cs="仿宋"/>
          <w:sz w:val="28"/>
          <w:szCs w:val="28"/>
        </w:rPr>
        <w:t xml:space="preserve">       1、《高清县人民法院委托书》（复印件）；</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rPr>
        <w:t>2、《国有土地使用证》（复印件）：</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rPr>
        <w:t>3、《房屋所有权证》（复印件）；</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rPr>
        <w:t>4、《土地他项权利证》（复印件）；</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rPr>
        <w:t>5、《房屋他项权利证》（复印件）；</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rPr>
        <w:t>6、《房地产抵押清单》（复印件）；</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、评估对象位置图；</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、评估对象现场照片；</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、估价机构营业执照（复印件）；</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、估价机构资质证书（复印件）；</w:t>
      </w:r>
    </w:p>
    <w:p>
      <w:pPr>
        <w:spacing w:line="600" w:lineRule="exact"/>
        <w:ind w:right="105" w:rightChars="50" w:firstLine="980" w:firstLineChars="350"/>
        <w:jc w:val="left"/>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、注册房地产估价师</w:t>
      </w:r>
      <w:r>
        <w:rPr>
          <w:rFonts w:hint="eastAsia" w:ascii="仿宋" w:hAnsi="仿宋" w:eastAsia="仿宋" w:cs="仿宋"/>
          <w:sz w:val="28"/>
          <w:szCs w:val="28"/>
          <w:lang w:eastAsia="zh-CN"/>
        </w:rPr>
        <w:t>注册</w:t>
      </w:r>
      <w:r>
        <w:rPr>
          <w:rFonts w:hint="eastAsia" w:ascii="仿宋" w:hAnsi="仿宋" w:eastAsia="仿宋" w:cs="仿宋"/>
          <w:sz w:val="28"/>
          <w:szCs w:val="28"/>
        </w:rPr>
        <w:t>证书（复印件）。</w:t>
      </w:r>
      <w:bookmarkEnd w:id="36"/>
      <w:bookmarkEnd w:id="37"/>
      <w:bookmarkEnd w:id="38"/>
    </w:p>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247" w:left="130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宋体-18030">
    <w:altName w:val="微软雅黑"/>
    <w:panose1 w:val="00000000000000000000"/>
    <w:charset w:val="86"/>
    <w:family w:val="modern"/>
    <w:pitch w:val="default"/>
    <w:sig w:usb0="00000000" w:usb1="00000000" w:usb2="0000001E" w:usb3="00000000" w:csb0="003C004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 w:hAnsi="仿宋" w:eastAsia="仿宋"/>
      </w:rPr>
    </w:pPr>
    <w:r>
      <w:rPr>
        <w:rFonts w:ascii="仿宋" w:hAnsi="仿宋" w:eastAsia="仿宋"/>
      </w:rPr>
      <w:fldChar w:fldCharType="begin"/>
    </w:r>
    <w:r>
      <w:rPr>
        <w:rStyle w:val="28"/>
        <w:rFonts w:ascii="仿宋" w:hAnsi="仿宋" w:eastAsia="仿宋"/>
      </w:rPr>
      <w:instrText xml:space="preserve"> PAGE </w:instrText>
    </w:r>
    <w:r>
      <w:rPr>
        <w:rFonts w:ascii="仿宋" w:hAnsi="仿宋" w:eastAsia="仿宋"/>
      </w:rPr>
      <w:fldChar w:fldCharType="separate"/>
    </w:r>
    <w:r>
      <w:rPr>
        <w:rStyle w:val="28"/>
        <w:rFonts w:ascii="仿宋" w:hAnsi="仿宋" w:eastAsia="仿宋"/>
      </w:rPr>
      <w:t>23</w:t>
    </w:r>
    <w:r>
      <w:rPr>
        <w:rFonts w:ascii="仿宋" w:hAnsi="仿宋" w:eastAsia="仿宋"/>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 w:hAnsi="仿宋" w:eastAsia="仿宋"/>
      </w:rPr>
    </w:pPr>
    <w:r>
      <w:rPr>
        <w:rFonts w:hint="eastAsia" w:ascii="仿宋" w:hAnsi="仿宋" w:eastAsia="仿宋"/>
      </w:rPr>
      <w:t>山东贵恒信房地产土地评估经纪有限公司 电话：（0531）87921930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111DC4"/>
    <w:multiLevelType w:val="singleLevel"/>
    <w:tmpl w:val="F3111DC4"/>
    <w:lvl w:ilvl="0" w:tentative="0">
      <w:start w:val="3"/>
      <w:numFmt w:val="decimal"/>
      <w:suff w:val="nothing"/>
      <w:lvlText w:val="%1、"/>
      <w:lvlJc w:val="left"/>
    </w:lvl>
  </w:abstractNum>
  <w:abstractNum w:abstractNumId="1">
    <w:nsid w:val="52B97AE9"/>
    <w:multiLevelType w:val="singleLevel"/>
    <w:tmpl w:val="52B97AE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5A2"/>
    <w:rsid w:val="00002412"/>
    <w:rsid w:val="0000257C"/>
    <w:rsid w:val="00002961"/>
    <w:rsid w:val="00003338"/>
    <w:rsid w:val="000044A5"/>
    <w:rsid w:val="00004B8F"/>
    <w:rsid w:val="0000544F"/>
    <w:rsid w:val="00007E01"/>
    <w:rsid w:val="0001006C"/>
    <w:rsid w:val="000118C6"/>
    <w:rsid w:val="0001240F"/>
    <w:rsid w:val="00012B46"/>
    <w:rsid w:val="000133C6"/>
    <w:rsid w:val="00013E7F"/>
    <w:rsid w:val="00014D7D"/>
    <w:rsid w:val="00015C97"/>
    <w:rsid w:val="00016E94"/>
    <w:rsid w:val="000179CE"/>
    <w:rsid w:val="00020A98"/>
    <w:rsid w:val="00021449"/>
    <w:rsid w:val="00023A39"/>
    <w:rsid w:val="00024419"/>
    <w:rsid w:val="000255D2"/>
    <w:rsid w:val="00025F98"/>
    <w:rsid w:val="00026401"/>
    <w:rsid w:val="000264D0"/>
    <w:rsid w:val="000308FB"/>
    <w:rsid w:val="0003095C"/>
    <w:rsid w:val="00031AEF"/>
    <w:rsid w:val="00033579"/>
    <w:rsid w:val="00033A05"/>
    <w:rsid w:val="000356FD"/>
    <w:rsid w:val="000368FD"/>
    <w:rsid w:val="000376BD"/>
    <w:rsid w:val="00037DA1"/>
    <w:rsid w:val="00037E86"/>
    <w:rsid w:val="00040498"/>
    <w:rsid w:val="00041391"/>
    <w:rsid w:val="000416EE"/>
    <w:rsid w:val="00041C9C"/>
    <w:rsid w:val="000424A8"/>
    <w:rsid w:val="00042661"/>
    <w:rsid w:val="0004276B"/>
    <w:rsid w:val="00043708"/>
    <w:rsid w:val="000440A7"/>
    <w:rsid w:val="00044E37"/>
    <w:rsid w:val="00044EDA"/>
    <w:rsid w:val="0004659B"/>
    <w:rsid w:val="00046C6F"/>
    <w:rsid w:val="0004703A"/>
    <w:rsid w:val="000470AB"/>
    <w:rsid w:val="00050C84"/>
    <w:rsid w:val="00051017"/>
    <w:rsid w:val="00051415"/>
    <w:rsid w:val="00052AD0"/>
    <w:rsid w:val="00054446"/>
    <w:rsid w:val="00055D6E"/>
    <w:rsid w:val="00055D94"/>
    <w:rsid w:val="00056CAD"/>
    <w:rsid w:val="00057BB1"/>
    <w:rsid w:val="00057ED3"/>
    <w:rsid w:val="00060D47"/>
    <w:rsid w:val="00061BEB"/>
    <w:rsid w:val="000625DF"/>
    <w:rsid w:val="00062E5E"/>
    <w:rsid w:val="00063A73"/>
    <w:rsid w:val="000643C0"/>
    <w:rsid w:val="0006470C"/>
    <w:rsid w:val="0006523C"/>
    <w:rsid w:val="000665E6"/>
    <w:rsid w:val="000676CA"/>
    <w:rsid w:val="00067DEB"/>
    <w:rsid w:val="00067FAD"/>
    <w:rsid w:val="00070147"/>
    <w:rsid w:val="0007023B"/>
    <w:rsid w:val="00070C4F"/>
    <w:rsid w:val="00071E68"/>
    <w:rsid w:val="00072E4D"/>
    <w:rsid w:val="00073033"/>
    <w:rsid w:val="00075193"/>
    <w:rsid w:val="000763FE"/>
    <w:rsid w:val="00077120"/>
    <w:rsid w:val="000771FD"/>
    <w:rsid w:val="00077209"/>
    <w:rsid w:val="00077DB9"/>
    <w:rsid w:val="000826EC"/>
    <w:rsid w:val="000832DF"/>
    <w:rsid w:val="000839E0"/>
    <w:rsid w:val="000841BA"/>
    <w:rsid w:val="0008474F"/>
    <w:rsid w:val="00084753"/>
    <w:rsid w:val="0008490D"/>
    <w:rsid w:val="000849E5"/>
    <w:rsid w:val="00085E46"/>
    <w:rsid w:val="00085ED5"/>
    <w:rsid w:val="0008698E"/>
    <w:rsid w:val="000869AF"/>
    <w:rsid w:val="00091ECA"/>
    <w:rsid w:val="00091F2F"/>
    <w:rsid w:val="000921B0"/>
    <w:rsid w:val="00092314"/>
    <w:rsid w:val="0009426B"/>
    <w:rsid w:val="0009448E"/>
    <w:rsid w:val="00094577"/>
    <w:rsid w:val="000951EF"/>
    <w:rsid w:val="0009691F"/>
    <w:rsid w:val="00097D4B"/>
    <w:rsid w:val="000A00EA"/>
    <w:rsid w:val="000A09B1"/>
    <w:rsid w:val="000A380A"/>
    <w:rsid w:val="000A3884"/>
    <w:rsid w:val="000A3C84"/>
    <w:rsid w:val="000A4890"/>
    <w:rsid w:val="000A7FC7"/>
    <w:rsid w:val="000B0F5C"/>
    <w:rsid w:val="000B4056"/>
    <w:rsid w:val="000B42FA"/>
    <w:rsid w:val="000B4B4A"/>
    <w:rsid w:val="000B51DB"/>
    <w:rsid w:val="000B53E8"/>
    <w:rsid w:val="000B5FAD"/>
    <w:rsid w:val="000B70A6"/>
    <w:rsid w:val="000C09A2"/>
    <w:rsid w:val="000C199A"/>
    <w:rsid w:val="000C3990"/>
    <w:rsid w:val="000C3B46"/>
    <w:rsid w:val="000C3D8C"/>
    <w:rsid w:val="000C5946"/>
    <w:rsid w:val="000D0133"/>
    <w:rsid w:val="000D13A9"/>
    <w:rsid w:val="000D1427"/>
    <w:rsid w:val="000D17B7"/>
    <w:rsid w:val="000D1A06"/>
    <w:rsid w:val="000D4127"/>
    <w:rsid w:val="000D49CB"/>
    <w:rsid w:val="000D5E12"/>
    <w:rsid w:val="000D5E85"/>
    <w:rsid w:val="000D7746"/>
    <w:rsid w:val="000D7F98"/>
    <w:rsid w:val="000E04EB"/>
    <w:rsid w:val="000E1037"/>
    <w:rsid w:val="000E19EA"/>
    <w:rsid w:val="000E3235"/>
    <w:rsid w:val="000E3F84"/>
    <w:rsid w:val="000E426D"/>
    <w:rsid w:val="000E5290"/>
    <w:rsid w:val="000E64B0"/>
    <w:rsid w:val="000E781D"/>
    <w:rsid w:val="000F0296"/>
    <w:rsid w:val="000F0848"/>
    <w:rsid w:val="000F0ADD"/>
    <w:rsid w:val="000F0F59"/>
    <w:rsid w:val="000F1411"/>
    <w:rsid w:val="000F1742"/>
    <w:rsid w:val="000F27FA"/>
    <w:rsid w:val="000F2D89"/>
    <w:rsid w:val="000F314C"/>
    <w:rsid w:val="000F384E"/>
    <w:rsid w:val="000F3B2F"/>
    <w:rsid w:val="000F454C"/>
    <w:rsid w:val="000F4DF5"/>
    <w:rsid w:val="000F6648"/>
    <w:rsid w:val="0010079A"/>
    <w:rsid w:val="00100E02"/>
    <w:rsid w:val="001017DB"/>
    <w:rsid w:val="00101D4F"/>
    <w:rsid w:val="001023B6"/>
    <w:rsid w:val="0010280D"/>
    <w:rsid w:val="00102AB5"/>
    <w:rsid w:val="0010554D"/>
    <w:rsid w:val="00106E32"/>
    <w:rsid w:val="00110A9E"/>
    <w:rsid w:val="00110B1B"/>
    <w:rsid w:val="001122E0"/>
    <w:rsid w:val="00113BE0"/>
    <w:rsid w:val="00115398"/>
    <w:rsid w:val="00115C5B"/>
    <w:rsid w:val="00116E81"/>
    <w:rsid w:val="0012026F"/>
    <w:rsid w:val="001212F1"/>
    <w:rsid w:val="0012161F"/>
    <w:rsid w:val="0012297D"/>
    <w:rsid w:val="00122DC0"/>
    <w:rsid w:val="00123EA9"/>
    <w:rsid w:val="00125083"/>
    <w:rsid w:val="001251B5"/>
    <w:rsid w:val="00125B3F"/>
    <w:rsid w:val="00125F3A"/>
    <w:rsid w:val="0012796A"/>
    <w:rsid w:val="00127A1A"/>
    <w:rsid w:val="001300EB"/>
    <w:rsid w:val="00131504"/>
    <w:rsid w:val="00132463"/>
    <w:rsid w:val="00132650"/>
    <w:rsid w:val="001326C5"/>
    <w:rsid w:val="00133461"/>
    <w:rsid w:val="0013350E"/>
    <w:rsid w:val="00133756"/>
    <w:rsid w:val="00133EF4"/>
    <w:rsid w:val="001355F1"/>
    <w:rsid w:val="00135A75"/>
    <w:rsid w:val="00135D71"/>
    <w:rsid w:val="00137B42"/>
    <w:rsid w:val="0014039B"/>
    <w:rsid w:val="001409A8"/>
    <w:rsid w:val="00140F50"/>
    <w:rsid w:val="00141402"/>
    <w:rsid w:val="00141965"/>
    <w:rsid w:val="00142CC6"/>
    <w:rsid w:val="00143F39"/>
    <w:rsid w:val="00144776"/>
    <w:rsid w:val="00144C98"/>
    <w:rsid w:val="00145E95"/>
    <w:rsid w:val="0014630F"/>
    <w:rsid w:val="001468BF"/>
    <w:rsid w:val="001478D8"/>
    <w:rsid w:val="00150567"/>
    <w:rsid w:val="00150A07"/>
    <w:rsid w:val="00151D4C"/>
    <w:rsid w:val="001525B3"/>
    <w:rsid w:val="0015328B"/>
    <w:rsid w:val="00153D0F"/>
    <w:rsid w:val="001547F1"/>
    <w:rsid w:val="00156B06"/>
    <w:rsid w:val="0015788D"/>
    <w:rsid w:val="001617FB"/>
    <w:rsid w:val="0016184E"/>
    <w:rsid w:val="00162675"/>
    <w:rsid w:val="00163152"/>
    <w:rsid w:val="0016463F"/>
    <w:rsid w:val="00167783"/>
    <w:rsid w:val="00167AD5"/>
    <w:rsid w:val="00172593"/>
    <w:rsid w:val="00172A27"/>
    <w:rsid w:val="0017428E"/>
    <w:rsid w:val="0017796E"/>
    <w:rsid w:val="00180FD8"/>
    <w:rsid w:val="00183AED"/>
    <w:rsid w:val="00184EFB"/>
    <w:rsid w:val="0018659F"/>
    <w:rsid w:val="00186CDE"/>
    <w:rsid w:val="00186E0A"/>
    <w:rsid w:val="00186F5D"/>
    <w:rsid w:val="00187DD0"/>
    <w:rsid w:val="0019015D"/>
    <w:rsid w:val="00192663"/>
    <w:rsid w:val="00192977"/>
    <w:rsid w:val="00193400"/>
    <w:rsid w:val="00194196"/>
    <w:rsid w:val="001951B3"/>
    <w:rsid w:val="0019527B"/>
    <w:rsid w:val="00196E03"/>
    <w:rsid w:val="00196ED5"/>
    <w:rsid w:val="00196EE8"/>
    <w:rsid w:val="00197AEC"/>
    <w:rsid w:val="001A1594"/>
    <w:rsid w:val="001A1F52"/>
    <w:rsid w:val="001A309E"/>
    <w:rsid w:val="001A3C30"/>
    <w:rsid w:val="001A4621"/>
    <w:rsid w:val="001A6AE9"/>
    <w:rsid w:val="001A7604"/>
    <w:rsid w:val="001B087A"/>
    <w:rsid w:val="001B0AF4"/>
    <w:rsid w:val="001B0B3B"/>
    <w:rsid w:val="001B12CD"/>
    <w:rsid w:val="001B13F3"/>
    <w:rsid w:val="001B21CD"/>
    <w:rsid w:val="001B2BA2"/>
    <w:rsid w:val="001B4F74"/>
    <w:rsid w:val="001B5169"/>
    <w:rsid w:val="001B52C2"/>
    <w:rsid w:val="001B5B54"/>
    <w:rsid w:val="001B796C"/>
    <w:rsid w:val="001B7C94"/>
    <w:rsid w:val="001C3720"/>
    <w:rsid w:val="001C494F"/>
    <w:rsid w:val="001C4EAB"/>
    <w:rsid w:val="001C6287"/>
    <w:rsid w:val="001C6BD2"/>
    <w:rsid w:val="001C72B4"/>
    <w:rsid w:val="001C7B63"/>
    <w:rsid w:val="001D0530"/>
    <w:rsid w:val="001D57ED"/>
    <w:rsid w:val="001D62D5"/>
    <w:rsid w:val="001D6C46"/>
    <w:rsid w:val="001D7099"/>
    <w:rsid w:val="001D7285"/>
    <w:rsid w:val="001D79F9"/>
    <w:rsid w:val="001D7CF9"/>
    <w:rsid w:val="001E39CE"/>
    <w:rsid w:val="001E3DE2"/>
    <w:rsid w:val="001E4662"/>
    <w:rsid w:val="001E4E22"/>
    <w:rsid w:val="001E4E4D"/>
    <w:rsid w:val="001E5143"/>
    <w:rsid w:val="001E5B9F"/>
    <w:rsid w:val="001E701F"/>
    <w:rsid w:val="001E7311"/>
    <w:rsid w:val="001E7557"/>
    <w:rsid w:val="001F04EC"/>
    <w:rsid w:val="001F0DD5"/>
    <w:rsid w:val="001F3371"/>
    <w:rsid w:val="001F423E"/>
    <w:rsid w:val="001F51C2"/>
    <w:rsid w:val="001F6B3B"/>
    <w:rsid w:val="001F7B33"/>
    <w:rsid w:val="00201C4F"/>
    <w:rsid w:val="00203982"/>
    <w:rsid w:val="0020509D"/>
    <w:rsid w:val="00205990"/>
    <w:rsid w:val="00207A41"/>
    <w:rsid w:val="002132C3"/>
    <w:rsid w:val="00213C9D"/>
    <w:rsid w:val="00214249"/>
    <w:rsid w:val="002144EC"/>
    <w:rsid w:val="00214513"/>
    <w:rsid w:val="00214971"/>
    <w:rsid w:val="00215C52"/>
    <w:rsid w:val="0021636E"/>
    <w:rsid w:val="00217A5D"/>
    <w:rsid w:val="00217AFF"/>
    <w:rsid w:val="00217C5C"/>
    <w:rsid w:val="00220379"/>
    <w:rsid w:val="00220532"/>
    <w:rsid w:val="00220FD5"/>
    <w:rsid w:val="002212BC"/>
    <w:rsid w:val="00227355"/>
    <w:rsid w:val="00227458"/>
    <w:rsid w:val="00231BCF"/>
    <w:rsid w:val="0023267A"/>
    <w:rsid w:val="00232F7D"/>
    <w:rsid w:val="0023319E"/>
    <w:rsid w:val="002338A9"/>
    <w:rsid w:val="00233F32"/>
    <w:rsid w:val="0023479C"/>
    <w:rsid w:val="002352A0"/>
    <w:rsid w:val="00235A45"/>
    <w:rsid w:val="00235FDA"/>
    <w:rsid w:val="00236B85"/>
    <w:rsid w:val="0023747A"/>
    <w:rsid w:val="002379A7"/>
    <w:rsid w:val="00240FD8"/>
    <w:rsid w:val="002412B9"/>
    <w:rsid w:val="00241435"/>
    <w:rsid w:val="00241D33"/>
    <w:rsid w:val="0024230F"/>
    <w:rsid w:val="0024319B"/>
    <w:rsid w:val="002441F7"/>
    <w:rsid w:val="00244B26"/>
    <w:rsid w:val="00245661"/>
    <w:rsid w:val="00245A5D"/>
    <w:rsid w:val="00246474"/>
    <w:rsid w:val="00246BFF"/>
    <w:rsid w:val="00246C27"/>
    <w:rsid w:val="002477AA"/>
    <w:rsid w:val="002478C7"/>
    <w:rsid w:val="00247B33"/>
    <w:rsid w:val="0025028C"/>
    <w:rsid w:val="0025069F"/>
    <w:rsid w:val="0025088F"/>
    <w:rsid w:val="00251DD5"/>
    <w:rsid w:val="0025301E"/>
    <w:rsid w:val="0025498E"/>
    <w:rsid w:val="00254C37"/>
    <w:rsid w:val="00255434"/>
    <w:rsid w:val="00255928"/>
    <w:rsid w:val="00256263"/>
    <w:rsid w:val="00256CCE"/>
    <w:rsid w:val="00257C03"/>
    <w:rsid w:val="0026067B"/>
    <w:rsid w:val="002610FF"/>
    <w:rsid w:val="00261DE6"/>
    <w:rsid w:val="002622FD"/>
    <w:rsid w:val="002639AB"/>
    <w:rsid w:val="00264C10"/>
    <w:rsid w:val="00265B27"/>
    <w:rsid w:val="00266EAA"/>
    <w:rsid w:val="00267F7C"/>
    <w:rsid w:val="002742FE"/>
    <w:rsid w:val="0027442C"/>
    <w:rsid w:val="002749BF"/>
    <w:rsid w:val="002756B9"/>
    <w:rsid w:val="0027775E"/>
    <w:rsid w:val="00277D5B"/>
    <w:rsid w:val="00284A94"/>
    <w:rsid w:val="00284C1F"/>
    <w:rsid w:val="00285CFE"/>
    <w:rsid w:val="002867A7"/>
    <w:rsid w:val="002876CA"/>
    <w:rsid w:val="00287A24"/>
    <w:rsid w:val="00290D87"/>
    <w:rsid w:val="00291627"/>
    <w:rsid w:val="0029235C"/>
    <w:rsid w:val="0029346C"/>
    <w:rsid w:val="00294F4E"/>
    <w:rsid w:val="00294FD4"/>
    <w:rsid w:val="00296D87"/>
    <w:rsid w:val="0029735A"/>
    <w:rsid w:val="00297464"/>
    <w:rsid w:val="002A04B8"/>
    <w:rsid w:val="002A07AA"/>
    <w:rsid w:val="002A13FA"/>
    <w:rsid w:val="002A1FA9"/>
    <w:rsid w:val="002A3113"/>
    <w:rsid w:val="002A330D"/>
    <w:rsid w:val="002A4918"/>
    <w:rsid w:val="002A6FA1"/>
    <w:rsid w:val="002A72D1"/>
    <w:rsid w:val="002A734E"/>
    <w:rsid w:val="002B0906"/>
    <w:rsid w:val="002B16F3"/>
    <w:rsid w:val="002B342E"/>
    <w:rsid w:val="002B370D"/>
    <w:rsid w:val="002B4ABE"/>
    <w:rsid w:val="002B4ECE"/>
    <w:rsid w:val="002B4EE3"/>
    <w:rsid w:val="002B510B"/>
    <w:rsid w:val="002B55ED"/>
    <w:rsid w:val="002B59D9"/>
    <w:rsid w:val="002B5ABA"/>
    <w:rsid w:val="002B6882"/>
    <w:rsid w:val="002B78DE"/>
    <w:rsid w:val="002C00C1"/>
    <w:rsid w:val="002C03D4"/>
    <w:rsid w:val="002C130B"/>
    <w:rsid w:val="002C197A"/>
    <w:rsid w:val="002C24C0"/>
    <w:rsid w:val="002C3F7A"/>
    <w:rsid w:val="002C4938"/>
    <w:rsid w:val="002C4C63"/>
    <w:rsid w:val="002C5275"/>
    <w:rsid w:val="002C53BF"/>
    <w:rsid w:val="002C57B1"/>
    <w:rsid w:val="002C61A8"/>
    <w:rsid w:val="002C6291"/>
    <w:rsid w:val="002D0741"/>
    <w:rsid w:val="002D1246"/>
    <w:rsid w:val="002D17D7"/>
    <w:rsid w:val="002D1B5E"/>
    <w:rsid w:val="002D226C"/>
    <w:rsid w:val="002D22BA"/>
    <w:rsid w:val="002D2614"/>
    <w:rsid w:val="002D27F6"/>
    <w:rsid w:val="002D329A"/>
    <w:rsid w:val="002D3481"/>
    <w:rsid w:val="002D677B"/>
    <w:rsid w:val="002E0180"/>
    <w:rsid w:val="002E3472"/>
    <w:rsid w:val="002E3910"/>
    <w:rsid w:val="002E4600"/>
    <w:rsid w:val="002E4A33"/>
    <w:rsid w:val="002E5AB8"/>
    <w:rsid w:val="002E69E9"/>
    <w:rsid w:val="002E7B9F"/>
    <w:rsid w:val="002F09C6"/>
    <w:rsid w:val="002F2126"/>
    <w:rsid w:val="002F3109"/>
    <w:rsid w:val="002F43CC"/>
    <w:rsid w:val="002F45CE"/>
    <w:rsid w:val="002F6352"/>
    <w:rsid w:val="002F66B2"/>
    <w:rsid w:val="002F6914"/>
    <w:rsid w:val="002F69DE"/>
    <w:rsid w:val="00300507"/>
    <w:rsid w:val="00300FE3"/>
    <w:rsid w:val="00302B10"/>
    <w:rsid w:val="00303188"/>
    <w:rsid w:val="003047E6"/>
    <w:rsid w:val="00304A5E"/>
    <w:rsid w:val="00305D44"/>
    <w:rsid w:val="00306536"/>
    <w:rsid w:val="00306F5B"/>
    <w:rsid w:val="00306FBB"/>
    <w:rsid w:val="003071A4"/>
    <w:rsid w:val="003104AD"/>
    <w:rsid w:val="0031094D"/>
    <w:rsid w:val="003123D1"/>
    <w:rsid w:val="00312838"/>
    <w:rsid w:val="00312DDF"/>
    <w:rsid w:val="00312EF6"/>
    <w:rsid w:val="0031516D"/>
    <w:rsid w:val="0031656E"/>
    <w:rsid w:val="00317564"/>
    <w:rsid w:val="00320234"/>
    <w:rsid w:val="003209CC"/>
    <w:rsid w:val="003212F5"/>
    <w:rsid w:val="0032223B"/>
    <w:rsid w:val="00323B50"/>
    <w:rsid w:val="0032465A"/>
    <w:rsid w:val="00324A07"/>
    <w:rsid w:val="0032521A"/>
    <w:rsid w:val="003266A7"/>
    <w:rsid w:val="00330085"/>
    <w:rsid w:val="003301E0"/>
    <w:rsid w:val="003305AB"/>
    <w:rsid w:val="00331618"/>
    <w:rsid w:val="0033339C"/>
    <w:rsid w:val="00334E2B"/>
    <w:rsid w:val="0033537F"/>
    <w:rsid w:val="003375E5"/>
    <w:rsid w:val="00340049"/>
    <w:rsid w:val="00340693"/>
    <w:rsid w:val="00341AB0"/>
    <w:rsid w:val="00341C99"/>
    <w:rsid w:val="00342148"/>
    <w:rsid w:val="00342659"/>
    <w:rsid w:val="00342DCE"/>
    <w:rsid w:val="003435B0"/>
    <w:rsid w:val="00345DCA"/>
    <w:rsid w:val="00346F2C"/>
    <w:rsid w:val="00347279"/>
    <w:rsid w:val="00347B89"/>
    <w:rsid w:val="003510AE"/>
    <w:rsid w:val="003520E5"/>
    <w:rsid w:val="00352F4B"/>
    <w:rsid w:val="003535C2"/>
    <w:rsid w:val="003537D6"/>
    <w:rsid w:val="00353FC7"/>
    <w:rsid w:val="00354359"/>
    <w:rsid w:val="00357E26"/>
    <w:rsid w:val="003619C0"/>
    <w:rsid w:val="00362EC4"/>
    <w:rsid w:val="00363EED"/>
    <w:rsid w:val="00365807"/>
    <w:rsid w:val="003672AC"/>
    <w:rsid w:val="003678A2"/>
    <w:rsid w:val="00367EC1"/>
    <w:rsid w:val="003714EF"/>
    <w:rsid w:val="00372644"/>
    <w:rsid w:val="0037309D"/>
    <w:rsid w:val="00373751"/>
    <w:rsid w:val="00376964"/>
    <w:rsid w:val="00377792"/>
    <w:rsid w:val="00377CA7"/>
    <w:rsid w:val="00380773"/>
    <w:rsid w:val="00381056"/>
    <w:rsid w:val="003827FD"/>
    <w:rsid w:val="003833F7"/>
    <w:rsid w:val="00383A03"/>
    <w:rsid w:val="003849B6"/>
    <w:rsid w:val="00385E42"/>
    <w:rsid w:val="003861B6"/>
    <w:rsid w:val="003912A2"/>
    <w:rsid w:val="003920DE"/>
    <w:rsid w:val="00392335"/>
    <w:rsid w:val="00392A74"/>
    <w:rsid w:val="00394424"/>
    <w:rsid w:val="00394772"/>
    <w:rsid w:val="00395856"/>
    <w:rsid w:val="00396726"/>
    <w:rsid w:val="00396D8D"/>
    <w:rsid w:val="00397813"/>
    <w:rsid w:val="003A0C1A"/>
    <w:rsid w:val="003A0DF8"/>
    <w:rsid w:val="003A0E4F"/>
    <w:rsid w:val="003A1C8F"/>
    <w:rsid w:val="003A243F"/>
    <w:rsid w:val="003A2CB8"/>
    <w:rsid w:val="003A507E"/>
    <w:rsid w:val="003A5B76"/>
    <w:rsid w:val="003A5F11"/>
    <w:rsid w:val="003B1372"/>
    <w:rsid w:val="003B41EB"/>
    <w:rsid w:val="003B4B60"/>
    <w:rsid w:val="003B5D04"/>
    <w:rsid w:val="003B6229"/>
    <w:rsid w:val="003B7455"/>
    <w:rsid w:val="003C0B2C"/>
    <w:rsid w:val="003C173A"/>
    <w:rsid w:val="003C245A"/>
    <w:rsid w:val="003C270C"/>
    <w:rsid w:val="003C2857"/>
    <w:rsid w:val="003C2C22"/>
    <w:rsid w:val="003C2DB4"/>
    <w:rsid w:val="003C30D5"/>
    <w:rsid w:val="003C41D2"/>
    <w:rsid w:val="003C4C03"/>
    <w:rsid w:val="003C5AAC"/>
    <w:rsid w:val="003C7E7D"/>
    <w:rsid w:val="003D0E4C"/>
    <w:rsid w:val="003D1578"/>
    <w:rsid w:val="003D1888"/>
    <w:rsid w:val="003D2D77"/>
    <w:rsid w:val="003D306D"/>
    <w:rsid w:val="003D62B0"/>
    <w:rsid w:val="003D62FD"/>
    <w:rsid w:val="003D677F"/>
    <w:rsid w:val="003D7914"/>
    <w:rsid w:val="003E0EFB"/>
    <w:rsid w:val="003E12ED"/>
    <w:rsid w:val="003E2FE0"/>
    <w:rsid w:val="003E3030"/>
    <w:rsid w:val="003E3AB4"/>
    <w:rsid w:val="003E4151"/>
    <w:rsid w:val="003E5754"/>
    <w:rsid w:val="003E7C01"/>
    <w:rsid w:val="003F18D0"/>
    <w:rsid w:val="003F234C"/>
    <w:rsid w:val="003F2921"/>
    <w:rsid w:val="003F3D66"/>
    <w:rsid w:val="003F48C9"/>
    <w:rsid w:val="003F4A43"/>
    <w:rsid w:val="003F509D"/>
    <w:rsid w:val="003F5C00"/>
    <w:rsid w:val="003F6385"/>
    <w:rsid w:val="003F6821"/>
    <w:rsid w:val="00400F88"/>
    <w:rsid w:val="004061D8"/>
    <w:rsid w:val="0040692F"/>
    <w:rsid w:val="00407150"/>
    <w:rsid w:val="00407A89"/>
    <w:rsid w:val="004103FE"/>
    <w:rsid w:val="00410C83"/>
    <w:rsid w:val="00411612"/>
    <w:rsid w:val="004116BF"/>
    <w:rsid w:val="00412986"/>
    <w:rsid w:val="00413744"/>
    <w:rsid w:val="0041521C"/>
    <w:rsid w:val="00415332"/>
    <w:rsid w:val="004161E0"/>
    <w:rsid w:val="004162AB"/>
    <w:rsid w:val="004167E6"/>
    <w:rsid w:val="00420055"/>
    <w:rsid w:val="0042031F"/>
    <w:rsid w:val="004214AB"/>
    <w:rsid w:val="004215F2"/>
    <w:rsid w:val="004218BB"/>
    <w:rsid w:val="00421DC5"/>
    <w:rsid w:val="004255F9"/>
    <w:rsid w:val="00425B27"/>
    <w:rsid w:val="00426B65"/>
    <w:rsid w:val="00426F95"/>
    <w:rsid w:val="00427F36"/>
    <w:rsid w:val="00431394"/>
    <w:rsid w:val="004316E3"/>
    <w:rsid w:val="00431FF1"/>
    <w:rsid w:val="004331B6"/>
    <w:rsid w:val="00433D62"/>
    <w:rsid w:val="00434534"/>
    <w:rsid w:val="00434E2F"/>
    <w:rsid w:val="00434F02"/>
    <w:rsid w:val="004355FA"/>
    <w:rsid w:val="00440270"/>
    <w:rsid w:val="00440FB6"/>
    <w:rsid w:val="00442978"/>
    <w:rsid w:val="004437BF"/>
    <w:rsid w:val="0044395E"/>
    <w:rsid w:val="004449A9"/>
    <w:rsid w:val="00445158"/>
    <w:rsid w:val="004453FD"/>
    <w:rsid w:val="00446557"/>
    <w:rsid w:val="004468DD"/>
    <w:rsid w:val="004468F6"/>
    <w:rsid w:val="00446B08"/>
    <w:rsid w:val="00447103"/>
    <w:rsid w:val="004479D8"/>
    <w:rsid w:val="00451F83"/>
    <w:rsid w:val="0045371D"/>
    <w:rsid w:val="00453861"/>
    <w:rsid w:val="00454830"/>
    <w:rsid w:val="00454CE3"/>
    <w:rsid w:val="00454FDE"/>
    <w:rsid w:val="004557A8"/>
    <w:rsid w:val="004557B6"/>
    <w:rsid w:val="00457571"/>
    <w:rsid w:val="004577C9"/>
    <w:rsid w:val="00457BDA"/>
    <w:rsid w:val="00461D25"/>
    <w:rsid w:val="00461EA4"/>
    <w:rsid w:val="0046210E"/>
    <w:rsid w:val="00462969"/>
    <w:rsid w:val="004632B2"/>
    <w:rsid w:val="0046357E"/>
    <w:rsid w:val="004650F0"/>
    <w:rsid w:val="0047037B"/>
    <w:rsid w:val="004707C0"/>
    <w:rsid w:val="00470C4C"/>
    <w:rsid w:val="0047107C"/>
    <w:rsid w:val="00471A23"/>
    <w:rsid w:val="004727E3"/>
    <w:rsid w:val="00472CC3"/>
    <w:rsid w:val="0047453B"/>
    <w:rsid w:val="00474B22"/>
    <w:rsid w:val="00476EDB"/>
    <w:rsid w:val="00477290"/>
    <w:rsid w:val="00477E5A"/>
    <w:rsid w:val="00480080"/>
    <w:rsid w:val="00480F45"/>
    <w:rsid w:val="00481E7D"/>
    <w:rsid w:val="0048264C"/>
    <w:rsid w:val="00482E3A"/>
    <w:rsid w:val="00483DB5"/>
    <w:rsid w:val="00483EF7"/>
    <w:rsid w:val="00484A7E"/>
    <w:rsid w:val="00485987"/>
    <w:rsid w:val="00486053"/>
    <w:rsid w:val="00486244"/>
    <w:rsid w:val="004862B2"/>
    <w:rsid w:val="00487252"/>
    <w:rsid w:val="00490312"/>
    <w:rsid w:val="0049065C"/>
    <w:rsid w:val="004909EA"/>
    <w:rsid w:val="00493BEA"/>
    <w:rsid w:val="00494EB1"/>
    <w:rsid w:val="00496F9F"/>
    <w:rsid w:val="00497325"/>
    <w:rsid w:val="00497AE9"/>
    <w:rsid w:val="004A0F4F"/>
    <w:rsid w:val="004A27C1"/>
    <w:rsid w:val="004A2E7A"/>
    <w:rsid w:val="004A3FD5"/>
    <w:rsid w:val="004A419E"/>
    <w:rsid w:val="004A443F"/>
    <w:rsid w:val="004A483C"/>
    <w:rsid w:val="004A4AE9"/>
    <w:rsid w:val="004A5033"/>
    <w:rsid w:val="004A6117"/>
    <w:rsid w:val="004A62F4"/>
    <w:rsid w:val="004A79A9"/>
    <w:rsid w:val="004A7C73"/>
    <w:rsid w:val="004B0BC6"/>
    <w:rsid w:val="004B178C"/>
    <w:rsid w:val="004B2AF3"/>
    <w:rsid w:val="004B3671"/>
    <w:rsid w:val="004B495C"/>
    <w:rsid w:val="004B6A40"/>
    <w:rsid w:val="004B70BB"/>
    <w:rsid w:val="004C13C1"/>
    <w:rsid w:val="004C14E0"/>
    <w:rsid w:val="004C178B"/>
    <w:rsid w:val="004C3B66"/>
    <w:rsid w:val="004C3CB7"/>
    <w:rsid w:val="004C45C5"/>
    <w:rsid w:val="004C4C33"/>
    <w:rsid w:val="004C4ED4"/>
    <w:rsid w:val="004C7AE3"/>
    <w:rsid w:val="004D2D52"/>
    <w:rsid w:val="004D415E"/>
    <w:rsid w:val="004D41BE"/>
    <w:rsid w:val="004D4CAA"/>
    <w:rsid w:val="004D5F85"/>
    <w:rsid w:val="004D607B"/>
    <w:rsid w:val="004D7060"/>
    <w:rsid w:val="004D7595"/>
    <w:rsid w:val="004D7B16"/>
    <w:rsid w:val="004E041C"/>
    <w:rsid w:val="004E0ECE"/>
    <w:rsid w:val="004E22C6"/>
    <w:rsid w:val="004E3F93"/>
    <w:rsid w:val="004E4069"/>
    <w:rsid w:val="004E4432"/>
    <w:rsid w:val="004E5026"/>
    <w:rsid w:val="004E556C"/>
    <w:rsid w:val="004E57AE"/>
    <w:rsid w:val="004E5AAE"/>
    <w:rsid w:val="004E6048"/>
    <w:rsid w:val="004F08FE"/>
    <w:rsid w:val="004F1F3D"/>
    <w:rsid w:val="004F2A78"/>
    <w:rsid w:val="004F3548"/>
    <w:rsid w:val="004F74D4"/>
    <w:rsid w:val="0050145B"/>
    <w:rsid w:val="005015CB"/>
    <w:rsid w:val="00501AEA"/>
    <w:rsid w:val="005023D8"/>
    <w:rsid w:val="005035F5"/>
    <w:rsid w:val="00503D14"/>
    <w:rsid w:val="00507BC0"/>
    <w:rsid w:val="005113B9"/>
    <w:rsid w:val="005121A3"/>
    <w:rsid w:val="00513315"/>
    <w:rsid w:val="0051343B"/>
    <w:rsid w:val="005136AF"/>
    <w:rsid w:val="00513BFC"/>
    <w:rsid w:val="00513FD5"/>
    <w:rsid w:val="00515D1E"/>
    <w:rsid w:val="00515E9E"/>
    <w:rsid w:val="005170AF"/>
    <w:rsid w:val="00517524"/>
    <w:rsid w:val="00517CF5"/>
    <w:rsid w:val="00522B8C"/>
    <w:rsid w:val="00523E68"/>
    <w:rsid w:val="00524DCB"/>
    <w:rsid w:val="005250B0"/>
    <w:rsid w:val="00530BE7"/>
    <w:rsid w:val="00530F40"/>
    <w:rsid w:val="00531785"/>
    <w:rsid w:val="00531F05"/>
    <w:rsid w:val="00533096"/>
    <w:rsid w:val="00533626"/>
    <w:rsid w:val="00534559"/>
    <w:rsid w:val="005349C0"/>
    <w:rsid w:val="00534BFD"/>
    <w:rsid w:val="00536BB6"/>
    <w:rsid w:val="0053780D"/>
    <w:rsid w:val="00540041"/>
    <w:rsid w:val="005406F6"/>
    <w:rsid w:val="00540788"/>
    <w:rsid w:val="00541DF6"/>
    <w:rsid w:val="005424DC"/>
    <w:rsid w:val="00543205"/>
    <w:rsid w:val="00543B19"/>
    <w:rsid w:val="0054439A"/>
    <w:rsid w:val="00544A20"/>
    <w:rsid w:val="00544F3C"/>
    <w:rsid w:val="00547C89"/>
    <w:rsid w:val="00547FD6"/>
    <w:rsid w:val="0055136C"/>
    <w:rsid w:val="00551F0A"/>
    <w:rsid w:val="00552ADD"/>
    <w:rsid w:val="00553B7F"/>
    <w:rsid w:val="005542D4"/>
    <w:rsid w:val="00554686"/>
    <w:rsid w:val="00554DD1"/>
    <w:rsid w:val="00560660"/>
    <w:rsid w:val="0056172C"/>
    <w:rsid w:val="005618C7"/>
    <w:rsid w:val="0056250A"/>
    <w:rsid w:val="00562F71"/>
    <w:rsid w:val="00563A3E"/>
    <w:rsid w:val="0056583D"/>
    <w:rsid w:val="0056599E"/>
    <w:rsid w:val="005660D2"/>
    <w:rsid w:val="00566482"/>
    <w:rsid w:val="00566A27"/>
    <w:rsid w:val="005670A0"/>
    <w:rsid w:val="005670C5"/>
    <w:rsid w:val="00567137"/>
    <w:rsid w:val="00567733"/>
    <w:rsid w:val="0057009C"/>
    <w:rsid w:val="00570507"/>
    <w:rsid w:val="0057066A"/>
    <w:rsid w:val="005729B6"/>
    <w:rsid w:val="00574263"/>
    <w:rsid w:val="0057456E"/>
    <w:rsid w:val="00574A0D"/>
    <w:rsid w:val="0057550F"/>
    <w:rsid w:val="00575BD0"/>
    <w:rsid w:val="00575DF6"/>
    <w:rsid w:val="00575EBA"/>
    <w:rsid w:val="00577FDF"/>
    <w:rsid w:val="00580106"/>
    <w:rsid w:val="005807F4"/>
    <w:rsid w:val="005816E6"/>
    <w:rsid w:val="0058199D"/>
    <w:rsid w:val="00581ED1"/>
    <w:rsid w:val="00582D68"/>
    <w:rsid w:val="00583062"/>
    <w:rsid w:val="005839DC"/>
    <w:rsid w:val="00583B64"/>
    <w:rsid w:val="0058512F"/>
    <w:rsid w:val="00585171"/>
    <w:rsid w:val="00585DBD"/>
    <w:rsid w:val="00586056"/>
    <w:rsid w:val="005863FD"/>
    <w:rsid w:val="005868CA"/>
    <w:rsid w:val="00586F5B"/>
    <w:rsid w:val="005914CC"/>
    <w:rsid w:val="005919C1"/>
    <w:rsid w:val="00592310"/>
    <w:rsid w:val="00592867"/>
    <w:rsid w:val="00592B05"/>
    <w:rsid w:val="0059309E"/>
    <w:rsid w:val="0059565C"/>
    <w:rsid w:val="00595869"/>
    <w:rsid w:val="00597BE9"/>
    <w:rsid w:val="005A0B36"/>
    <w:rsid w:val="005A1190"/>
    <w:rsid w:val="005A1830"/>
    <w:rsid w:val="005A1B26"/>
    <w:rsid w:val="005A284F"/>
    <w:rsid w:val="005A7510"/>
    <w:rsid w:val="005A76B3"/>
    <w:rsid w:val="005A7731"/>
    <w:rsid w:val="005B1579"/>
    <w:rsid w:val="005B2148"/>
    <w:rsid w:val="005B27A0"/>
    <w:rsid w:val="005B32CD"/>
    <w:rsid w:val="005B33B4"/>
    <w:rsid w:val="005B40BC"/>
    <w:rsid w:val="005B4E2D"/>
    <w:rsid w:val="005B5547"/>
    <w:rsid w:val="005B5E14"/>
    <w:rsid w:val="005B78A6"/>
    <w:rsid w:val="005C078D"/>
    <w:rsid w:val="005C322F"/>
    <w:rsid w:val="005C35F4"/>
    <w:rsid w:val="005C4E55"/>
    <w:rsid w:val="005C5343"/>
    <w:rsid w:val="005C5E5C"/>
    <w:rsid w:val="005C7F6C"/>
    <w:rsid w:val="005D122A"/>
    <w:rsid w:val="005D18F5"/>
    <w:rsid w:val="005D1F25"/>
    <w:rsid w:val="005D20BA"/>
    <w:rsid w:val="005D21E4"/>
    <w:rsid w:val="005D2691"/>
    <w:rsid w:val="005D3392"/>
    <w:rsid w:val="005D53EA"/>
    <w:rsid w:val="005D53F9"/>
    <w:rsid w:val="005D5A30"/>
    <w:rsid w:val="005D5A9D"/>
    <w:rsid w:val="005D610D"/>
    <w:rsid w:val="005D6196"/>
    <w:rsid w:val="005D6572"/>
    <w:rsid w:val="005D70B7"/>
    <w:rsid w:val="005D7983"/>
    <w:rsid w:val="005D7F8C"/>
    <w:rsid w:val="005E050A"/>
    <w:rsid w:val="005E0F57"/>
    <w:rsid w:val="005E2BAC"/>
    <w:rsid w:val="005E342F"/>
    <w:rsid w:val="005E43D8"/>
    <w:rsid w:val="005E5442"/>
    <w:rsid w:val="005E5B75"/>
    <w:rsid w:val="005E6C0D"/>
    <w:rsid w:val="005E7955"/>
    <w:rsid w:val="005E7A11"/>
    <w:rsid w:val="005E7B35"/>
    <w:rsid w:val="005E7B82"/>
    <w:rsid w:val="005F2DEB"/>
    <w:rsid w:val="005F32E2"/>
    <w:rsid w:val="005F3652"/>
    <w:rsid w:val="005F6DFB"/>
    <w:rsid w:val="005F7813"/>
    <w:rsid w:val="006000F2"/>
    <w:rsid w:val="00600443"/>
    <w:rsid w:val="006004C0"/>
    <w:rsid w:val="0060055C"/>
    <w:rsid w:val="00601ED7"/>
    <w:rsid w:val="006030CB"/>
    <w:rsid w:val="006038B3"/>
    <w:rsid w:val="00605970"/>
    <w:rsid w:val="00606047"/>
    <w:rsid w:val="00606757"/>
    <w:rsid w:val="00610428"/>
    <w:rsid w:val="00612811"/>
    <w:rsid w:val="0061299C"/>
    <w:rsid w:val="00612C3B"/>
    <w:rsid w:val="00613CE6"/>
    <w:rsid w:val="00614C00"/>
    <w:rsid w:val="00615C9B"/>
    <w:rsid w:val="00615D0F"/>
    <w:rsid w:val="00616550"/>
    <w:rsid w:val="006178CF"/>
    <w:rsid w:val="00623EDC"/>
    <w:rsid w:val="0062498D"/>
    <w:rsid w:val="00625262"/>
    <w:rsid w:val="00630168"/>
    <w:rsid w:val="0063095F"/>
    <w:rsid w:val="006313B1"/>
    <w:rsid w:val="00631701"/>
    <w:rsid w:val="00631DF8"/>
    <w:rsid w:val="00631F20"/>
    <w:rsid w:val="0063243C"/>
    <w:rsid w:val="00632A6D"/>
    <w:rsid w:val="00632AD2"/>
    <w:rsid w:val="006344A1"/>
    <w:rsid w:val="00634D5B"/>
    <w:rsid w:val="00636BFC"/>
    <w:rsid w:val="006410A0"/>
    <w:rsid w:val="0064214F"/>
    <w:rsid w:val="00642502"/>
    <w:rsid w:val="00644314"/>
    <w:rsid w:val="00646CB1"/>
    <w:rsid w:val="0064701A"/>
    <w:rsid w:val="00647414"/>
    <w:rsid w:val="00651A40"/>
    <w:rsid w:val="00652523"/>
    <w:rsid w:val="0065275B"/>
    <w:rsid w:val="00652774"/>
    <w:rsid w:val="00652C90"/>
    <w:rsid w:val="006541CE"/>
    <w:rsid w:val="00654F01"/>
    <w:rsid w:val="00656732"/>
    <w:rsid w:val="006569A7"/>
    <w:rsid w:val="00656C79"/>
    <w:rsid w:val="0065754A"/>
    <w:rsid w:val="006606B2"/>
    <w:rsid w:val="00661B87"/>
    <w:rsid w:val="0066255A"/>
    <w:rsid w:val="0066296B"/>
    <w:rsid w:val="00662BEC"/>
    <w:rsid w:val="00664ACA"/>
    <w:rsid w:val="00664E57"/>
    <w:rsid w:val="006669B9"/>
    <w:rsid w:val="00667BCA"/>
    <w:rsid w:val="0067054E"/>
    <w:rsid w:val="00671CD7"/>
    <w:rsid w:val="006727CD"/>
    <w:rsid w:val="006749C3"/>
    <w:rsid w:val="00674DA1"/>
    <w:rsid w:val="006757C0"/>
    <w:rsid w:val="0067612C"/>
    <w:rsid w:val="006763A4"/>
    <w:rsid w:val="006804CC"/>
    <w:rsid w:val="00680E52"/>
    <w:rsid w:val="00681484"/>
    <w:rsid w:val="006821EF"/>
    <w:rsid w:val="00683243"/>
    <w:rsid w:val="0068347D"/>
    <w:rsid w:val="00683A4B"/>
    <w:rsid w:val="0068484D"/>
    <w:rsid w:val="00684E39"/>
    <w:rsid w:val="00685398"/>
    <w:rsid w:val="006862D0"/>
    <w:rsid w:val="00687C7D"/>
    <w:rsid w:val="00690762"/>
    <w:rsid w:val="00690A13"/>
    <w:rsid w:val="0069203A"/>
    <w:rsid w:val="00692424"/>
    <w:rsid w:val="006925EB"/>
    <w:rsid w:val="00693A0D"/>
    <w:rsid w:val="0069427E"/>
    <w:rsid w:val="006961EB"/>
    <w:rsid w:val="006A04CC"/>
    <w:rsid w:val="006A0E44"/>
    <w:rsid w:val="006A1417"/>
    <w:rsid w:val="006A17C1"/>
    <w:rsid w:val="006A29CB"/>
    <w:rsid w:val="006A3624"/>
    <w:rsid w:val="006A5163"/>
    <w:rsid w:val="006A55BD"/>
    <w:rsid w:val="006A573F"/>
    <w:rsid w:val="006A6595"/>
    <w:rsid w:val="006A69A6"/>
    <w:rsid w:val="006A74FF"/>
    <w:rsid w:val="006A7F56"/>
    <w:rsid w:val="006B07A0"/>
    <w:rsid w:val="006B1C95"/>
    <w:rsid w:val="006B28C0"/>
    <w:rsid w:val="006B2EF3"/>
    <w:rsid w:val="006B2F95"/>
    <w:rsid w:val="006B32D4"/>
    <w:rsid w:val="006B44FB"/>
    <w:rsid w:val="006B4CC1"/>
    <w:rsid w:val="006B53B5"/>
    <w:rsid w:val="006B75A2"/>
    <w:rsid w:val="006B76C2"/>
    <w:rsid w:val="006B7BC8"/>
    <w:rsid w:val="006C0449"/>
    <w:rsid w:val="006C0803"/>
    <w:rsid w:val="006C0A0F"/>
    <w:rsid w:val="006C2F70"/>
    <w:rsid w:val="006C3350"/>
    <w:rsid w:val="006C345D"/>
    <w:rsid w:val="006C39C1"/>
    <w:rsid w:val="006C444B"/>
    <w:rsid w:val="006C56B0"/>
    <w:rsid w:val="006C61C9"/>
    <w:rsid w:val="006C6365"/>
    <w:rsid w:val="006C6ED5"/>
    <w:rsid w:val="006C6FC6"/>
    <w:rsid w:val="006C79DA"/>
    <w:rsid w:val="006D194A"/>
    <w:rsid w:val="006D217D"/>
    <w:rsid w:val="006D2B8E"/>
    <w:rsid w:val="006D3F03"/>
    <w:rsid w:val="006D42EC"/>
    <w:rsid w:val="006D4B9C"/>
    <w:rsid w:val="006D6CEC"/>
    <w:rsid w:val="006D70EC"/>
    <w:rsid w:val="006D761F"/>
    <w:rsid w:val="006D7AA3"/>
    <w:rsid w:val="006E10B7"/>
    <w:rsid w:val="006E17FF"/>
    <w:rsid w:val="006E1AB8"/>
    <w:rsid w:val="006E1EA1"/>
    <w:rsid w:val="006E1ED7"/>
    <w:rsid w:val="006E2B36"/>
    <w:rsid w:val="006E3EEF"/>
    <w:rsid w:val="006E4ED8"/>
    <w:rsid w:val="006E68D6"/>
    <w:rsid w:val="006E6AD5"/>
    <w:rsid w:val="006E6F10"/>
    <w:rsid w:val="006E7727"/>
    <w:rsid w:val="006E7C3C"/>
    <w:rsid w:val="006F06CF"/>
    <w:rsid w:val="006F1B47"/>
    <w:rsid w:val="006F1D58"/>
    <w:rsid w:val="006F3D2B"/>
    <w:rsid w:val="006F3EA9"/>
    <w:rsid w:val="006F47B5"/>
    <w:rsid w:val="006F54CC"/>
    <w:rsid w:val="006F6616"/>
    <w:rsid w:val="006F67AB"/>
    <w:rsid w:val="006F6B0C"/>
    <w:rsid w:val="006F7E2B"/>
    <w:rsid w:val="007000F7"/>
    <w:rsid w:val="00700C0C"/>
    <w:rsid w:val="007017E5"/>
    <w:rsid w:val="007025E5"/>
    <w:rsid w:val="00702BBB"/>
    <w:rsid w:val="00702F30"/>
    <w:rsid w:val="007039D3"/>
    <w:rsid w:val="00703C0D"/>
    <w:rsid w:val="00703C16"/>
    <w:rsid w:val="00703E73"/>
    <w:rsid w:val="0070444D"/>
    <w:rsid w:val="007047F4"/>
    <w:rsid w:val="007054B4"/>
    <w:rsid w:val="00706F4F"/>
    <w:rsid w:val="00707B99"/>
    <w:rsid w:val="00710A67"/>
    <w:rsid w:val="00711118"/>
    <w:rsid w:val="00711836"/>
    <w:rsid w:val="00712431"/>
    <w:rsid w:val="00712DB4"/>
    <w:rsid w:val="0071352C"/>
    <w:rsid w:val="00716E88"/>
    <w:rsid w:val="00717343"/>
    <w:rsid w:val="00717B44"/>
    <w:rsid w:val="00720578"/>
    <w:rsid w:val="00720ACC"/>
    <w:rsid w:val="00721DE2"/>
    <w:rsid w:val="007237D9"/>
    <w:rsid w:val="00724976"/>
    <w:rsid w:val="007249A6"/>
    <w:rsid w:val="00724F2F"/>
    <w:rsid w:val="00730883"/>
    <w:rsid w:val="007308DF"/>
    <w:rsid w:val="00731655"/>
    <w:rsid w:val="00732E09"/>
    <w:rsid w:val="00732F92"/>
    <w:rsid w:val="007336F0"/>
    <w:rsid w:val="00734935"/>
    <w:rsid w:val="0073594F"/>
    <w:rsid w:val="00741D5C"/>
    <w:rsid w:val="00743DE6"/>
    <w:rsid w:val="00743E01"/>
    <w:rsid w:val="00744CA4"/>
    <w:rsid w:val="00745DCC"/>
    <w:rsid w:val="00745FE2"/>
    <w:rsid w:val="00746215"/>
    <w:rsid w:val="0074752D"/>
    <w:rsid w:val="00750B90"/>
    <w:rsid w:val="00750CE2"/>
    <w:rsid w:val="0075295C"/>
    <w:rsid w:val="007540C8"/>
    <w:rsid w:val="007541CE"/>
    <w:rsid w:val="00755277"/>
    <w:rsid w:val="00755518"/>
    <w:rsid w:val="00756022"/>
    <w:rsid w:val="00756433"/>
    <w:rsid w:val="00761364"/>
    <w:rsid w:val="0076155A"/>
    <w:rsid w:val="0076244B"/>
    <w:rsid w:val="00762857"/>
    <w:rsid w:val="00762F16"/>
    <w:rsid w:val="007642D4"/>
    <w:rsid w:val="00764556"/>
    <w:rsid w:val="0076459B"/>
    <w:rsid w:val="007645B0"/>
    <w:rsid w:val="00765F1D"/>
    <w:rsid w:val="00767D3C"/>
    <w:rsid w:val="0077094E"/>
    <w:rsid w:val="0077251D"/>
    <w:rsid w:val="00773C8B"/>
    <w:rsid w:val="00774062"/>
    <w:rsid w:val="00774227"/>
    <w:rsid w:val="00774E69"/>
    <w:rsid w:val="007751E2"/>
    <w:rsid w:val="00775336"/>
    <w:rsid w:val="00775AFA"/>
    <w:rsid w:val="00776893"/>
    <w:rsid w:val="00777E8F"/>
    <w:rsid w:val="00780CB9"/>
    <w:rsid w:val="00782529"/>
    <w:rsid w:val="00783104"/>
    <w:rsid w:val="007831EE"/>
    <w:rsid w:val="00783BBD"/>
    <w:rsid w:val="00784F4A"/>
    <w:rsid w:val="00785347"/>
    <w:rsid w:val="0078762D"/>
    <w:rsid w:val="00790478"/>
    <w:rsid w:val="0079113C"/>
    <w:rsid w:val="0079200F"/>
    <w:rsid w:val="007922D4"/>
    <w:rsid w:val="00792942"/>
    <w:rsid w:val="00792ABB"/>
    <w:rsid w:val="00795232"/>
    <w:rsid w:val="00795B45"/>
    <w:rsid w:val="00797274"/>
    <w:rsid w:val="00797335"/>
    <w:rsid w:val="007A1742"/>
    <w:rsid w:val="007A1C4C"/>
    <w:rsid w:val="007A1C62"/>
    <w:rsid w:val="007A316A"/>
    <w:rsid w:val="007A3F09"/>
    <w:rsid w:val="007A4C52"/>
    <w:rsid w:val="007A5DDE"/>
    <w:rsid w:val="007B04EA"/>
    <w:rsid w:val="007B148C"/>
    <w:rsid w:val="007B1ECA"/>
    <w:rsid w:val="007B2B40"/>
    <w:rsid w:val="007B3147"/>
    <w:rsid w:val="007B37A3"/>
    <w:rsid w:val="007B382D"/>
    <w:rsid w:val="007B4E8E"/>
    <w:rsid w:val="007B51BB"/>
    <w:rsid w:val="007B5A69"/>
    <w:rsid w:val="007B6299"/>
    <w:rsid w:val="007C008C"/>
    <w:rsid w:val="007C01B4"/>
    <w:rsid w:val="007C1083"/>
    <w:rsid w:val="007C12A6"/>
    <w:rsid w:val="007C1A6B"/>
    <w:rsid w:val="007C1B62"/>
    <w:rsid w:val="007C2595"/>
    <w:rsid w:val="007C38A2"/>
    <w:rsid w:val="007C6FE0"/>
    <w:rsid w:val="007C7078"/>
    <w:rsid w:val="007D2565"/>
    <w:rsid w:val="007D31EA"/>
    <w:rsid w:val="007D3E96"/>
    <w:rsid w:val="007D47DA"/>
    <w:rsid w:val="007D6066"/>
    <w:rsid w:val="007D648F"/>
    <w:rsid w:val="007E046B"/>
    <w:rsid w:val="007E0539"/>
    <w:rsid w:val="007E094C"/>
    <w:rsid w:val="007E1512"/>
    <w:rsid w:val="007E1A82"/>
    <w:rsid w:val="007E1DA5"/>
    <w:rsid w:val="007E29E1"/>
    <w:rsid w:val="007E4F8E"/>
    <w:rsid w:val="007E68B2"/>
    <w:rsid w:val="007F1293"/>
    <w:rsid w:val="007F1B1E"/>
    <w:rsid w:val="007F261C"/>
    <w:rsid w:val="007F2C0E"/>
    <w:rsid w:val="007F37BE"/>
    <w:rsid w:val="007F3E63"/>
    <w:rsid w:val="007F44F6"/>
    <w:rsid w:val="007F4DE7"/>
    <w:rsid w:val="007F6564"/>
    <w:rsid w:val="008013B6"/>
    <w:rsid w:val="00802ACC"/>
    <w:rsid w:val="00802E20"/>
    <w:rsid w:val="00804931"/>
    <w:rsid w:val="008068F2"/>
    <w:rsid w:val="00812004"/>
    <w:rsid w:val="00812056"/>
    <w:rsid w:val="00812F8D"/>
    <w:rsid w:val="008135EA"/>
    <w:rsid w:val="00814902"/>
    <w:rsid w:val="00816460"/>
    <w:rsid w:val="008164FF"/>
    <w:rsid w:val="00816591"/>
    <w:rsid w:val="00822C2E"/>
    <w:rsid w:val="00822F5D"/>
    <w:rsid w:val="00824336"/>
    <w:rsid w:val="008246C0"/>
    <w:rsid w:val="00825438"/>
    <w:rsid w:val="00826392"/>
    <w:rsid w:val="00826781"/>
    <w:rsid w:val="008273E8"/>
    <w:rsid w:val="008274DD"/>
    <w:rsid w:val="008274F7"/>
    <w:rsid w:val="00827E0E"/>
    <w:rsid w:val="008314DB"/>
    <w:rsid w:val="00833ECE"/>
    <w:rsid w:val="0083445B"/>
    <w:rsid w:val="00834567"/>
    <w:rsid w:val="00834B7C"/>
    <w:rsid w:val="00835567"/>
    <w:rsid w:val="00836E52"/>
    <w:rsid w:val="00837374"/>
    <w:rsid w:val="008373CC"/>
    <w:rsid w:val="0083785D"/>
    <w:rsid w:val="00840102"/>
    <w:rsid w:val="00840587"/>
    <w:rsid w:val="00840856"/>
    <w:rsid w:val="00840BCF"/>
    <w:rsid w:val="00842805"/>
    <w:rsid w:val="008437DB"/>
    <w:rsid w:val="0084419C"/>
    <w:rsid w:val="0084425C"/>
    <w:rsid w:val="00845D19"/>
    <w:rsid w:val="0084602E"/>
    <w:rsid w:val="00846917"/>
    <w:rsid w:val="00846A94"/>
    <w:rsid w:val="00847089"/>
    <w:rsid w:val="00847193"/>
    <w:rsid w:val="00847F08"/>
    <w:rsid w:val="008506D1"/>
    <w:rsid w:val="00850FEC"/>
    <w:rsid w:val="00851BAD"/>
    <w:rsid w:val="008532FE"/>
    <w:rsid w:val="00853B89"/>
    <w:rsid w:val="00855895"/>
    <w:rsid w:val="00856657"/>
    <w:rsid w:val="00856A39"/>
    <w:rsid w:val="00857592"/>
    <w:rsid w:val="00857789"/>
    <w:rsid w:val="0086028F"/>
    <w:rsid w:val="00860978"/>
    <w:rsid w:val="0086125B"/>
    <w:rsid w:val="00862E68"/>
    <w:rsid w:val="00862F9A"/>
    <w:rsid w:val="0086341F"/>
    <w:rsid w:val="008634E6"/>
    <w:rsid w:val="00864CE4"/>
    <w:rsid w:val="0086588A"/>
    <w:rsid w:val="00865F90"/>
    <w:rsid w:val="00866564"/>
    <w:rsid w:val="00866577"/>
    <w:rsid w:val="00867414"/>
    <w:rsid w:val="00867C1A"/>
    <w:rsid w:val="008702E1"/>
    <w:rsid w:val="00871D0D"/>
    <w:rsid w:val="00872537"/>
    <w:rsid w:val="00874291"/>
    <w:rsid w:val="00875256"/>
    <w:rsid w:val="00876EA2"/>
    <w:rsid w:val="008778C3"/>
    <w:rsid w:val="00877FBB"/>
    <w:rsid w:val="008800EC"/>
    <w:rsid w:val="0088102B"/>
    <w:rsid w:val="00885215"/>
    <w:rsid w:val="00885A14"/>
    <w:rsid w:val="00890FB9"/>
    <w:rsid w:val="008918D2"/>
    <w:rsid w:val="00892A3C"/>
    <w:rsid w:val="00894DEF"/>
    <w:rsid w:val="008955BF"/>
    <w:rsid w:val="00895A40"/>
    <w:rsid w:val="00896208"/>
    <w:rsid w:val="00897C9C"/>
    <w:rsid w:val="008A33E7"/>
    <w:rsid w:val="008A3922"/>
    <w:rsid w:val="008A3CCA"/>
    <w:rsid w:val="008A52BF"/>
    <w:rsid w:val="008A53E5"/>
    <w:rsid w:val="008A5AFB"/>
    <w:rsid w:val="008A65B5"/>
    <w:rsid w:val="008A6CBA"/>
    <w:rsid w:val="008A72EA"/>
    <w:rsid w:val="008A7DA4"/>
    <w:rsid w:val="008B0975"/>
    <w:rsid w:val="008B3D89"/>
    <w:rsid w:val="008B3F0F"/>
    <w:rsid w:val="008B40C1"/>
    <w:rsid w:val="008B6B3E"/>
    <w:rsid w:val="008C02B3"/>
    <w:rsid w:val="008C0566"/>
    <w:rsid w:val="008C147F"/>
    <w:rsid w:val="008C172F"/>
    <w:rsid w:val="008C3A15"/>
    <w:rsid w:val="008C6648"/>
    <w:rsid w:val="008C6AC9"/>
    <w:rsid w:val="008D0984"/>
    <w:rsid w:val="008D3C92"/>
    <w:rsid w:val="008D3DB4"/>
    <w:rsid w:val="008D4C0A"/>
    <w:rsid w:val="008D5E3B"/>
    <w:rsid w:val="008D750A"/>
    <w:rsid w:val="008D775D"/>
    <w:rsid w:val="008D7BE8"/>
    <w:rsid w:val="008D7DAB"/>
    <w:rsid w:val="008E0DA1"/>
    <w:rsid w:val="008E2F67"/>
    <w:rsid w:val="008E5A2B"/>
    <w:rsid w:val="008E6900"/>
    <w:rsid w:val="008E6E53"/>
    <w:rsid w:val="008E6F24"/>
    <w:rsid w:val="008E6FE9"/>
    <w:rsid w:val="008E7D24"/>
    <w:rsid w:val="008F04A2"/>
    <w:rsid w:val="008F0ADD"/>
    <w:rsid w:val="008F30BC"/>
    <w:rsid w:val="008F3164"/>
    <w:rsid w:val="008F31BC"/>
    <w:rsid w:val="008F3565"/>
    <w:rsid w:val="008F3D10"/>
    <w:rsid w:val="008F3E97"/>
    <w:rsid w:val="008F4664"/>
    <w:rsid w:val="008F4AB3"/>
    <w:rsid w:val="008F5893"/>
    <w:rsid w:val="008F5C13"/>
    <w:rsid w:val="008F78B6"/>
    <w:rsid w:val="008F7934"/>
    <w:rsid w:val="0090040E"/>
    <w:rsid w:val="009011E5"/>
    <w:rsid w:val="00902B6D"/>
    <w:rsid w:val="0090351E"/>
    <w:rsid w:val="009050CD"/>
    <w:rsid w:val="009068F3"/>
    <w:rsid w:val="00906AC2"/>
    <w:rsid w:val="00907BC5"/>
    <w:rsid w:val="00911463"/>
    <w:rsid w:val="00911F1D"/>
    <w:rsid w:val="009129AA"/>
    <w:rsid w:val="009138B1"/>
    <w:rsid w:val="00913D3F"/>
    <w:rsid w:val="00914087"/>
    <w:rsid w:val="0091410D"/>
    <w:rsid w:val="009143F1"/>
    <w:rsid w:val="00914F4E"/>
    <w:rsid w:val="00915CE1"/>
    <w:rsid w:val="00916422"/>
    <w:rsid w:val="00916A27"/>
    <w:rsid w:val="00917483"/>
    <w:rsid w:val="009177E6"/>
    <w:rsid w:val="00920049"/>
    <w:rsid w:val="00920E1A"/>
    <w:rsid w:val="00921075"/>
    <w:rsid w:val="0092158F"/>
    <w:rsid w:val="00921AF3"/>
    <w:rsid w:val="00926249"/>
    <w:rsid w:val="00926788"/>
    <w:rsid w:val="0092698E"/>
    <w:rsid w:val="00926C89"/>
    <w:rsid w:val="00927164"/>
    <w:rsid w:val="00931454"/>
    <w:rsid w:val="00931636"/>
    <w:rsid w:val="00931644"/>
    <w:rsid w:val="0093187E"/>
    <w:rsid w:val="00931EA4"/>
    <w:rsid w:val="0093483D"/>
    <w:rsid w:val="00935539"/>
    <w:rsid w:val="00935CEF"/>
    <w:rsid w:val="009370A2"/>
    <w:rsid w:val="009373B0"/>
    <w:rsid w:val="00937F10"/>
    <w:rsid w:val="009408E0"/>
    <w:rsid w:val="00941AD0"/>
    <w:rsid w:val="00941EEC"/>
    <w:rsid w:val="00943ACB"/>
    <w:rsid w:val="00946ABC"/>
    <w:rsid w:val="00946C37"/>
    <w:rsid w:val="00947154"/>
    <w:rsid w:val="00951667"/>
    <w:rsid w:val="00951BFD"/>
    <w:rsid w:val="00951DFA"/>
    <w:rsid w:val="00952FF4"/>
    <w:rsid w:val="00953147"/>
    <w:rsid w:val="009562DD"/>
    <w:rsid w:val="00956EA2"/>
    <w:rsid w:val="009614C6"/>
    <w:rsid w:val="00963750"/>
    <w:rsid w:val="00966027"/>
    <w:rsid w:val="009706B9"/>
    <w:rsid w:val="00972830"/>
    <w:rsid w:val="00974CAF"/>
    <w:rsid w:val="00980680"/>
    <w:rsid w:val="00983068"/>
    <w:rsid w:val="00984304"/>
    <w:rsid w:val="00984A9E"/>
    <w:rsid w:val="00985AE1"/>
    <w:rsid w:val="0099076B"/>
    <w:rsid w:val="00991E6C"/>
    <w:rsid w:val="0099212E"/>
    <w:rsid w:val="009923D3"/>
    <w:rsid w:val="00992CD3"/>
    <w:rsid w:val="00992D04"/>
    <w:rsid w:val="0099358B"/>
    <w:rsid w:val="0099459B"/>
    <w:rsid w:val="009957F7"/>
    <w:rsid w:val="00996CD9"/>
    <w:rsid w:val="009A0CAF"/>
    <w:rsid w:val="009A1ED2"/>
    <w:rsid w:val="009A3543"/>
    <w:rsid w:val="009A4929"/>
    <w:rsid w:val="009A4D5B"/>
    <w:rsid w:val="009A543F"/>
    <w:rsid w:val="009A58BD"/>
    <w:rsid w:val="009A6F35"/>
    <w:rsid w:val="009A6FD4"/>
    <w:rsid w:val="009A7499"/>
    <w:rsid w:val="009A79D8"/>
    <w:rsid w:val="009B0EEF"/>
    <w:rsid w:val="009B28BE"/>
    <w:rsid w:val="009B311E"/>
    <w:rsid w:val="009B4BCA"/>
    <w:rsid w:val="009B5C12"/>
    <w:rsid w:val="009B71D2"/>
    <w:rsid w:val="009B71FD"/>
    <w:rsid w:val="009B7B6F"/>
    <w:rsid w:val="009C0139"/>
    <w:rsid w:val="009C1708"/>
    <w:rsid w:val="009C1CCE"/>
    <w:rsid w:val="009C23F4"/>
    <w:rsid w:val="009C26A1"/>
    <w:rsid w:val="009C2FC5"/>
    <w:rsid w:val="009C3212"/>
    <w:rsid w:val="009C3EF9"/>
    <w:rsid w:val="009C4638"/>
    <w:rsid w:val="009C4659"/>
    <w:rsid w:val="009C48BC"/>
    <w:rsid w:val="009C5812"/>
    <w:rsid w:val="009C6C33"/>
    <w:rsid w:val="009C7306"/>
    <w:rsid w:val="009D043C"/>
    <w:rsid w:val="009D1869"/>
    <w:rsid w:val="009D1A01"/>
    <w:rsid w:val="009D31DC"/>
    <w:rsid w:val="009D4052"/>
    <w:rsid w:val="009D695D"/>
    <w:rsid w:val="009E09FA"/>
    <w:rsid w:val="009E0DA3"/>
    <w:rsid w:val="009E0EA6"/>
    <w:rsid w:val="009E26AA"/>
    <w:rsid w:val="009E2AE7"/>
    <w:rsid w:val="009E378E"/>
    <w:rsid w:val="009E3C6B"/>
    <w:rsid w:val="009E5602"/>
    <w:rsid w:val="009E5D12"/>
    <w:rsid w:val="009E6238"/>
    <w:rsid w:val="009E65D2"/>
    <w:rsid w:val="009E6F3D"/>
    <w:rsid w:val="009E7DFB"/>
    <w:rsid w:val="009F0C07"/>
    <w:rsid w:val="009F19BE"/>
    <w:rsid w:val="009F2333"/>
    <w:rsid w:val="009F294E"/>
    <w:rsid w:val="009F2E2F"/>
    <w:rsid w:val="009F3794"/>
    <w:rsid w:val="009F3897"/>
    <w:rsid w:val="009F51EB"/>
    <w:rsid w:val="009F5241"/>
    <w:rsid w:val="009F5992"/>
    <w:rsid w:val="009F62DB"/>
    <w:rsid w:val="009F63AA"/>
    <w:rsid w:val="009F64E8"/>
    <w:rsid w:val="009F6733"/>
    <w:rsid w:val="00A003E5"/>
    <w:rsid w:val="00A02274"/>
    <w:rsid w:val="00A0265C"/>
    <w:rsid w:val="00A0339C"/>
    <w:rsid w:val="00A03E2B"/>
    <w:rsid w:val="00A049BD"/>
    <w:rsid w:val="00A06E61"/>
    <w:rsid w:val="00A1052F"/>
    <w:rsid w:val="00A10939"/>
    <w:rsid w:val="00A10AF5"/>
    <w:rsid w:val="00A11590"/>
    <w:rsid w:val="00A12121"/>
    <w:rsid w:val="00A12D5A"/>
    <w:rsid w:val="00A20C53"/>
    <w:rsid w:val="00A212E5"/>
    <w:rsid w:val="00A22DB4"/>
    <w:rsid w:val="00A2467C"/>
    <w:rsid w:val="00A24FCE"/>
    <w:rsid w:val="00A25491"/>
    <w:rsid w:val="00A26345"/>
    <w:rsid w:val="00A2740B"/>
    <w:rsid w:val="00A274C3"/>
    <w:rsid w:val="00A3056D"/>
    <w:rsid w:val="00A30B3A"/>
    <w:rsid w:val="00A30B60"/>
    <w:rsid w:val="00A31A8B"/>
    <w:rsid w:val="00A3201E"/>
    <w:rsid w:val="00A3252C"/>
    <w:rsid w:val="00A34187"/>
    <w:rsid w:val="00A34BAF"/>
    <w:rsid w:val="00A35FDB"/>
    <w:rsid w:val="00A36643"/>
    <w:rsid w:val="00A367E9"/>
    <w:rsid w:val="00A370AC"/>
    <w:rsid w:val="00A37B4C"/>
    <w:rsid w:val="00A37E80"/>
    <w:rsid w:val="00A434F6"/>
    <w:rsid w:val="00A44354"/>
    <w:rsid w:val="00A445C5"/>
    <w:rsid w:val="00A45449"/>
    <w:rsid w:val="00A45C1F"/>
    <w:rsid w:val="00A46B5F"/>
    <w:rsid w:val="00A46F95"/>
    <w:rsid w:val="00A50340"/>
    <w:rsid w:val="00A51C66"/>
    <w:rsid w:val="00A51D49"/>
    <w:rsid w:val="00A5273A"/>
    <w:rsid w:val="00A5299D"/>
    <w:rsid w:val="00A52A4A"/>
    <w:rsid w:val="00A53D9D"/>
    <w:rsid w:val="00A56587"/>
    <w:rsid w:val="00A56E8C"/>
    <w:rsid w:val="00A60D21"/>
    <w:rsid w:val="00A617F7"/>
    <w:rsid w:val="00A62799"/>
    <w:rsid w:val="00A62A93"/>
    <w:rsid w:val="00A62DD4"/>
    <w:rsid w:val="00A631B5"/>
    <w:rsid w:val="00A631E2"/>
    <w:rsid w:val="00A638B8"/>
    <w:rsid w:val="00A63F29"/>
    <w:rsid w:val="00A64A23"/>
    <w:rsid w:val="00A70DCA"/>
    <w:rsid w:val="00A71D03"/>
    <w:rsid w:val="00A720B3"/>
    <w:rsid w:val="00A72C1C"/>
    <w:rsid w:val="00A7378A"/>
    <w:rsid w:val="00A74B22"/>
    <w:rsid w:val="00A7587F"/>
    <w:rsid w:val="00A7664F"/>
    <w:rsid w:val="00A76B51"/>
    <w:rsid w:val="00A76D90"/>
    <w:rsid w:val="00A7773A"/>
    <w:rsid w:val="00A77BF3"/>
    <w:rsid w:val="00A8054C"/>
    <w:rsid w:val="00A80BBC"/>
    <w:rsid w:val="00A81E48"/>
    <w:rsid w:val="00A82B8D"/>
    <w:rsid w:val="00A83A41"/>
    <w:rsid w:val="00A84CDE"/>
    <w:rsid w:val="00A85F10"/>
    <w:rsid w:val="00A86827"/>
    <w:rsid w:val="00A86C69"/>
    <w:rsid w:val="00A87CE4"/>
    <w:rsid w:val="00A90127"/>
    <w:rsid w:val="00A90574"/>
    <w:rsid w:val="00A90996"/>
    <w:rsid w:val="00A910FA"/>
    <w:rsid w:val="00A92001"/>
    <w:rsid w:val="00A920F7"/>
    <w:rsid w:val="00A9312B"/>
    <w:rsid w:val="00A9579F"/>
    <w:rsid w:val="00A96085"/>
    <w:rsid w:val="00A96120"/>
    <w:rsid w:val="00A9635A"/>
    <w:rsid w:val="00A97C9A"/>
    <w:rsid w:val="00AA0668"/>
    <w:rsid w:val="00AA112E"/>
    <w:rsid w:val="00AA15DC"/>
    <w:rsid w:val="00AA29DE"/>
    <w:rsid w:val="00AA2B1D"/>
    <w:rsid w:val="00AA471B"/>
    <w:rsid w:val="00AA5A1F"/>
    <w:rsid w:val="00AA666C"/>
    <w:rsid w:val="00AA6B60"/>
    <w:rsid w:val="00AA6C66"/>
    <w:rsid w:val="00AA72C6"/>
    <w:rsid w:val="00AA7822"/>
    <w:rsid w:val="00AA788B"/>
    <w:rsid w:val="00AA78A3"/>
    <w:rsid w:val="00AB058A"/>
    <w:rsid w:val="00AB100F"/>
    <w:rsid w:val="00AB2991"/>
    <w:rsid w:val="00AB415F"/>
    <w:rsid w:val="00AB4B90"/>
    <w:rsid w:val="00AB5BE8"/>
    <w:rsid w:val="00AB60E7"/>
    <w:rsid w:val="00AB654F"/>
    <w:rsid w:val="00AB7538"/>
    <w:rsid w:val="00AB7986"/>
    <w:rsid w:val="00AC04F1"/>
    <w:rsid w:val="00AC0DB0"/>
    <w:rsid w:val="00AC28B4"/>
    <w:rsid w:val="00AC35E6"/>
    <w:rsid w:val="00AC4DEF"/>
    <w:rsid w:val="00AC50E4"/>
    <w:rsid w:val="00AC5BC8"/>
    <w:rsid w:val="00AC6FA1"/>
    <w:rsid w:val="00AD0FA6"/>
    <w:rsid w:val="00AD10C5"/>
    <w:rsid w:val="00AD166B"/>
    <w:rsid w:val="00AD3879"/>
    <w:rsid w:val="00AE0464"/>
    <w:rsid w:val="00AE2A21"/>
    <w:rsid w:val="00AE3797"/>
    <w:rsid w:val="00AE49C5"/>
    <w:rsid w:val="00AE4C28"/>
    <w:rsid w:val="00AE4E4C"/>
    <w:rsid w:val="00AE668C"/>
    <w:rsid w:val="00AE7632"/>
    <w:rsid w:val="00AF1669"/>
    <w:rsid w:val="00AF3FC9"/>
    <w:rsid w:val="00AF534E"/>
    <w:rsid w:val="00AF5DD3"/>
    <w:rsid w:val="00AF6331"/>
    <w:rsid w:val="00AF6AF7"/>
    <w:rsid w:val="00AF6BE1"/>
    <w:rsid w:val="00B00072"/>
    <w:rsid w:val="00B02029"/>
    <w:rsid w:val="00B0278F"/>
    <w:rsid w:val="00B02B02"/>
    <w:rsid w:val="00B0381E"/>
    <w:rsid w:val="00B03CC1"/>
    <w:rsid w:val="00B0401B"/>
    <w:rsid w:val="00B0476E"/>
    <w:rsid w:val="00B066C9"/>
    <w:rsid w:val="00B06DB5"/>
    <w:rsid w:val="00B079CC"/>
    <w:rsid w:val="00B10C4E"/>
    <w:rsid w:val="00B10C60"/>
    <w:rsid w:val="00B1122D"/>
    <w:rsid w:val="00B115BF"/>
    <w:rsid w:val="00B12204"/>
    <w:rsid w:val="00B127D6"/>
    <w:rsid w:val="00B12C92"/>
    <w:rsid w:val="00B14977"/>
    <w:rsid w:val="00B1647D"/>
    <w:rsid w:val="00B20B03"/>
    <w:rsid w:val="00B21387"/>
    <w:rsid w:val="00B21D0B"/>
    <w:rsid w:val="00B24BB3"/>
    <w:rsid w:val="00B2560C"/>
    <w:rsid w:val="00B256BD"/>
    <w:rsid w:val="00B25DC1"/>
    <w:rsid w:val="00B260C2"/>
    <w:rsid w:val="00B2628A"/>
    <w:rsid w:val="00B26F14"/>
    <w:rsid w:val="00B30974"/>
    <w:rsid w:val="00B30E70"/>
    <w:rsid w:val="00B316C3"/>
    <w:rsid w:val="00B321F0"/>
    <w:rsid w:val="00B3224F"/>
    <w:rsid w:val="00B3254D"/>
    <w:rsid w:val="00B339F1"/>
    <w:rsid w:val="00B357CD"/>
    <w:rsid w:val="00B35A61"/>
    <w:rsid w:val="00B36E98"/>
    <w:rsid w:val="00B40034"/>
    <w:rsid w:val="00B412E2"/>
    <w:rsid w:val="00B41EFD"/>
    <w:rsid w:val="00B42955"/>
    <w:rsid w:val="00B4420B"/>
    <w:rsid w:val="00B45048"/>
    <w:rsid w:val="00B45061"/>
    <w:rsid w:val="00B4576C"/>
    <w:rsid w:val="00B46319"/>
    <w:rsid w:val="00B46B3C"/>
    <w:rsid w:val="00B515C5"/>
    <w:rsid w:val="00B52246"/>
    <w:rsid w:val="00B53867"/>
    <w:rsid w:val="00B53B46"/>
    <w:rsid w:val="00B5435A"/>
    <w:rsid w:val="00B54C0B"/>
    <w:rsid w:val="00B54DE4"/>
    <w:rsid w:val="00B55B9F"/>
    <w:rsid w:val="00B5663A"/>
    <w:rsid w:val="00B56FDE"/>
    <w:rsid w:val="00B57B36"/>
    <w:rsid w:val="00B60362"/>
    <w:rsid w:val="00B609AF"/>
    <w:rsid w:val="00B61043"/>
    <w:rsid w:val="00B613E4"/>
    <w:rsid w:val="00B619B3"/>
    <w:rsid w:val="00B6263D"/>
    <w:rsid w:val="00B62742"/>
    <w:rsid w:val="00B62972"/>
    <w:rsid w:val="00B6385B"/>
    <w:rsid w:val="00B642B9"/>
    <w:rsid w:val="00B647E0"/>
    <w:rsid w:val="00B65531"/>
    <w:rsid w:val="00B66077"/>
    <w:rsid w:val="00B6609D"/>
    <w:rsid w:val="00B6680C"/>
    <w:rsid w:val="00B66B71"/>
    <w:rsid w:val="00B67674"/>
    <w:rsid w:val="00B67AE6"/>
    <w:rsid w:val="00B70027"/>
    <w:rsid w:val="00B7012D"/>
    <w:rsid w:val="00B7090E"/>
    <w:rsid w:val="00B70990"/>
    <w:rsid w:val="00B724AF"/>
    <w:rsid w:val="00B72581"/>
    <w:rsid w:val="00B72EE9"/>
    <w:rsid w:val="00B733D4"/>
    <w:rsid w:val="00B749E3"/>
    <w:rsid w:val="00B75DEE"/>
    <w:rsid w:val="00B76623"/>
    <w:rsid w:val="00B768FC"/>
    <w:rsid w:val="00B76915"/>
    <w:rsid w:val="00B76FF7"/>
    <w:rsid w:val="00B777E8"/>
    <w:rsid w:val="00B77977"/>
    <w:rsid w:val="00B80A6C"/>
    <w:rsid w:val="00B80E0C"/>
    <w:rsid w:val="00B820D7"/>
    <w:rsid w:val="00B82C2D"/>
    <w:rsid w:val="00B83A7F"/>
    <w:rsid w:val="00B84476"/>
    <w:rsid w:val="00B84914"/>
    <w:rsid w:val="00B859CE"/>
    <w:rsid w:val="00B8742A"/>
    <w:rsid w:val="00B8777A"/>
    <w:rsid w:val="00B90A68"/>
    <w:rsid w:val="00B90C52"/>
    <w:rsid w:val="00B924FE"/>
    <w:rsid w:val="00B93C8B"/>
    <w:rsid w:val="00B96F1F"/>
    <w:rsid w:val="00B97C64"/>
    <w:rsid w:val="00BA11B1"/>
    <w:rsid w:val="00BA1386"/>
    <w:rsid w:val="00BA1AB4"/>
    <w:rsid w:val="00BA3A59"/>
    <w:rsid w:val="00BA4365"/>
    <w:rsid w:val="00BA446C"/>
    <w:rsid w:val="00BA5632"/>
    <w:rsid w:val="00BA5C16"/>
    <w:rsid w:val="00BA66CC"/>
    <w:rsid w:val="00BA6CEB"/>
    <w:rsid w:val="00BA6F4A"/>
    <w:rsid w:val="00BA7805"/>
    <w:rsid w:val="00BA7A7D"/>
    <w:rsid w:val="00BA7E74"/>
    <w:rsid w:val="00BB09A0"/>
    <w:rsid w:val="00BB0D62"/>
    <w:rsid w:val="00BB10A2"/>
    <w:rsid w:val="00BB1FE1"/>
    <w:rsid w:val="00BB57F1"/>
    <w:rsid w:val="00BB5EAA"/>
    <w:rsid w:val="00BB78DA"/>
    <w:rsid w:val="00BC09A4"/>
    <w:rsid w:val="00BC1DCE"/>
    <w:rsid w:val="00BC39DA"/>
    <w:rsid w:val="00BC46AB"/>
    <w:rsid w:val="00BC48A4"/>
    <w:rsid w:val="00BC4ABA"/>
    <w:rsid w:val="00BC53A7"/>
    <w:rsid w:val="00BC5867"/>
    <w:rsid w:val="00BC670B"/>
    <w:rsid w:val="00BC6A8A"/>
    <w:rsid w:val="00BC7E7B"/>
    <w:rsid w:val="00BD1A01"/>
    <w:rsid w:val="00BD1D08"/>
    <w:rsid w:val="00BD2667"/>
    <w:rsid w:val="00BD471B"/>
    <w:rsid w:val="00BD4C8A"/>
    <w:rsid w:val="00BD5613"/>
    <w:rsid w:val="00BD6379"/>
    <w:rsid w:val="00BD65C7"/>
    <w:rsid w:val="00BE296C"/>
    <w:rsid w:val="00BE3568"/>
    <w:rsid w:val="00BE358D"/>
    <w:rsid w:val="00BE4262"/>
    <w:rsid w:val="00BE429D"/>
    <w:rsid w:val="00BE5CF8"/>
    <w:rsid w:val="00BE5ECB"/>
    <w:rsid w:val="00BE5F56"/>
    <w:rsid w:val="00BE6921"/>
    <w:rsid w:val="00BE7390"/>
    <w:rsid w:val="00BE7A8F"/>
    <w:rsid w:val="00BE7AC6"/>
    <w:rsid w:val="00BF049B"/>
    <w:rsid w:val="00BF0889"/>
    <w:rsid w:val="00BF2B02"/>
    <w:rsid w:val="00BF2D39"/>
    <w:rsid w:val="00BF3D7B"/>
    <w:rsid w:val="00BF4DA0"/>
    <w:rsid w:val="00C00456"/>
    <w:rsid w:val="00C00FF1"/>
    <w:rsid w:val="00C010D4"/>
    <w:rsid w:val="00C02AAF"/>
    <w:rsid w:val="00C037A0"/>
    <w:rsid w:val="00C03C90"/>
    <w:rsid w:val="00C0477D"/>
    <w:rsid w:val="00C04E7E"/>
    <w:rsid w:val="00C054E9"/>
    <w:rsid w:val="00C05975"/>
    <w:rsid w:val="00C06924"/>
    <w:rsid w:val="00C06C1C"/>
    <w:rsid w:val="00C06EAB"/>
    <w:rsid w:val="00C10E3B"/>
    <w:rsid w:val="00C123BF"/>
    <w:rsid w:val="00C12D37"/>
    <w:rsid w:val="00C135B9"/>
    <w:rsid w:val="00C14271"/>
    <w:rsid w:val="00C16C9D"/>
    <w:rsid w:val="00C17144"/>
    <w:rsid w:val="00C17955"/>
    <w:rsid w:val="00C17DDB"/>
    <w:rsid w:val="00C20BD7"/>
    <w:rsid w:val="00C229AE"/>
    <w:rsid w:val="00C22E97"/>
    <w:rsid w:val="00C25B04"/>
    <w:rsid w:val="00C26242"/>
    <w:rsid w:val="00C26A30"/>
    <w:rsid w:val="00C2752F"/>
    <w:rsid w:val="00C27F39"/>
    <w:rsid w:val="00C30D4B"/>
    <w:rsid w:val="00C31F9F"/>
    <w:rsid w:val="00C32EB3"/>
    <w:rsid w:val="00C33803"/>
    <w:rsid w:val="00C34A69"/>
    <w:rsid w:val="00C35091"/>
    <w:rsid w:val="00C36B32"/>
    <w:rsid w:val="00C37C09"/>
    <w:rsid w:val="00C4102F"/>
    <w:rsid w:val="00C4195C"/>
    <w:rsid w:val="00C419E3"/>
    <w:rsid w:val="00C44765"/>
    <w:rsid w:val="00C44782"/>
    <w:rsid w:val="00C44A86"/>
    <w:rsid w:val="00C45B3B"/>
    <w:rsid w:val="00C461CA"/>
    <w:rsid w:val="00C464A2"/>
    <w:rsid w:val="00C47BF2"/>
    <w:rsid w:val="00C47C02"/>
    <w:rsid w:val="00C47DEC"/>
    <w:rsid w:val="00C47E88"/>
    <w:rsid w:val="00C502CF"/>
    <w:rsid w:val="00C51A3D"/>
    <w:rsid w:val="00C51A5A"/>
    <w:rsid w:val="00C51F12"/>
    <w:rsid w:val="00C53D67"/>
    <w:rsid w:val="00C54E36"/>
    <w:rsid w:val="00C54FD6"/>
    <w:rsid w:val="00C552C2"/>
    <w:rsid w:val="00C56E72"/>
    <w:rsid w:val="00C57543"/>
    <w:rsid w:val="00C60B58"/>
    <w:rsid w:val="00C622C7"/>
    <w:rsid w:val="00C63892"/>
    <w:rsid w:val="00C63E68"/>
    <w:rsid w:val="00C646AC"/>
    <w:rsid w:val="00C648CF"/>
    <w:rsid w:val="00C649EE"/>
    <w:rsid w:val="00C64A06"/>
    <w:rsid w:val="00C66431"/>
    <w:rsid w:val="00C70CF9"/>
    <w:rsid w:val="00C71E46"/>
    <w:rsid w:val="00C72194"/>
    <w:rsid w:val="00C73570"/>
    <w:rsid w:val="00C73AC2"/>
    <w:rsid w:val="00C73DD7"/>
    <w:rsid w:val="00C74A8E"/>
    <w:rsid w:val="00C771C5"/>
    <w:rsid w:val="00C77271"/>
    <w:rsid w:val="00C77F5E"/>
    <w:rsid w:val="00C8144B"/>
    <w:rsid w:val="00C8212D"/>
    <w:rsid w:val="00C82777"/>
    <w:rsid w:val="00C83585"/>
    <w:rsid w:val="00C835E1"/>
    <w:rsid w:val="00C83C89"/>
    <w:rsid w:val="00C85D3C"/>
    <w:rsid w:val="00C86158"/>
    <w:rsid w:val="00C86BF6"/>
    <w:rsid w:val="00C9215B"/>
    <w:rsid w:val="00C92BA2"/>
    <w:rsid w:val="00C93083"/>
    <w:rsid w:val="00C933FE"/>
    <w:rsid w:val="00C9346E"/>
    <w:rsid w:val="00C944F0"/>
    <w:rsid w:val="00C96981"/>
    <w:rsid w:val="00C978B4"/>
    <w:rsid w:val="00CA008F"/>
    <w:rsid w:val="00CA1A9C"/>
    <w:rsid w:val="00CA2630"/>
    <w:rsid w:val="00CA27F9"/>
    <w:rsid w:val="00CA2E32"/>
    <w:rsid w:val="00CA2EAB"/>
    <w:rsid w:val="00CA2F4E"/>
    <w:rsid w:val="00CA338D"/>
    <w:rsid w:val="00CA479A"/>
    <w:rsid w:val="00CA4B17"/>
    <w:rsid w:val="00CA61FD"/>
    <w:rsid w:val="00CA630E"/>
    <w:rsid w:val="00CB0B54"/>
    <w:rsid w:val="00CB2D10"/>
    <w:rsid w:val="00CB38C6"/>
    <w:rsid w:val="00CB4D2A"/>
    <w:rsid w:val="00CB53C7"/>
    <w:rsid w:val="00CB6490"/>
    <w:rsid w:val="00CB66CF"/>
    <w:rsid w:val="00CC048F"/>
    <w:rsid w:val="00CC0991"/>
    <w:rsid w:val="00CC0C9F"/>
    <w:rsid w:val="00CC1D09"/>
    <w:rsid w:val="00CC215D"/>
    <w:rsid w:val="00CC3862"/>
    <w:rsid w:val="00CC54C8"/>
    <w:rsid w:val="00CD0074"/>
    <w:rsid w:val="00CD0A1F"/>
    <w:rsid w:val="00CD26BA"/>
    <w:rsid w:val="00CD46A2"/>
    <w:rsid w:val="00CD4AAF"/>
    <w:rsid w:val="00CD6916"/>
    <w:rsid w:val="00CD7429"/>
    <w:rsid w:val="00CD76C8"/>
    <w:rsid w:val="00CE09FA"/>
    <w:rsid w:val="00CE0A60"/>
    <w:rsid w:val="00CE0C72"/>
    <w:rsid w:val="00CE1401"/>
    <w:rsid w:val="00CE1E99"/>
    <w:rsid w:val="00CE2C5E"/>
    <w:rsid w:val="00CE35AB"/>
    <w:rsid w:val="00CE61F1"/>
    <w:rsid w:val="00CF03E5"/>
    <w:rsid w:val="00CF1A52"/>
    <w:rsid w:val="00CF1BBE"/>
    <w:rsid w:val="00CF32C9"/>
    <w:rsid w:val="00CF5F05"/>
    <w:rsid w:val="00CF6272"/>
    <w:rsid w:val="00CF634F"/>
    <w:rsid w:val="00CF6E17"/>
    <w:rsid w:val="00CF6E39"/>
    <w:rsid w:val="00CF79CD"/>
    <w:rsid w:val="00CF7D59"/>
    <w:rsid w:val="00D00491"/>
    <w:rsid w:val="00D00FD5"/>
    <w:rsid w:val="00D01F7E"/>
    <w:rsid w:val="00D028D6"/>
    <w:rsid w:val="00D04197"/>
    <w:rsid w:val="00D04BD5"/>
    <w:rsid w:val="00D04C25"/>
    <w:rsid w:val="00D04D14"/>
    <w:rsid w:val="00D068F0"/>
    <w:rsid w:val="00D069EC"/>
    <w:rsid w:val="00D06F0D"/>
    <w:rsid w:val="00D06F47"/>
    <w:rsid w:val="00D073A5"/>
    <w:rsid w:val="00D076FB"/>
    <w:rsid w:val="00D114BB"/>
    <w:rsid w:val="00D11EA7"/>
    <w:rsid w:val="00D12BC3"/>
    <w:rsid w:val="00D13692"/>
    <w:rsid w:val="00D13BDE"/>
    <w:rsid w:val="00D14C25"/>
    <w:rsid w:val="00D16995"/>
    <w:rsid w:val="00D169CB"/>
    <w:rsid w:val="00D174E9"/>
    <w:rsid w:val="00D17A90"/>
    <w:rsid w:val="00D208BB"/>
    <w:rsid w:val="00D21CEF"/>
    <w:rsid w:val="00D24374"/>
    <w:rsid w:val="00D25229"/>
    <w:rsid w:val="00D260F4"/>
    <w:rsid w:val="00D26332"/>
    <w:rsid w:val="00D307CE"/>
    <w:rsid w:val="00D31511"/>
    <w:rsid w:val="00D315AF"/>
    <w:rsid w:val="00D31DDD"/>
    <w:rsid w:val="00D339EF"/>
    <w:rsid w:val="00D34459"/>
    <w:rsid w:val="00D34F92"/>
    <w:rsid w:val="00D36988"/>
    <w:rsid w:val="00D374FE"/>
    <w:rsid w:val="00D37527"/>
    <w:rsid w:val="00D406A4"/>
    <w:rsid w:val="00D40951"/>
    <w:rsid w:val="00D4190C"/>
    <w:rsid w:val="00D41F64"/>
    <w:rsid w:val="00D43323"/>
    <w:rsid w:val="00D43FBC"/>
    <w:rsid w:val="00D4538F"/>
    <w:rsid w:val="00D45508"/>
    <w:rsid w:val="00D47338"/>
    <w:rsid w:val="00D47AB9"/>
    <w:rsid w:val="00D47BCE"/>
    <w:rsid w:val="00D47D66"/>
    <w:rsid w:val="00D50873"/>
    <w:rsid w:val="00D51858"/>
    <w:rsid w:val="00D51FB5"/>
    <w:rsid w:val="00D53930"/>
    <w:rsid w:val="00D53CB5"/>
    <w:rsid w:val="00D53F43"/>
    <w:rsid w:val="00D54574"/>
    <w:rsid w:val="00D54CDB"/>
    <w:rsid w:val="00D55558"/>
    <w:rsid w:val="00D56392"/>
    <w:rsid w:val="00D600B9"/>
    <w:rsid w:val="00D6015F"/>
    <w:rsid w:val="00D61115"/>
    <w:rsid w:val="00D623C2"/>
    <w:rsid w:val="00D63983"/>
    <w:rsid w:val="00D649D4"/>
    <w:rsid w:val="00D6579F"/>
    <w:rsid w:val="00D66D55"/>
    <w:rsid w:val="00D66F19"/>
    <w:rsid w:val="00D67873"/>
    <w:rsid w:val="00D7044C"/>
    <w:rsid w:val="00D704BB"/>
    <w:rsid w:val="00D707E9"/>
    <w:rsid w:val="00D70861"/>
    <w:rsid w:val="00D70967"/>
    <w:rsid w:val="00D7161C"/>
    <w:rsid w:val="00D71DF3"/>
    <w:rsid w:val="00D71E16"/>
    <w:rsid w:val="00D71FEC"/>
    <w:rsid w:val="00D72227"/>
    <w:rsid w:val="00D72CDA"/>
    <w:rsid w:val="00D73887"/>
    <w:rsid w:val="00D74A16"/>
    <w:rsid w:val="00D75794"/>
    <w:rsid w:val="00D757B7"/>
    <w:rsid w:val="00D757D2"/>
    <w:rsid w:val="00D803D8"/>
    <w:rsid w:val="00D8139C"/>
    <w:rsid w:val="00D81B04"/>
    <w:rsid w:val="00D81FB6"/>
    <w:rsid w:val="00D83517"/>
    <w:rsid w:val="00D84947"/>
    <w:rsid w:val="00D8529C"/>
    <w:rsid w:val="00D855A6"/>
    <w:rsid w:val="00D859CB"/>
    <w:rsid w:val="00D90E26"/>
    <w:rsid w:val="00D91D84"/>
    <w:rsid w:val="00D92833"/>
    <w:rsid w:val="00D935BB"/>
    <w:rsid w:val="00D93658"/>
    <w:rsid w:val="00D94611"/>
    <w:rsid w:val="00D949F8"/>
    <w:rsid w:val="00D950BB"/>
    <w:rsid w:val="00D95578"/>
    <w:rsid w:val="00D9590D"/>
    <w:rsid w:val="00D96F7A"/>
    <w:rsid w:val="00D976B6"/>
    <w:rsid w:val="00D978C9"/>
    <w:rsid w:val="00D97EDC"/>
    <w:rsid w:val="00DA0402"/>
    <w:rsid w:val="00DA1BD5"/>
    <w:rsid w:val="00DA29DA"/>
    <w:rsid w:val="00DA483D"/>
    <w:rsid w:val="00DA4E10"/>
    <w:rsid w:val="00DA637B"/>
    <w:rsid w:val="00DA7963"/>
    <w:rsid w:val="00DA7AEA"/>
    <w:rsid w:val="00DB1BB1"/>
    <w:rsid w:val="00DB2452"/>
    <w:rsid w:val="00DB2B78"/>
    <w:rsid w:val="00DB483C"/>
    <w:rsid w:val="00DB4E79"/>
    <w:rsid w:val="00DB5FD0"/>
    <w:rsid w:val="00DB633C"/>
    <w:rsid w:val="00DB650D"/>
    <w:rsid w:val="00DB726A"/>
    <w:rsid w:val="00DB75D5"/>
    <w:rsid w:val="00DC01CC"/>
    <w:rsid w:val="00DC04BB"/>
    <w:rsid w:val="00DC13D7"/>
    <w:rsid w:val="00DC15F4"/>
    <w:rsid w:val="00DC1705"/>
    <w:rsid w:val="00DC1D73"/>
    <w:rsid w:val="00DC28E5"/>
    <w:rsid w:val="00DC2BD6"/>
    <w:rsid w:val="00DC2E3A"/>
    <w:rsid w:val="00DC3496"/>
    <w:rsid w:val="00DC3F8A"/>
    <w:rsid w:val="00DC5E77"/>
    <w:rsid w:val="00DC5F7A"/>
    <w:rsid w:val="00DC6339"/>
    <w:rsid w:val="00DC658D"/>
    <w:rsid w:val="00DC67D4"/>
    <w:rsid w:val="00DC7EE0"/>
    <w:rsid w:val="00DD0572"/>
    <w:rsid w:val="00DD31AD"/>
    <w:rsid w:val="00DD3872"/>
    <w:rsid w:val="00DD739C"/>
    <w:rsid w:val="00DD7958"/>
    <w:rsid w:val="00DD7F5C"/>
    <w:rsid w:val="00DE1336"/>
    <w:rsid w:val="00DE6755"/>
    <w:rsid w:val="00DE6843"/>
    <w:rsid w:val="00DE7917"/>
    <w:rsid w:val="00DE7C8F"/>
    <w:rsid w:val="00DF038E"/>
    <w:rsid w:val="00DF0459"/>
    <w:rsid w:val="00DF1277"/>
    <w:rsid w:val="00DF1C31"/>
    <w:rsid w:val="00DF2481"/>
    <w:rsid w:val="00DF27B6"/>
    <w:rsid w:val="00DF3FFC"/>
    <w:rsid w:val="00DF521F"/>
    <w:rsid w:val="00DF6158"/>
    <w:rsid w:val="00DF662B"/>
    <w:rsid w:val="00DF6738"/>
    <w:rsid w:val="00E0041B"/>
    <w:rsid w:val="00E004E6"/>
    <w:rsid w:val="00E01D59"/>
    <w:rsid w:val="00E02CB0"/>
    <w:rsid w:val="00E043DA"/>
    <w:rsid w:val="00E04A31"/>
    <w:rsid w:val="00E05418"/>
    <w:rsid w:val="00E05ACF"/>
    <w:rsid w:val="00E06E34"/>
    <w:rsid w:val="00E100CE"/>
    <w:rsid w:val="00E1058B"/>
    <w:rsid w:val="00E13C27"/>
    <w:rsid w:val="00E15535"/>
    <w:rsid w:val="00E16358"/>
    <w:rsid w:val="00E16537"/>
    <w:rsid w:val="00E17D40"/>
    <w:rsid w:val="00E214CE"/>
    <w:rsid w:val="00E22BDA"/>
    <w:rsid w:val="00E24F4D"/>
    <w:rsid w:val="00E26ED0"/>
    <w:rsid w:val="00E31E4A"/>
    <w:rsid w:val="00E327DC"/>
    <w:rsid w:val="00E343CA"/>
    <w:rsid w:val="00E3460B"/>
    <w:rsid w:val="00E358A1"/>
    <w:rsid w:val="00E3599B"/>
    <w:rsid w:val="00E368F8"/>
    <w:rsid w:val="00E36D34"/>
    <w:rsid w:val="00E36D76"/>
    <w:rsid w:val="00E36F68"/>
    <w:rsid w:val="00E37842"/>
    <w:rsid w:val="00E40516"/>
    <w:rsid w:val="00E41F36"/>
    <w:rsid w:val="00E424EE"/>
    <w:rsid w:val="00E42B2C"/>
    <w:rsid w:val="00E42E75"/>
    <w:rsid w:val="00E44AE5"/>
    <w:rsid w:val="00E51338"/>
    <w:rsid w:val="00E51950"/>
    <w:rsid w:val="00E52688"/>
    <w:rsid w:val="00E52EF4"/>
    <w:rsid w:val="00E5395A"/>
    <w:rsid w:val="00E54EB9"/>
    <w:rsid w:val="00E54EEF"/>
    <w:rsid w:val="00E551BF"/>
    <w:rsid w:val="00E556ED"/>
    <w:rsid w:val="00E566C7"/>
    <w:rsid w:val="00E56D36"/>
    <w:rsid w:val="00E56E97"/>
    <w:rsid w:val="00E57AB6"/>
    <w:rsid w:val="00E57E99"/>
    <w:rsid w:val="00E60B21"/>
    <w:rsid w:val="00E61144"/>
    <w:rsid w:val="00E61C50"/>
    <w:rsid w:val="00E626BA"/>
    <w:rsid w:val="00E633B6"/>
    <w:rsid w:val="00E63F33"/>
    <w:rsid w:val="00E6430A"/>
    <w:rsid w:val="00E67783"/>
    <w:rsid w:val="00E71842"/>
    <w:rsid w:val="00E71848"/>
    <w:rsid w:val="00E74455"/>
    <w:rsid w:val="00E74939"/>
    <w:rsid w:val="00E750C6"/>
    <w:rsid w:val="00E77258"/>
    <w:rsid w:val="00E776B7"/>
    <w:rsid w:val="00E77960"/>
    <w:rsid w:val="00E80244"/>
    <w:rsid w:val="00E820A6"/>
    <w:rsid w:val="00E828CB"/>
    <w:rsid w:val="00E82FB1"/>
    <w:rsid w:val="00E83A8C"/>
    <w:rsid w:val="00E86ADC"/>
    <w:rsid w:val="00E8771D"/>
    <w:rsid w:val="00E9184F"/>
    <w:rsid w:val="00E92124"/>
    <w:rsid w:val="00E93119"/>
    <w:rsid w:val="00E9615D"/>
    <w:rsid w:val="00E96803"/>
    <w:rsid w:val="00E97507"/>
    <w:rsid w:val="00E97CCF"/>
    <w:rsid w:val="00EA163D"/>
    <w:rsid w:val="00EA4269"/>
    <w:rsid w:val="00EA580B"/>
    <w:rsid w:val="00EA7E51"/>
    <w:rsid w:val="00EB1F7D"/>
    <w:rsid w:val="00EB23B7"/>
    <w:rsid w:val="00EB2F02"/>
    <w:rsid w:val="00EB4431"/>
    <w:rsid w:val="00EB504E"/>
    <w:rsid w:val="00EB5771"/>
    <w:rsid w:val="00EB5CFA"/>
    <w:rsid w:val="00EB6511"/>
    <w:rsid w:val="00EB720F"/>
    <w:rsid w:val="00EB74D6"/>
    <w:rsid w:val="00EB7E87"/>
    <w:rsid w:val="00EC00E7"/>
    <w:rsid w:val="00EC0115"/>
    <w:rsid w:val="00EC2F5F"/>
    <w:rsid w:val="00EC309C"/>
    <w:rsid w:val="00EC3CDB"/>
    <w:rsid w:val="00EC4D7B"/>
    <w:rsid w:val="00EC5EEB"/>
    <w:rsid w:val="00ED0901"/>
    <w:rsid w:val="00ED106B"/>
    <w:rsid w:val="00ED191D"/>
    <w:rsid w:val="00ED2743"/>
    <w:rsid w:val="00ED2E76"/>
    <w:rsid w:val="00ED30BF"/>
    <w:rsid w:val="00ED3CC0"/>
    <w:rsid w:val="00ED3D4F"/>
    <w:rsid w:val="00ED4A14"/>
    <w:rsid w:val="00ED4A18"/>
    <w:rsid w:val="00ED4D81"/>
    <w:rsid w:val="00ED4E1D"/>
    <w:rsid w:val="00ED69E7"/>
    <w:rsid w:val="00EE167E"/>
    <w:rsid w:val="00EE1693"/>
    <w:rsid w:val="00EE19FF"/>
    <w:rsid w:val="00EE4224"/>
    <w:rsid w:val="00EE6A4D"/>
    <w:rsid w:val="00EE75CE"/>
    <w:rsid w:val="00EE7EE2"/>
    <w:rsid w:val="00EF0312"/>
    <w:rsid w:val="00EF0664"/>
    <w:rsid w:val="00EF1DE2"/>
    <w:rsid w:val="00EF2164"/>
    <w:rsid w:val="00EF365D"/>
    <w:rsid w:val="00EF3F84"/>
    <w:rsid w:val="00EF4B5F"/>
    <w:rsid w:val="00EF4C18"/>
    <w:rsid w:val="00EF7A99"/>
    <w:rsid w:val="00F01C39"/>
    <w:rsid w:val="00F02D2F"/>
    <w:rsid w:val="00F02DB2"/>
    <w:rsid w:val="00F031E8"/>
    <w:rsid w:val="00F03E3D"/>
    <w:rsid w:val="00F06796"/>
    <w:rsid w:val="00F069DC"/>
    <w:rsid w:val="00F06F59"/>
    <w:rsid w:val="00F0717E"/>
    <w:rsid w:val="00F10C2B"/>
    <w:rsid w:val="00F10E67"/>
    <w:rsid w:val="00F11369"/>
    <w:rsid w:val="00F11DA9"/>
    <w:rsid w:val="00F127EE"/>
    <w:rsid w:val="00F12998"/>
    <w:rsid w:val="00F130B5"/>
    <w:rsid w:val="00F13A63"/>
    <w:rsid w:val="00F146B4"/>
    <w:rsid w:val="00F15748"/>
    <w:rsid w:val="00F16272"/>
    <w:rsid w:val="00F213DD"/>
    <w:rsid w:val="00F21568"/>
    <w:rsid w:val="00F2176F"/>
    <w:rsid w:val="00F21849"/>
    <w:rsid w:val="00F21911"/>
    <w:rsid w:val="00F21B8F"/>
    <w:rsid w:val="00F2348E"/>
    <w:rsid w:val="00F246CE"/>
    <w:rsid w:val="00F24A04"/>
    <w:rsid w:val="00F24B33"/>
    <w:rsid w:val="00F250DB"/>
    <w:rsid w:val="00F25A77"/>
    <w:rsid w:val="00F25C4B"/>
    <w:rsid w:val="00F25D2A"/>
    <w:rsid w:val="00F305E5"/>
    <w:rsid w:val="00F314CA"/>
    <w:rsid w:val="00F31B4F"/>
    <w:rsid w:val="00F33616"/>
    <w:rsid w:val="00F343B3"/>
    <w:rsid w:val="00F34A9D"/>
    <w:rsid w:val="00F34EDC"/>
    <w:rsid w:val="00F36256"/>
    <w:rsid w:val="00F4093A"/>
    <w:rsid w:val="00F4094C"/>
    <w:rsid w:val="00F422EA"/>
    <w:rsid w:val="00F42EBE"/>
    <w:rsid w:val="00F4529C"/>
    <w:rsid w:val="00F4546D"/>
    <w:rsid w:val="00F4589F"/>
    <w:rsid w:val="00F46FC2"/>
    <w:rsid w:val="00F47A14"/>
    <w:rsid w:val="00F47BEE"/>
    <w:rsid w:val="00F5018D"/>
    <w:rsid w:val="00F51BFB"/>
    <w:rsid w:val="00F52400"/>
    <w:rsid w:val="00F52466"/>
    <w:rsid w:val="00F52C71"/>
    <w:rsid w:val="00F52E95"/>
    <w:rsid w:val="00F54A41"/>
    <w:rsid w:val="00F55462"/>
    <w:rsid w:val="00F5622E"/>
    <w:rsid w:val="00F56B29"/>
    <w:rsid w:val="00F56F6A"/>
    <w:rsid w:val="00F5796C"/>
    <w:rsid w:val="00F6037F"/>
    <w:rsid w:val="00F605B7"/>
    <w:rsid w:val="00F610B4"/>
    <w:rsid w:val="00F655D8"/>
    <w:rsid w:val="00F66BD4"/>
    <w:rsid w:val="00F67BCC"/>
    <w:rsid w:val="00F704D8"/>
    <w:rsid w:val="00F72D00"/>
    <w:rsid w:val="00F72F02"/>
    <w:rsid w:val="00F731FC"/>
    <w:rsid w:val="00F73786"/>
    <w:rsid w:val="00F73BEE"/>
    <w:rsid w:val="00F74B05"/>
    <w:rsid w:val="00F75CBF"/>
    <w:rsid w:val="00F76B77"/>
    <w:rsid w:val="00F82CB2"/>
    <w:rsid w:val="00F83782"/>
    <w:rsid w:val="00F83791"/>
    <w:rsid w:val="00F855EB"/>
    <w:rsid w:val="00F8682E"/>
    <w:rsid w:val="00F87460"/>
    <w:rsid w:val="00F8756B"/>
    <w:rsid w:val="00F90F0D"/>
    <w:rsid w:val="00F9220A"/>
    <w:rsid w:val="00F92669"/>
    <w:rsid w:val="00F92EB4"/>
    <w:rsid w:val="00F94829"/>
    <w:rsid w:val="00F9579B"/>
    <w:rsid w:val="00F95A1C"/>
    <w:rsid w:val="00F970C5"/>
    <w:rsid w:val="00F97706"/>
    <w:rsid w:val="00F97B07"/>
    <w:rsid w:val="00FA0B50"/>
    <w:rsid w:val="00FA2AE6"/>
    <w:rsid w:val="00FA3AB6"/>
    <w:rsid w:val="00FA77AA"/>
    <w:rsid w:val="00FA7815"/>
    <w:rsid w:val="00FB003E"/>
    <w:rsid w:val="00FB0300"/>
    <w:rsid w:val="00FB0D00"/>
    <w:rsid w:val="00FB19BA"/>
    <w:rsid w:val="00FB2643"/>
    <w:rsid w:val="00FB4222"/>
    <w:rsid w:val="00FB44A3"/>
    <w:rsid w:val="00FB46EF"/>
    <w:rsid w:val="00FB49FF"/>
    <w:rsid w:val="00FB5910"/>
    <w:rsid w:val="00FB5A08"/>
    <w:rsid w:val="00FB5CB8"/>
    <w:rsid w:val="00FB7543"/>
    <w:rsid w:val="00FB7B21"/>
    <w:rsid w:val="00FC1C28"/>
    <w:rsid w:val="00FC2C8E"/>
    <w:rsid w:val="00FC2E14"/>
    <w:rsid w:val="00FC2FC0"/>
    <w:rsid w:val="00FC3192"/>
    <w:rsid w:val="00FC3884"/>
    <w:rsid w:val="00FC3AA5"/>
    <w:rsid w:val="00FC3C90"/>
    <w:rsid w:val="00FD02FF"/>
    <w:rsid w:val="00FD06B9"/>
    <w:rsid w:val="00FD09E1"/>
    <w:rsid w:val="00FD0F57"/>
    <w:rsid w:val="00FD14E4"/>
    <w:rsid w:val="00FD2171"/>
    <w:rsid w:val="00FD242A"/>
    <w:rsid w:val="00FD2827"/>
    <w:rsid w:val="00FD28CD"/>
    <w:rsid w:val="00FD2F4A"/>
    <w:rsid w:val="00FD3671"/>
    <w:rsid w:val="00FD3B56"/>
    <w:rsid w:val="00FD436B"/>
    <w:rsid w:val="00FD4418"/>
    <w:rsid w:val="00FD4CD2"/>
    <w:rsid w:val="00FD61F0"/>
    <w:rsid w:val="00FD63E1"/>
    <w:rsid w:val="00FD72A9"/>
    <w:rsid w:val="00FD72B5"/>
    <w:rsid w:val="00FE11EB"/>
    <w:rsid w:val="00FE1A0D"/>
    <w:rsid w:val="00FE1A5F"/>
    <w:rsid w:val="00FE1FBD"/>
    <w:rsid w:val="00FE20C8"/>
    <w:rsid w:val="00FE40DF"/>
    <w:rsid w:val="00FE4E90"/>
    <w:rsid w:val="00FE587E"/>
    <w:rsid w:val="00FE6330"/>
    <w:rsid w:val="00FE640C"/>
    <w:rsid w:val="00FE6A70"/>
    <w:rsid w:val="00FE7ACA"/>
    <w:rsid w:val="00FF033B"/>
    <w:rsid w:val="00FF1BB7"/>
    <w:rsid w:val="00FF1C91"/>
    <w:rsid w:val="00FF2BB2"/>
    <w:rsid w:val="00FF4502"/>
    <w:rsid w:val="00FF4EBA"/>
    <w:rsid w:val="00FF5B15"/>
    <w:rsid w:val="00FF5E80"/>
    <w:rsid w:val="00FF6441"/>
    <w:rsid w:val="010C0545"/>
    <w:rsid w:val="010F4D4C"/>
    <w:rsid w:val="011E7841"/>
    <w:rsid w:val="013C6B15"/>
    <w:rsid w:val="016731DD"/>
    <w:rsid w:val="01773477"/>
    <w:rsid w:val="01807C3E"/>
    <w:rsid w:val="01867BC7"/>
    <w:rsid w:val="01C979FE"/>
    <w:rsid w:val="01D45D8F"/>
    <w:rsid w:val="01FF0DD2"/>
    <w:rsid w:val="02017B58"/>
    <w:rsid w:val="0221260B"/>
    <w:rsid w:val="022D3E9F"/>
    <w:rsid w:val="02567262"/>
    <w:rsid w:val="02630DE4"/>
    <w:rsid w:val="028A4231"/>
    <w:rsid w:val="02AF69F7"/>
    <w:rsid w:val="02C14713"/>
    <w:rsid w:val="02C45698"/>
    <w:rsid w:val="02CD5FA7"/>
    <w:rsid w:val="02CE3A29"/>
    <w:rsid w:val="02DD4D55"/>
    <w:rsid w:val="030D0F8F"/>
    <w:rsid w:val="03250BB4"/>
    <w:rsid w:val="03381A2F"/>
    <w:rsid w:val="036761A6"/>
    <w:rsid w:val="036D1CAB"/>
    <w:rsid w:val="0395216D"/>
    <w:rsid w:val="03A50209"/>
    <w:rsid w:val="03B81428"/>
    <w:rsid w:val="03E84175"/>
    <w:rsid w:val="03F24A85"/>
    <w:rsid w:val="04007557"/>
    <w:rsid w:val="040205A2"/>
    <w:rsid w:val="04103160"/>
    <w:rsid w:val="04207B52"/>
    <w:rsid w:val="042807E2"/>
    <w:rsid w:val="04653F60"/>
    <w:rsid w:val="047475DC"/>
    <w:rsid w:val="04AC7736"/>
    <w:rsid w:val="04AE64BD"/>
    <w:rsid w:val="04BE6757"/>
    <w:rsid w:val="04C13E58"/>
    <w:rsid w:val="04C602E0"/>
    <w:rsid w:val="04C70D83"/>
    <w:rsid w:val="051303DF"/>
    <w:rsid w:val="052054F7"/>
    <w:rsid w:val="05320C94"/>
    <w:rsid w:val="05394B20"/>
    <w:rsid w:val="053E2528"/>
    <w:rsid w:val="057D5890"/>
    <w:rsid w:val="058A7125"/>
    <w:rsid w:val="059576B4"/>
    <w:rsid w:val="05BD667A"/>
    <w:rsid w:val="05E1446E"/>
    <w:rsid w:val="05EB00C3"/>
    <w:rsid w:val="05F57389"/>
    <w:rsid w:val="05FF4B65"/>
    <w:rsid w:val="06385FC4"/>
    <w:rsid w:val="063C23C3"/>
    <w:rsid w:val="06432556"/>
    <w:rsid w:val="0648625E"/>
    <w:rsid w:val="065906F6"/>
    <w:rsid w:val="065C3539"/>
    <w:rsid w:val="066B1C96"/>
    <w:rsid w:val="066D5199"/>
    <w:rsid w:val="06AA4FFE"/>
    <w:rsid w:val="06B24608"/>
    <w:rsid w:val="06B32414"/>
    <w:rsid w:val="06B81D95"/>
    <w:rsid w:val="06BF1720"/>
    <w:rsid w:val="06C75A8A"/>
    <w:rsid w:val="06C8202F"/>
    <w:rsid w:val="06F20C75"/>
    <w:rsid w:val="071A2D33"/>
    <w:rsid w:val="071B7485"/>
    <w:rsid w:val="071E4FBC"/>
    <w:rsid w:val="072D3F52"/>
    <w:rsid w:val="074E358D"/>
    <w:rsid w:val="076247AC"/>
    <w:rsid w:val="077E0859"/>
    <w:rsid w:val="078C527D"/>
    <w:rsid w:val="079C588B"/>
    <w:rsid w:val="079F4C26"/>
    <w:rsid w:val="07D102E3"/>
    <w:rsid w:val="07DB0BF3"/>
    <w:rsid w:val="07E87F08"/>
    <w:rsid w:val="07EB560A"/>
    <w:rsid w:val="07F6721E"/>
    <w:rsid w:val="07F95EB8"/>
    <w:rsid w:val="0814730D"/>
    <w:rsid w:val="081B3BDB"/>
    <w:rsid w:val="08352586"/>
    <w:rsid w:val="083D5414"/>
    <w:rsid w:val="08412609"/>
    <w:rsid w:val="084E78AD"/>
    <w:rsid w:val="08575FBE"/>
    <w:rsid w:val="08583A3F"/>
    <w:rsid w:val="08610ACC"/>
    <w:rsid w:val="08AE3149"/>
    <w:rsid w:val="08B814DA"/>
    <w:rsid w:val="08C52D6F"/>
    <w:rsid w:val="08D767A2"/>
    <w:rsid w:val="091C11FF"/>
    <w:rsid w:val="09285011"/>
    <w:rsid w:val="096A216E"/>
    <w:rsid w:val="09893DB1"/>
    <w:rsid w:val="099B5350"/>
    <w:rsid w:val="09AC306C"/>
    <w:rsid w:val="09AE24CC"/>
    <w:rsid w:val="09AF4F58"/>
    <w:rsid w:val="09C8299C"/>
    <w:rsid w:val="09DC163D"/>
    <w:rsid w:val="09E8771F"/>
    <w:rsid w:val="0A0A3406"/>
    <w:rsid w:val="0A141797"/>
    <w:rsid w:val="0A3D0FE6"/>
    <w:rsid w:val="0A4B76F2"/>
    <w:rsid w:val="0A546CFD"/>
    <w:rsid w:val="0A583185"/>
    <w:rsid w:val="0A5D760D"/>
    <w:rsid w:val="0A7814BB"/>
    <w:rsid w:val="0A7E6C48"/>
    <w:rsid w:val="0A8068C8"/>
    <w:rsid w:val="0AB01615"/>
    <w:rsid w:val="0AD0794C"/>
    <w:rsid w:val="0AEF497D"/>
    <w:rsid w:val="0B2D2264"/>
    <w:rsid w:val="0B3C4A7C"/>
    <w:rsid w:val="0B3D1B83"/>
    <w:rsid w:val="0B4F211E"/>
    <w:rsid w:val="0B59716F"/>
    <w:rsid w:val="0B6401BF"/>
    <w:rsid w:val="0B7216D3"/>
    <w:rsid w:val="0B744BD6"/>
    <w:rsid w:val="0B7735DC"/>
    <w:rsid w:val="0B7D3D16"/>
    <w:rsid w:val="0B8373EF"/>
    <w:rsid w:val="0BA143F5"/>
    <w:rsid w:val="0BE4618F"/>
    <w:rsid w:val="0BE72997"/>
    <w:rsid w:val="0BF7192C"/>
    <w:rsid w:val="0BF945B1"/>
    <w:rsid w:val="0C0679C8"/>
    <w:rsid w:val="0C2C7C08"/>
    <w:rsid w:val="0C480432"/>
    <w:rsid w:val="0C4C4CEB"/>
    <w:rsid w:val="0C5919D1"/>
    <w:rsid w:val="0C6736F5"/>
    <w:rsid w:val="0C811890"/>
    <w:rsid w:val="0CA971D2"/>
    <w:rsid w:val="0CB73E3D"/>
    <w:rsid w:val="0CBB61F2"/>
    <w:rsid w:val="0CC06DF7"/>
    <w:rsid w:val="0CD33899"/>
    <w:rsid w:val="0CED3536"/>
    <w:rsid w:val="0CFC11DA"/>
    <w:rsid w:val="0D0B7276"/>
    <w:rsid w:val="0D126C01"/>
    <w:rsid w:val="0D23491D"/>
    <w:rsid w:val="0D2C77AB"/>
    <w:rsid w:val="0D39103F"/>
    <w:rsid w:val="0D475DD6"/>
    <w:rsid w:val="0D5D79E7"/>
    <w:rsid w:val="0D5E59FB"/>
    <w:rsid w:val="0D6F3717"/>
    <w:rsid w:val="0D700B47"/>
    <w:rsid w:val="0D72249E"/>
    <w:rsid w:val="0D876BC0"/>
    <w:rsid w:val="0D8E3FCC"/>
    <w:rsid w:val="0DB3678A"/>
    <w:rsid w:val="0DD04A36"/>
    <w:rsid w:val="0DDB40CB"/>
    <w:rsid w:val="0DDF2AD2"/>
    <w:rsid w:val="0DE66BD9"/>
    <w:rsid w:val="0DE933E1"/>
    <w:rsid w:val="0DF33275"/>
    <w:rsid w:val="0DF513F2"/>
    <w:rsid w:val="0E1B349A"/>
    <w:rsid w:val="0E1D4B35"/>
    <w:rsid w:val="0E2C2BD1"/>
    <w:rsid w:val="0E583695"/>
    <w:rsid w:val="0E7B501C"/>
    <w:rsid w:val="0EB32AAA"/>
    <w:rsid w:val="0EB90236"/>
    <w:rsid w:val="0ECE4958"/>
    <w:rsid w:val="0EEB1D0A"/>
    <w:rsid w:val="0F1A36DB"/>
    <w:rsid w:val="0F200EDF"/>
    <w:rsid w:val="0F216961"/>
    <w:rsid w:val="0F77627B"/>
    <w:rsid w:val="0F8A728A"/>
    <w:rsid w:val="0FB2044E"/>
    <w:rsid w:val="0FD74DED"/>
    <w:rsid w:val="10165F74"/>
    <w:rsid w:val="1026620F"/>
    <w:rsid w:val="10460CC2"/>
    <w:rsid w:val="1059665E"/>
    <w:rsid w:val="10832D25"/>
    <w:rsid w:val="108A26B0"/>
    <w:rsid w:val="109C3C4F"/>
    <w:rsid w:val="10B2256F"/>
    <w:rsid w:val="10B50F76"/>
    <w:rsid w:val="10BD1C05"/>
    <w:rsid w:val="10D208A6"/>
    <w:rsid w:val="10E44043"/>
    <w:rsid w:val="11051FFA"/>
    <w:rsid w:val="11082F7E"/>
    <w:rsid w:val="110F2909"/>
    <w:rsid w:val="11273833"/>
    <w:rsid w:val="112812B5"/>
    <w:rsid w:val="112E0D9D"/>
    <w:rsid w:val="112E31BE"/>
    <w:rsid w:val="11383ACD"/>
    <w:rsid w:val="11483D68"/>
    <w:rsid w:val="114A121A"/>
    <w:rsid w:val="118E0C59"/>
    <w:rsid w:val="11D87DD3"/>
    <w:rsid w:val="11E319E8"/>
    <w:rsid w:val="11F12EFC"/>
    <w:rsid w:val="11F67383"/>
    <w:rsid w:val="11FA1CA2"/>
    <w:rsid w:val="12041F1C"/>
    <w:rsid w:val="127C6BC4"/>
    <w:rsid w:val="128A347A"/>
    <w:rsid w:val="12A67527"/>
    <w:rsid w:val="12AC362F"/>
    <w:rsid w:val="12AD6EB2"/>
    <w:rsid w:val="12B058B8"/>
    <w:rsid w:val="12D61506"/>
    <w:rsid w:val="12E60311"/>
    <w:rsid w:val="12FD7F36"/>
    <w:rsid w:val="130B144A"/>
    <w:rsid w:val="131342D8"/>
    <w:rsid w:val="13673D62"/>
    <w:rsid w:val="13920429"/>
    <w:rsid w:val="139520CF"/>
    <w:rsid w:val="13BC6D3C"/>
    <w:rsid w:val="13CE280D"/>
    <w:rsid w:val="13D07F0E"/>
    <w:rsid w:val="13D6569B"/>
    <w:rsid w:val="13E2698C"/>
    <w:rsid w:val="141D000D"/>
    <w:rsid w:val="142741A0"/>
    <w:rsid w:val="143B75BD"/>
    <w:rsid w:val="1444244B"/>
    <w:rsid w:val="144B7D94"/>
    <w:rsid w:val="14501AE1"/>
    <w:rsid w:val="148B0641"/>
    <w:rsid w:val="14A105E7"/>
    <w:rsid w:val="14AF79C7"/>
    <w:rsid w:val="14B14FFE"/>
    <w:rsid w:val="14B16888"/>
    <w:rsid w:val="14B8020C"/>
    <w:rsid w:val="14D26837"/>
    <w:rsid w:val="14EF0366"/>
    <w:rsid w:val="14F55AF2"/>
    <w:rsid w:val="15000600"/>
    <w:rsid w:val="153D5EE7"/>
    <w:rsid w:val="156A222E"/>
    <w:rsid w:val="15732B3D"/>
    <w:rsid w:val="15807C55"/>
    <w:rsid w:val="15961DF8"/>
    <w:rsid w:val="15AC1D9E"/>
    <w:rsid w:val="15E36674"/>
    <w:rsid w:val="1616144D"/>
    <w:rsid w:val="161C1F83"/>
    <w:rsid w:val="16240763"/>
    <w:rsid w:val="16244EE0"/>
    <w:rsid w:val="162E0188"/>
    <w:rsid w:val="162E71AF"/>
    <w:rsid w:val="163760FE"/>
    <w:rsid w:val="1646728A"/>
    <w:rsid w:val="16516CA8"/>
    <w:rsid w:val="16597938"/>
    <w:rsid w:val="166443E0"/>
    <w:rsid w:val="16777E7A"/>
    <w:rsid w:val="167B06F5"/>
    <w:rsid w:val="168E6B0D"/>
    <w:rsid w:val="16C12A18"/>
    <w:rsid w:val="16E4531E"/>
    <w:rsid w:val="17026ACC"/>
    <w:rsid w:val="17045852"/>
    <w:rsid w:val="170E6162"/>
    <w:rsid w:val="171731EE"/>
    <w:rsid w:val="1741373F"/>
    <w:rsid w:val="175233D3"/>
    <w:rsid w:val="175C3CE3"/>
    <w:rsid w:val="175F13E4"/>
    <w:rsid w:val="177D4217"/>
    <w:rsid w:val="1788002A"/>
    <w:rsid w:val="17B0376D"/>
    <w:rsid w:val="1810400F"/>
    <w:rsid w:val="18376EC9"/>
    <w:rsid w:val="18387273"/>
    <w:rsid w:val="184D106D"/>
    <w:rsid w:val="18687698"/>
    <w:rsid w:val="186A2B9B"/>
    <w:rsid w:val="186B609E"/>
    <w:rsid w:val="18951461"/>
    <w:rsid w:val="18997E67"/>
    <w:rsid w:val="189A336A"/>
    <w:rsid w:val="189A735D"/>
    <w:rsid w:val="18A20777"/>
    <w:rsid w:val="18EC317C"/>
    <w:rsid w:val="19052A19"/>
    <w:rsid w:val="19073D1E"/>
    <w:rsid w:val="190D36A9"/>
    <w:rsid w:val="190D7E26"/>
    <w:rsid w:val="19A85AA6"/>
    <w:rsid w:val="19E52087"/>
    <w:rsid w:val="1A241497"/>
    <w:rsid w:val="1A3B0898"/>
    <w:rsid w:val="1A466C29"/>
    <w:rsid w:val="1A4B52AF"/>
    <w:rsid w:val="1A4D4035"/>
    <w:rsid w:val="1A501737"/>
    <w:rsid w:val="1A81100C"/>
    <w:rsid w:val="1A861C11"/>
    <w:rsid w:val="1A8F2520"/>
    <w:rsid w:val="1A97792D"/>
    <w:rsid w:val="1A9853AE"/>
    <w:rsid w:val="1A9E2B3B"/>
    <w:rsid w:val="1AA85649"/>
    <w:rsid w:val="1AAA41EF"/>
    <w:rsid w:val="1AE554AD"/>
    <w:rsid w:val="1B186F81"/>
    <w:rsid w:val="1B2D74F2"/>
    <w:rsid w:val="1B3E4C43"/>
    <w:rsid w:val="1B543563"/>
    <w:rsid w:val="1BAE40F3"/>
    <w:rsid w:val="1BB116FE"/>
    <w:rsid w:val="1BB44881"/>
    <w:rsid w:val="1C02087F"/>
    <w:rsid w:val="1C36653D"/>
    <w:rsid w:val="1C530F07"/>
    <w:rsid w:val="1C7A3345"/>
    <w:rsid w:val="1C8C2366"/>
    <w:rsid w:val="1CB07F9C"/>
    <w:rsid w:val="1CB37E88"/>
    <w:rsid w:val="1CB966AD"/>
    <w:rsid w:val="1CC659C3"/>
    <w:rsid w:val="1D520E2A"/>
    <w:rsid w:val="1D7F7370"/>
    <w:rsid w:val="1D885A81"/>
    <w:rsid w:val="1D99379D"/>
    <w:rsid w:val="1DAC27BE"/>
    <w:rsid w:val="1DCC746F"/>
    <w:rsid w:val="1DD05D13"/>
    <w:rsid w:val="1DD05E75"/>
    <w:rsid w:val="1DE6389C"/>
    <w:rsid w:val="1E376B1E"/>
    <w:rsid w:val="1E7749D5"/>
    <w:rsid w:val="1E78352E"/>
    <w:rsid w:val="1E79668E"/>
    <w:rsid w:val="1E885624"/>
    <w:rsid w:val="1E92374C"/>
    <w:rsid w:val="1EAF0D67"/>
    <w:rsid w:val="1EB109E6"/>
    <w:rsid w:val="1F127786"/>
    <w:rsid w:val="1F1F101A"/>
    <w:rsid w:val="1F307F51"/>
    <w:rsid w:val="1F4315DA"/>
    <w:rsid w:val="1F50506D"/>
    <w:rsid w:val="1F7334DC"/>
    <w:rsid w:val="1FD50B49"/>
    <w:rsid w:val="1FFA7A84"/>
    <w:rsid w:val="20041819"/>
    <w:rsid w:val="201209AE"/>
    <w:rsid w:val="20215745"/>
    <w:rsid w:val="2031215C"/>
    <w:rsid w:val="20454680"/>
    <w:rsid w:val="204F4F90"/>
    <w:rsid w:val="207F7CDD"/>
    <w:rsid w:val="20C84600"/>
    <w:rsid w:val="20EF7097"/>
    <w:rsid w:val="2124312A"/>
    <w:rsid w:val="21372D0F"/>
    <w:rsid w:val="21396212"/>
    <w:rsid w:val="217B0E7A"/>
    <w:rsid w:val="21900E1F"/>
    <w:rsid w:val="21A65541"/>
    <w:rsid w:val="21A70A44"/>
    <w:rsid w:val="21B84562"/>
    <w:rsid w:val="21C76D7B"/>
    <w:rsid w:val="21E83A2C"/>
    <w:rsid w:val="21F27813"/>
    <w:rsid w:val="21F42C80"/>
    <w:rsid w:val="21F50B43"/>
    <w:rsid w:val="220A5266"/>
    <w:rsid w:val="221029F2"/>
    <w:rsid w:val="221E7789"/>
    <w:rsid w:val="2222301D"/>
    <w:rsid w:val="222E1FA2"/>
    <w:rsid w:val="22762396"/>
    <w:rsid w:val="228429B1"/>
    <w:rsid w:val="22B30A53"/>
    <w:rsid w:val="22B954FC"/>
    <w:rsid w:val="23042EFF"/>
    <w:rsid w:val="2316449E"/>
    <w:rsid w:val="23393759"/>
    <w:rsid w:val="233C215F"/>
    <w:rsid w:val="23462A6F"/>
    <w:rsid w:val="235F5B97"/>
    <w:rsid w:val="23613299"/>
    <w:rsid w:val="236E4B2D"/>
    <w:rsid w:val="238969DB"/>
    <w:rsid w:val="23A14F91"/>
    <w:rsid w:val="23CA7445"/>
    <w:rsid w:val="23CB2CC8"/>
    <w:rsid w:val="23D07150"/>
    <w:rsid w:val="23E70F73"/>
    <w:rsid w:val="23F15106"/>
    <w:rsid w:val="240C3731"/>
    <w:rsid w:val="241B623B"/>
    <w:rsid w:val="241E6ECF"/>
    <w:rsid w:val="242D3C66"/>
    <w:rsid w:val="242E4F6B"/>
    <w:rsid w:val="24533EA6"/>
    <w:rsid w:val="248A1E01"/>
    <w:rsid w:val="2494490F"/>
    <w:rsid w:val="24A600AD"/>
    <w:rsid w:val="24B11CC1"/>
    <w:rsid w:val="24D14774"/>
    <w:rsid w:val="24D17FF7"/>
    <w:rsid w:val="24D6447F"/>
    <w:rsid w:val="24EB0BA1"/>
    <w:rsid w:val="24FB7420"/>
    <w:rsid w:val="25085F78"/>
    <w:rsid w:val="251519E5"/>
    <w:rsid w:val="2534229A"/>
    <w:rsid w:val="254B663C"/>
    <w:rsid w:val="258D2929"/>
    <w:rsid w:val="25C61809"/>
    <w:rsid w:val="25FB762A"/>
    <w:rsid w:val="260D1F7D"/>
    <w:rsid w:val="2618250D"/>
    <w:rsid w:val="262A5CAA"/>
    <w:rsid w:val="26303437"/>
    <w:rsid w:val="2637753E"/>
    <w:rsid w:val="263D1448"/>
    <w:rsid w:val="264777D9"/>
    <w:rsid w:val="26490F70"/>
    <w:rsid w:val="26551DA8"/>
    <w:rsid w:val="267970AE"/>
    <w:rsid w:val="269A4809"/>
    <w:rsid w:val="269E3A6B"/>
    <w:rsid w:val="26C24F24"/>
    <w:rsid w:val="26F54479"/>
    <w:rsid w:val="2700280A"/>
    <w:rsid w:val="27004A09"/>
    <w:rsid w:val="271D560E"/>
    <w:rsid w:val="273242DE"/>
    <w:rsid w:val="279C5F0C"/>
    <w:rsid w:val="27AF712B"/>
    <w:rsid w:val="27B457B1"/>
    <w:rsid w:val="27CB53D6"/>
    <w:rsid w:val="27D22B63"/>
    <w:rsid w:val="27D946EC"/>
    <w:rsid w:val="27DE43F7"/>
    <w:rsid w:val="28046835"/>
    <w:rsid w:val="28730D77"/>
    <w:rsid w:val="287B557A"/>
    <w:rsid w:val="287E64FF"/>
    <w:rsid w:val="288D5494"/>
    <w:rsid w:val="289D3530"/>
    <w:rsid w:val="28A279B8"/>
    <w:rsid w:val="28AF344A"/>
    <w:rsid w:val="28B00ECC"/>
    <w:rsid w:val="28E64C29"/>
    <w:rsid w:val="291C1880"/>
    <w:rsid w:val="29354B7B"/>
    <w:rsid w:val="29487555"/>
    <w:rsid w:val="2955745C"/>
    <w:rsid w:val="296F6939"/>
    <w:rsid w:val="29894432"/>
    <w:rsid w:val="29B30AFA"/>
    <w:rsid w:val="29DA2F38"/>
    <w:rsid w:val="29E0703F"/>
    <w:rsid w:val="29E25DC6"/>
    <w:rsid w:val="29E97924"/>
    <w:rsid w:val="29FF56F6"/>
    <w:rsid w:val="2A175AF9"/>
    <w:rsid w:val="2A282CB7"/>
    <w:rsid w:val="2A3C7759"/>
    <w:rsid w:val="2A4370E4"/>
    <w:rsid w:val="2A560303"/>
    <w:rsid w:val="2A591288"/>
    <w:rsid w:val="2A642E9C"/>
    <w:rsid w:val="2A727C33"/>
    <w:rsid w:val="2A8C4F5A"/>
    <w:rsid w:val="2A930168"/>
    <w:rsid w:val="2AA45E84"/>
    <w:rsid w:val="2AA65B04"/>
    <w:rsid w:val="2AAC3290"/>
    <w:rsid w:val="2AC8733D"/>
    <w:rsid w:val="2B09362A"/>
    <w:rsid w:val="2B130A69"/>
    <w:rsid w:val="2B341EF0"/>
    <w:rsid w:val="2BB43AC3"/>
    <w:rsid w:val="2BD674FA"/>
    <w:rsid w:val="2BE87BF6"/>
    <w:rsid w:val="2C08354D"/>
    <w:rsid w:val="2C2475FA"/>
    <w:rsid w:val="2C2F340C"/>
    <w:rsid w:val="2C4320AD"/>
    <w:rsid w:val="2C554C64"/>
    <w:rsid w:val="2C866019"/>
    <w:rsid w:val="2CA433CB"/>
    <w:rsid w:val="2CE649EF"/>
    <w:rsid w:val="2CE8063C"/>
    <w:rsid w:val="2D067BEC"/>
    <w:rsid w:val="2D105F75"/>
    <w:rsid w:val="2D2E0DB1"/>
    <w:rsid w:val="2D3669E8"/>
    <w:rsid w:val="2D3938BF"/>
    <w:rsid w:val="2D3B2645"/>
    <w:rsid w:val="2D3D212F"/>
    <w:rsid w:val="2D470656"/>
    <w:rsid w:val="2D7A4328"/>
    <w:rsid w:val="2D9561D7"/>
    <w:rsid w:val="2DC412A4"/>
    <w:rsid w:val="2DD072B5"/>
    <w:rsid w:val="2DD6731E"/>
    <w:rsid w:val="2DE10854"/>
    <w:rsid w:val="2E0C75CB"/>
    <w:rsid w:val="2E53788E"/>
    <w:rsid w:val="2E661529"/>
    <w:rsid w:val="2E713DF4"/>
    <w:rsid w:val="2E7763D7"/>
    <w:rsid w:val="2EA96F98"/>
    <w:rsid w:val="2EAD1222"/>
    <w:rsid w:val="2ECF4C5A"/>
    <w:rsid w:val="2EEE547C"/>
    <w:rsid w:val="2EF84F00"/>
    <w:rsid w:val="2F067332"/>
    <w:rsid w:val="2F093B3A"/>
    <w:rsid w:val="2F3E5661"/>
    <w:rsid w:val="2F4D332A"/>
    <w:rsid w:val="2F6376CB"/>
    <w:rsid w:val="2F666452"/>
    <w:rsid w:val="2F6B14B4"/>
    <w:rsid w:val="2F6D385E"/>
    <w:rsid w:val="2F82274A"/>
    <w:rsid w:val="2FAE20C9"/>
    <w:rsid w:val="2FC367EB"/>
    <w:rsid w:val="2FC4593A"/>
    <w:rsid w:val="2FD46A86"/>
    <w:rsid w:val="30195EF5"/>
    <w:rsid w:val="301E4FFC"/>
    <w:rsid w:val="30370D29"/>
    <w:rsid w:val="303F6897"/>
    <w:rsid w:val="30401638"/>
    <w:rsid w:val="304212B8"/>
    <w:rsid w:val="30635070"/>
    <w:rsid w:val="30850AA8"/>
    <w:rsid w:val="30C93B1B"/>
    <w:rsid w:val="30CC121C"/>
    <w:rsid w:val="30CD4A9D"/>
    <w:rsid w:val="30E730CB"/>
    <w:rsid w:val="30F2365A"/>
    <w:rsid w:val="30FE2CF0"/>
    <w:rsid w:val="31102C0A"/>
    <w:rsid w:val="31364987"/>
    <w:rsid w:val="313C05D6"/>
    <w:rsid w:val="313D6058"/>
    <w:rsid w:val="31772CB5"/>
    <w:rsid w:val="317A00BB"/>
    <w:rsid w:val="31A77C86"/>
    <w:rsid w:val="31BD1E29"/>
    <w:rsid w:val="31CD20C4"/>
    <w:rsid w:val="31DA5F6E"/>
    <w:rsid w:val="321E2611"/>
    <w:rsid w:val="3224240A"/>
    <w:rsid w:val="323068E5"/>
    <w:rsid w:val="323A13F3"/>
    <w:rsid w:val="323A4C76"/>
    <w:rsid w:val="327018CD"/>
    <w:rsid w:val="32890278"/>
    <w:rsid w:val="329F4EC8"/>
    <w:rsid w:val="32AB622F"/>
    <w:rsid w:val="32AF4C35"/>
    <w:rsid w:val="32CE54EA"/>
    <w:rsid w:val="32DF3206"/>
    <w:rsid w:val="32E31C0C"/>
    <w:rsid w:val="330246BF"/>
    <w:rsid w:val="3317335F"/>
    <w:rsid w:val="331C5269"/>
    <w:rsid w:val="334C5DB8"/>
    <w:rsid w:val="335047BE"/>
    <w:rsid w:val="33527CC1"/>
    <w:rsid w:val="335C6052"/>
    <w:rsid w:val="336530DF"/>
    <w:rsid w:val="338D3D76"/>
    <w:rsid w:val="33995EB7"/>
    <w:rsid w:val="339A00B5"/>
    <w:rsid w:val="33BB3E6D"/>
    <w:rsid w:val="33BE2874"/>
    <w:rsid w:val="33C4477D"/>
    <w:rsid w:val="341C738A"/>
    <w:rsid w:val="34224B16"/>
    <w:rsid w:val="343C4A44"/>
    <w:rsid w:val="34712317"/>
    <w:rsid w:val="34902BCC"/>
    <w:rsid w:val="34A17A33"/>
    <w:rsid w:val="34C42121"/>
    <w:rsid w:val="35064D89"/>
    <w:rsid w:val="351608A7"/>
    <w:rsid w:val="352A5349"/>
    <w:rsid w:val="352F39CF"/>
    <w:rsid w:val="35324954"/>
    <w:rsid w:val="354400F1"/>
    <w:rsid w:val="354B32FF"/>
    <w:rsid w:val="35577112"/>
    <w:rsid w:val="359101F0"/>
    <w:rsid w:val="359955FD"/>
    <w:rsid w:val="35AF77A0"/>
    <w:rsid w:val="35CB384D"/>
    <w:rsid w:val="35CB70D1"/>
    <w:rsid w:val="35DD4DEC"/>
    <w:rsid w:val="35DE0B8A"/>
    <w:rsid w:val="35E356B9"/>
    <w:rsid w:val="35EE2B08"/>
    <w:rsid w:val="3616624B"/>
    <w:rsid w:val="36227ADF"/>
    <w:rsid w:val="363122F8"/>
    <w:rsid w:val="3640380C"/>
    <w:rsid w:val="36422592"/>
    <w:rsid w:val="364451CC"/>
    <w:rsid w:val="3656097F"/>
    <w:rsid w:val="36781311"/>
    <w:rsid w:val="36900113"/>
    <w:rsid w:val="36940D18"/>
    <w:rsid w:val="369D3BA6"/>
    <w:rsid w:val="369E4EAA"/>
    <w:rsid w:val="36EE26AB"/>
    <w:rsid w:val="37063682"/>
    <w:rsid w:val="370757D3"/>
    <w:rsid w:val="370D2F60"/>
    <w:rsid w:val="374B0846"/>
    <w:rsid w:val="374C2A45"/>
    <w:rsid w:val="37504CCE"/>
    <w:rsid w:val="375D0761"/>
    <w:rsid w:val="37661070"/>
    <w:rsid w:val="37682375"/>
    <w:rsid w:val="379963C7"/>
    <w:rsid w:val="37C4140A"/>
    <w:rsid w:val="37D529A9"/>
    <w:rsid w:val="37F863E1"/>
    <w:rsid w:val="38060F79"/>
    <w:rsid w:val="38196915"/>
    <w:rsid w:val="38292433"/>
    <w:rsid w:val="382C24AB"/>
    <w:rsid w:val="38666EAF"/>
    <w:rsid w:val="386B2E9C"/>
    <w:rsid w:val="386F5126"/>
    <w:rsid w:val="387A56B5"/>
    <w:rsid w:val="389F2071"/>
    <w:rsid w:val="38A74DA6"/>
    <w:rsid w:val="38BE0728"/>
    <w:rsid w:val="38E8156C"/>
    <w:rsid w:val="39022116"/>
    <w:rsid w:val="39060B1C"/>
    <w:rsid w:val="39255B4E"/>
    <w:rsid w:val="392B32DA"/>
    <w:rsid w:val="392D09DC"/>
    <w:rsid w:val="394D6F17"/>
    <w:rsid w:val="395B0226"/>
    <w:rsid w:val="395B1104"/>
    <w:rsid w:val="39931A05"/>
    <w:rsid w:val="3996481C"/>
    <w:rsid w:val="399F7A16"/>
    <w:rsid w:val="39A03EED"/>
    <w:rsid w:val="39A14A8C"/>
    <w:rsid w:val="39A5191F"/>
    <w:rsid w:val="39A8206F"/>
    <w:rsid w:val="39B93E43"/>
    <w:rsid w:val="39BB7346"/>
    <w:rsid w:val="39D236E8"/>
    <w:rsid w:val="39EE5833"/>
    <w:rsid w:val="3A032FBE"/>
    <w:rsid w:val="3A1976E0"/>
    <w:rsid w:val="3A29797A"/>
    <w:rsid w:val="3A5B144E"/>
    <w:rsid w:val="3A5E2BDD"/>
    <w:rsid w:val="3A63685A"/>
    <w:rsid w:val="3A810009"/>
    <w:rsid w:val="3A956CA9"/>
    <w:rsid w:val="3A96252C"/>
    <w:rsid w:val="3AC50B05"/>
    <w:rsid w:val="3AC53D52"/>
    <w:rsid w:val="3AF24E44"/>
    <w:rsid w:val="3B3D1A41"/>
    <w:rsid w:val="3B576D67"/>
    <w:rsid w:val="3B661580"/>
    <w:rsid w:val="3B6F7C91"/>
    <w:rsid w:val="3B7D6FA7"/>
    <w:rsid w:val="3BCC25A9"/>
    <w:rsid w:val="3BD864DE"/>
    <w:rsid w:val="3BF94372"/>
    <w:rsid w:val="3C0F37BF"/>
    <w:rsid w:val="3C696521"/>
    <w:rsid w:val="3C801D8D"/>
    <w:rsid w:val="3C9541F0"/>
    <w:rsid w:val="3CBC5735"/>
    <w:rsid w:val="3CD043D5"/>
    <w:rsid w:val="3CD42DDC"/>
    <w:rsid w:val="3CE861F9"/>
    <w:rsid w:val="3CF60D92"/>
    <w:rsid w:val="3CF76813"/>
    <w:rsid w:val="3D026DA3"/>
    <w:rsid w:val="3D057D27"/>
    <w:rsid w:val="3D153845"/>
    <w:rsid w:val="3D205459"/>
    <w:rsid w:val="3D2363DE"/>
    <w:rsid w:val="3D712B8E"/>
    <w:rsid w:val="3D880301"/>
    <w:rsid w:val="3DAF2752"/>
    <w:rsid w:val="3DB868D1"/>
    <w:rsid w:val="3DC448E2"/>
    <w:rsid w:val="3DC810EA"/>
    <w:rsid w:val="3DFD3B43"/>
    <w:rsid w:val="3E0A3328"/>
    <w:rsid w:val="3E204FFC"/>
    <w:rsid w:val="3E2B558B"/>
    <w:rsid w:val="3E36391C"/>
    <w:rsid w:val="3E482FBD"/>
    <w:rsid w:val="3E722FAF"/>
    <w:rsid w:val="3E7B4411"/>
    <w:rsid w:val="3E8D432B"/>
    <w:rsid w:val="3EC6100D"/>
    <w:rsid w:val="3EF8725E"/>
    <w:rsid w:val="3F056573"/>
    <w:rsid w:val="3F135889"/>
    <w:rsid w:val="3F183BCE"/>
    <w:rsid w:val="3F3348D1"/>
    <w:rsid w:val="3F3725C6"/>
    <w:rsid w:val="3F4263D8"/>
    <w:rsid w:val="3F692A15"/>
    <w:rsid w:val="3F916157"/>
    <w:rsid w:val="3FAC0006"/>
    <w:rsid w:val="3FB60916"/>
    <w:rsid w:val="3FB83E19"/>
    <w:rsid w:val="3FF3077A"/>
    <w:rsid w:val="400D69A7"/>
    <w:rsid w:val="4015092F"/>
    <w:rsid w:val="40272A5D"/>
    <w:rsid w:val="405B4984"/>
    <w:rsid w:val="407B3F0A"/>
    <w:rsid w:val="409C408B"/>
    <w:rsid w:val="409D5390"/>
    <w:rsid w:val="40A21818"/>
    <w:rsid w:val="40D24565"/>
    <w:rsid w:val="40D554EA"/>
    <w:rsid w:val="40F76D23"/>
    <w:rsid w:val="410A7F42"/>
    <w:rsid w:val="4125656E"/>
    <w:rsid w:val="412871E3"/>
    <w:rsid w:val="412F48FF"/>
    <w:rsid w:val="415A31C5"/>
    <w:rsid w:val="41883618"/>
    <w:rsid w:val="41B21655"/>
    <w:rsid w:val="41B80A98"/>
    <w:rsid w:val="41CC723D"/>
    <w:rsid w:val="41EB6337"/>
    <w:rsid w:val="420F3F6D"/>
    <w:rsid w:val="42430F44"/>
    <w:rsid w:val="42646E38"/>
    <w:rsid w:val="42646EFA"/>
    <w:rsid w:val="42675C80"/>
    <w:rsid w:val="427C23A2"/>
    <w:rsid w:val="429B73D4"/>
    <w:rsid w:val="42C76F9F"/>
    <w:rsid w:val="43120317"/>
    <w:rsid w:val="432050AF"/>
    <w:rsid w:val="434268E8"/>
    <w:rsid w:val="4380094B"/>
    <w:rsid w:val="438D6D3C"/>
    <w:rsid w:val="43930E65"/>
    <w:rsid w:val="439C027C"/>
    <w:rsid w:val="43B1499E"/>
    <w:rsid w:val="43BC4F2D"/>
    <w:rsid w:val="43C732BE"/>
    <w:rsid w:val="43D6135A"/>
    <w:rsid w:val="43FA2168"/>
    <w:rsid w:val="43FE121A"/>
    <w:rsid w:val="44202A53"/>
    <w:rsid w:val="44253E08"/>
    <w:rsid w:val="442A5561"/>
    <w:rsid w:val="44693BF5"/>
    <w:rsid w:val="446A634B"/>
    <w:rsid w:val="447830E2"/>
    <w:rsid w:val="447B78EA"/>
    <w:rsid w:val="4490400C"/>
    <w:rsid w:val="44C04B5B"/>
    <w:rsid w:val="44D35D7A"/>
    <w:rsid w:val="44E36014"/>
    <w:rsid w:val="44E55C94"/>
    <w:rsid w:val="44FC58B9"/>
    <w:rsid w:val="4511585F"/>
    <w:rsid w:val="451232E0"/>
    <w:rsid w:val="453D79A8"/>
    <w:rsid w:val="4540092C"/>
    <w:rsid w:val="454724B5"/>
    <w:rsid w:val="459425B5"/>
    <w:rsid w:val="45950735"/>
    <w:rsid w:val="45955301"/>
    <w:rsid w:val="45965AB8"/>
    <w:rsid w:val="45C046FE"/>
    <w:rsid w:val="45DB2D29"/>
    <w:rsid w:val="45ED1E3C"/>
    <w:rsid w:val="45F800DB"/>
    <w:rsid w:val="462908AA"/>
    <w:rsid w:val="462A632B"/>
    <w:rsid w:val="46534F71"/>
    <w:rsid w:val="46543179"/>
    <w:rsid w:val="465A557C"/>
    <w:rsid w:val="465B6AFA"/>
    <w:rsid w:val="467B15AE"/>
    <w:rsid w:val="467C4AB1"/>
    <w:rsid w:val="4681622F"/>
    <w:rsid w:val="468F3AD1"/>
    <w:rsid w:val="46942157"/>
    <w:rsid w:val="471F593F"/>
    <w:rsid w:val="47365564"/>
    <w:rsid w:val="473D08D3"/>
    <w:rsid w:val="47427C55"/>
    <w:rsid w:val="478132D1"/>
    <w:rsid w:val="479A1A05"/>
    <w:rsid w:val="479C1394"/>
    <w:rsid w:val="47BE41C3"/>
    <w:rsid w:val="47C15148"/>
    <w:rsid w:val="47C84AD3"/>
    <w:rsid w:val="47CB21D4"/>
    <w:rsid w:val="483B3270"/>
    <w:rsid w:val="48644951"/>
    <w:rsid w:val="486B7B5F"/>
    <w:rsid w:val="48711A69"/>
    <w:rsid w:val="48816B5F"/>
    <w:rsid w:val="48885E0A"/>
    <w:rsid w:val="488C0094"/>
    <w:rsid w:val="48AF0F60"/>
    <w:rsid w:val="48C61172"/>
    <w:rsid w:val="48CC54CE"/>
    <w:rsid w:val="48DD6B99"/>
    <w:rsid w:val="48F92C46"/>
    <w:rsid w:val="48FA7BF0"/>
    <w:rsid w:val="493D7EB8"/>
    <w:rsid w:val="4945737C"/>
    <w:rsid w:val="49486249"/>
    <w:rsid w:val="49593451"/>
    <w:rsid w:val="49593F65"/>
    <w:rsid w:val="495A19E6"/>
    <w:rsid w:val="498176A7"/>
    <w:rsid w:val="4984282A"/>
    <w:rsid w:val="49917942"/>
    <w:rsid w:val="49A21DDA"/>
    <w:rsid w:val="49AB4C68"/>
    <w:rsid w:val="49B731BC"/>
    <w:rsid w:val="4A0654DC"/>
    <w:rsid w:val="4A3316C9"/>
    <w:rsid w:val="4A3600D0"/>
    <w:rsid w:val="4A573E87"/>
    <w:rsid w:val="4A64571C"/>
    <w:rsid w:val="4A9A2372"/>
    <w:rsid w:val="4AC77EA3"/>
    <w:rsid w:val="4ACF4DCB"/>
    <w:rsid w:val="4AF22A01"/>
    <w:rsid w:val="4B080428"/>
    <w:rsid w:val="4B573A2A"/>
    <w:rsid w:val="4B585C28"/>
    <w:rsid w:val="4B816DED"/>
    <w:rsid w:val="4B974814"/>
    <w:rsid w:val="4BBC594D"/>
    <w:rsid w:val="4BCE6EEC"/>
    <w:rsid w:val="4C241E79"/>
    <w:rsid w:val="4C73767A"/>
    <w:rsid w:val="4C981A36"/>
    <w:rsid w:val="4CA85360"/>
    <w:rsid w:val="4CB848EB"/>
    <w:rsid w:val="4CCF2ECF"/>
    <w:rsid w:val="4CD5641A"/>
    <w:rsid w:val="4CDF47AB"/>
    <w:rsid w:val="4CE92452"/>
    <w:rsid w:val="4D0272C9"/>
    <w:rsid w:val="4D145005"/>
    <w:rsid w:val="4D152A86"/>
    <w:rsid w:val="4D187C88"/>
    <w:rsid w:val="4D1E7B13"/>
    <w:rsid w:val="4D547FED"/>
    <w:rsid w:val="4D7B064A"/>
    <w:rsid w:val="4D8F2F33"/>
    <w:rsid w:val="4DC537A4"/>
    <w:rsid w:val="4DD74D43"/>
    <w:rsid w:val="4DFC7501"/>
    <w:rsid w:val="4E175B2C"/>
    <w:rsid w:val="4E2168D7"/>
    <w:rsid w:val="4E48435C"/>
    <w:rsid w:val="4E497600"/>
    <w:rsid w:val="4E4D6006"/>
    <w:rsid w:val="4E937674"/>
    <w:rsid w:val="4E963E7C"/>
    <w:rsid w:val="4E994E01"/>
    <w:rsid w:val="4E9A2882"/>
    <w:rsid w:val="4E9D1289"/>
    <w:rsid w:val="4EB50EAE"/>
    <w:rsid w:val="4EBE5040"/>
    <w:rsid w:val="4EC815B9"/>
    <w:rsid w:val="4EDB6B6F"/>
    <w:rsid w:val="4EEE36A2"/>
    <w:rsid w:val="4EF8069D"/>
    <w:rsid w:val="4EFE4FDC"/>
    <w:rsid w:val="4F0963B9"/>
    <w:rsid w:val="4F1E5158"/>
    <w:rsid w:val="4F341B8F"/>
    <w:rsid w:val="4F3E3390"/>
    <w:rsid w:val="4F547732"/>
    <w:rsid w:val="4FA871BC"/>
    <w:rsid w:val="4FB87457"/>
    <w:rsid w:val="4FBE7162"/>
    <w:rsid w:val="4FCB3D0E"/>
    <w:rsid w:val="4FD96448"/>
    <w:rsid w:val="500C6EE1"/>
    <w:rsid w:val="50120DEA"/>
    <w:rsid w:val="504B2249"/>
    <w:rsid w:val="50501F54"/>
    <w:rsid w:val="505D59E6"/>
    <w:rsid w:val="505E3468"/>
    <w:rsid w:val="50635739"/>
    <w:rsid w:val="50766910"/>
    <w:rsid w:val="508C2CB2"/>
    <w:rsid w:val="50D643AB"/>
    <w:rsid w:val="50DC4E4F"/>
    <w:rsid w:val="50F20458"/>
    <w:rsid w:val="51145515"/>
    <w:rsid w:val="513769CE"/>
    <w:rsid w:val="51613667"/>
    <w:rsid w:val="516C5BA3"/>
    <w:rsid w:val="517777B8"/>
    <w:rsid w:val="51846ACD"/>
    <w:rsid w:val="518A5153"/>
    <w:rsid w:val="518F4E5F"/>
    <w:rsid w:val="51B07591"/>
    <w:rsid w:val="51C12CBB"/>
    <w:rsid w:val="51C73949"/>
    <w:rsid w:val="51CF7F2C"/>
    <w:rsid w:val="51EB64FE"/>
    <w:rsid w:val="51F86719"/>
    <w:rsid w:val="520D572D"/>
    <w:rsid w:val="5223404D"/>
    <w:rsid w:val="522378D0"/>
    <w:rsid w:val="52301165"/>
    <w:rsid w:val="524D2C93"/>
    <w:rsid w:val="526B7CC5"/>
    <w:rsid w:val="52840BEF"/>
    <w:rsid w:val="52905E25"/>
    <w:rsid w:val="52C85E60"/>
    <w:rsid w:val="52CF79E9"/>
    <w:rsid w:val="52D67374"/>
    <w:rsid w:val="52DE4780"/>
    <w:rsid w:val="52EA3E16"/>
    <w:rsid w:val="52F7312C"/>
    <w:rsid w:val="52F9662F"/>
    <w:rsid w:val="53026EE2"/>
    <w:rsid w:val="53217114"/>
    <w:rsid w:val="53381997"/>
    <w:rsid w:val="534A18B1"/>
    <w:rsid w:val="53514ABF"/>
    <w:rsid w:val="53547C42"/>
    <w:rsid w:val="53586648"/>
    <w:rsid w:val="535F1857"/>
    <w:rsid w:val="535F7673"/>
    <w:rsid w:val="537517FC"/>
    <w:rsid w:val="538B10E0"/>
    <w:rsid w:val="53951D31"/>
    <w:rsid w:val="53980081"/>
    <w:rsid w:val="53A9514E"/>
    <w:rsid w:val="53D60279"/>
    <w:rsid w:val="53DC24A5"/>
    <w:rsid w:val="53DF342A"/>
    <w:rsid w:val="53F555CD"/>
    <w:rsid w:val="540248E3"/>
    <w:rsid w:val="54081CFC"/>
    <w:rsid w:val="540D4E72"/>
    <w:rsid w:val="541F2B8E"/>
    <w:rsid w:val="54203E93"/>
    <w:rsid w:val="543350B2"/>
    <w:rsid w:val="545C6276"/>
    <w:rsid w:val="545D0C30"/>
    <w:rsid w:val="54660FA9"/>
    <w:rsid w:val="5469519C"/>
    <w:rsid w:val="546A778A"/>
    <w:rsid w:val="54855DB6"/>
    <w:rsid w:val="549E565A"/>
    <w:rsid w:val="54BC3D11"/>
    <w:rsid w:val="54D1483E"/>
    <w:rsid w:val="54D21738"/>
    <w:rsid w:val="54E64B55"/>
    <w:rsid w:val="54FB55FA"/>
    <w:rsid w:val="554A267C"/>
    <w:rsid w:val="55766E5E"/>
    <w:rsid w:val="55835CD9"/>
    <w:rsid w:val="559E4304"/>
    <w:rsid w:val="559F5609"/>
    <w:rsid w:val="55B20DA6"/>
    <w:rsid w:val="55B23DF8"/>
    <w:rsid w:val="55B451AC"/>
    <w:rsid w:val="55EA4783"/>
    <w:rsid w:val="55FD59A2"/>
    <w:rsid w:val="56052F55"/>
    <w:rsid w:val="56226ADC"/>
    <w:rsid w:val="562C598F"/>
    <w:rsid w:val="564D0C25"/>
    <w:rsid w:val="564E44A8"/>
    <w:rsid w:val="565463B1"/>
    <w:rsid w:val="56620F7C"/>
    <w:rsid w:val="56812378"/>
    <w:rsid w:val="56885586"/>
    <w:rsid w:val="56AB0FBE"/>
    <w:rsid w:val="56C4796A"/>
    <w:rsid w:val="56C77C86"/>
    <w:rsid w:val="56CE0279"/>
    <w:rsid w:val="56CF59E9"/>
    <w:rsid w:val="56E968A5"/>
    <w:rsid w:val="570219CD"/>
    <w:rsid w:val="571510BA"/>
    <w:rsid w:val="571D114B"/>
    <w:rsid w:val="57212282"/>
    <w:rsid w:val="5727418B"/>
    <w:rsid w:val="572904F0"/>
    <w:rsid w:val="573669A4"/>
    <w:rsid w:val="573E3DB0"/>
    <w:rsid w:val="573F7E85"/>
    <w:rsid w:val="57416F33"/>
    <w:rsid w:val="575B6424"/>
    <w:rsid w:val="57784E8F"/>
    <w:rsid w:val="57867A28"/>
    <w:rsid w:val="578F28B6"/>
    <w:rsid w:val="57935BBE"/>
    <w:rsid w:val="57990C47"/>
    <w:rsid w:val="579D0773"/>
    <w:rsid w:val="57B0086C"/>
    <w:rsid w:val="57B47272"/>
    <w:rsid w:val="57BB0DFB"/>
    <w:rsid w:val="57BC467E"/>
    <w:rsid w:val="57FF53A4"/>
    <w:rsid w:val="580402F6"/>
    <w:rsid w:val="58221AA4"/>
    <w:rsid w:val="58450D5F"/>
    <w:rsid w:val="58CB34C4"/>
    <w:rsid w:val="58CC44BC"/>
    <w:rsid w:val="58D141C7"/>
    <w:rsid w:val="58EA22FF"/>
    <w:rsid w:val="58EE5CF5"/>
    <w:rsid w:val="58F70B83"/>
    <w:rsid w:val="592461CF"/>
    <w:rsid w:val="593309E8"/>
    <w:rsid w:val="59450902"/>
    <w:rsid w:val="594B280B"/>
    <w:rsid w:val="59506C93"/>
    <w:rsid w:val="597162CE"/>
    <w:rsid w:val="59974E89"/>
    <w:rsid w:val="59B61EBB"/>
    <w:rsid w:val="59BA08C1"/>
    <w:rsid w:val="59BD604A"/>
    <w:rsid w:val="59DC20FA"/>
    <w:rsid w:val="59E11E05"/>
    <w:rsid w:val="59E52A0A"/>
    <w:rsid w:val="59EC2395"/>
    <w:rsid w:val="5A451B2A"/>
    <w:rsid w:val="5A650D5A"/>
    <w:rsid w:val="5A835D8B"/>
    <w:rsid w:val="5AAF5488"/>
    <w:rsid w:val="5ACD2D08"/>
    <w:rsid w:val="5AD71099"/>
    <w:rsid w:val="5ADE0A23"/>
    <w:rsid w:val="5AE4292D"/>
    <w:rsid w:val="5B160B7D"/>
    <w:rsid w:val="5B366EB4"/>
    <w:rsid w:val="5B3C0DBD"/>
    <w:rsid w:val="5B455E49"/>
    <w:rsid w:val="5B4C57D4"/>
    <w:rsid w:val="5B540662"/>
    <w:rsid w:val="5B5D6D73"/>
    <w:rsid w:val="5B63418D"/>
    <w:rsid w:val="5B661C01"/>
    <w:rsid w:val="5B7F4D2A"/>
    <w:rsid w:val="5BAC2376"/>
    <w:rsid w:val="5BD23CD1"/>
    <w:rsid w:val="5BE63FA9"/>
    <w:rsid w:val="5BF32AEA"/>
    <w:rsid w:val="5BFB20F5"/>
    <w:rsid w:val="5C0B238F"/>
    <w:rsid w:val="5C1F35AE"/>
    <w:rsid w:val="5C2048B3"/>
    <w:rsid w:val="5C2A2C44"/>
    <w:rsid w:val="5C451D35"/>
    <w:rsid w:val="5C4E7981"/>
    <w:rsid w:val="5C595D12"/>
    <w:rsid w:val="5C6E6BB0"/>
    <w:rsid w:val="5C9B41FC"/>
    <w:rsid w:val="5CD16A1C"/>
    <w:rsid w:val="5CD57859"/>
    <w:rsid w:val="5CE57E3C"/>
    <w:rsid w:val="5D1C12D3"/>
    <w:rsid w:val="5D230C5E"/>
    <w:rsid w:val="5D2B606A"/>
    <w:rsid w:val="5D3C0503"/>
    <w:rsid w:val="5D5E5BB5"/>
    <w:rsid w:val="5D6800CD"/>
    <w:rsid w:val="5D6F589D"/>
    <w:rsid w:val="5DAA0B36"/>
    <w:rsid w:val="5DAD1ABB"/>
    <w:rsid w:val="5DAF0841"/>
    <w:rsid w:val="5DAF0CDC"/>
    <w:rsid w:val="5DB13D45"/>
    <w:rsid w:val="5DBD55D9"/>
    <w:rsid w:val="5DD13BCE"/>
    <w:rsid w:val="5DE055FE"/>
    <w:rsid w:val="5DF50FB6"/>
    <w:rsid w:val="5E4428C3"/>
    <w:rsid w:val="5E47553D"/>
    <w:rsid w:val="5E5238CE"/>
    <w:rsid w:val="5EB757F1"/>
    <w:rsid w:val="5EC17405"/>
    <w:rsid w:val="5EC7130E"/>
    <w:rsid w:val="5EDD2292"/>
    <w:rsid w:val="5EE608C3"/>
    <w:rsid w:val="5F114C06"/>
    <w:rsid w:val="5F5346D4"/>
    <w:rsid w:val="5F720B41"/>
    <w:rsid w:val="5F744CAA"/>
    <w:rsid w:val="5F7D1D36"/>
    <w:rsid w:val="5F8374C3"/>
    <w:rsid w:val="5F857143"/>
    <w:rsid w:val="5F920316"/>
    <w:rsid w:val="5F980362"/>
    <w:rsid w:val="5F9B12E6"/>
    <w:rsid w:val="5FAA3AFF"/>
    <w:rsid w:val="5FB32210"/>
    <w:rsid w:val="5FD8114B"/>
    <w:rsid w:val="5FEF0D71"/>
    <w:rsid w:val="5FF31415"/>
    <w:rsid w:val="5FFA0406"/>
    <w:rsid w:val="5FFC0086"/>
    <w:rsid w:val="600D5DA2"/>
    <w:rsid w:val="60335FE2"/>
    <w:rsid w:val="604265FC"/>
    <w:rsid w:val="605A0420"/>
    <w:rsid w:val="60CF16E3"/>
    <w:rsid w:val="60D26DE5"/>
    <w:rsid w:val="60D535ED"/>
    <w:rsid w:val="60DC76F4"/>
    <w:rsid w:val="60E42582"/>
    <w:rsid w:val="60E80F88"/>
    <w:rsid w:val="60EE6715"/>
    <w:rsid w:val="614C0CAD"/>
    <w:rsid w:val="61580343"/>
    <w:rsid w:val="616044A2"/>
    <w:rsid w:val="616F37EB"/>
    <w:rsid w:val="619F2CB5"/>
    <w:rsid w:val="61A73945"/>
    <w:rsid w:val="61B84AED"/>
    <w:rsid w:val="61ED6638"/>
    <w:rsid w:val="61F636C4"/>
    <w:rsid w:val="61FE4354"/>
    <w:rsid w:val="621C5B02"/>
    <w:rsid w:val="62254213"/>
    <w:rsid w:val="623757B2"/>
    <w:rsid w:val="627E293F"/>
    <w:rsid w:val="62893F38"/>
    <w:rsid w:val="62AF4177"/>
    <w:rsid w:val="62C37595"/>
    <w:rsid w:val="62C45016"/>
    <w:rsid w:val="62D91738"/>
    <w:rsid w:val="63097D09"/>
    <w:rsid w:val="631C6D2A"/>
    <w:rsid w:val="631E222D"/>
    <w:rsid w:val="634755F0"/>
    <w:rsid w:val="63860958"/>
    <w:rsid w:val="63A13700"/>
    <w:rsid w:val="63D619DB"/>
    <w:rsid w:val="64002820"/>
    <w:rsid w:val="6402249F"/>
    <w:rsid w:val="645C76B6"/>
    <w:rsid w:val="64A04927"/>
    <w:rsid w:val="64AD61BC"/>
    <w:rsid w:val="64AE65AD"/>
    <w:rsid w:val="64BE5FF1"/>
    <w:rsid w:val="64CD6821"/>
    <w:rsid w:val="64D7381D"/>
    <w:rsid w:val="64DD3107"/>
    <w:rsid w:val="65090AD4"/>
    <w:rsid w:val="65280462"/>
    <w:rsid w:val="652F6454"/>
    <w:rsid w:val="65320613"/>
    <w:rsid w:val="654266AF"/>
    <w:rsid w:val="65434131"/>
    <w:rsid w:val="65490238"/>
    <w:rsid w:val="654F59C5"/>
    <w:rsid w:val="655962D4"/>
    <w:rsid w:val="65775884"/>
    <w:rsid w:val="657E0A92"/>
    <w:rsid w:val="658F67AE"/>
    <w:rsid w:val="659455EF"/>
    <w:rsid w:val="65A82CAD"/>
    <w:rsid w:val="65AE37E0"/>
    <w:rsid w:val="65B668C9"/>
    <w:rsid w:val="660541EF"/>
    <w:rsid w:val="66087371"/>
    <w:rsid w:val="663E784C"/>
    <w:rsid w:val="664604DB"/>
    <w:rsid w:val="66616B07"/>
    <w:rsid w:val="66821A22"/>
    <w:rsid w:val="66911096"/>
    <w:rsid w:val="66AA497C"/>
    <w:rsid w:val="66B4528C"/>
    <w:rsid w:val="66B87515"/>
    <w:rsid w:val="66BB049A"/>
    <w:rsid w:val="66CC2933"/>
    <w:rsid w:val="66FD6985"/>
    <w:rsid w:val="672D16D2"/>
    <w:rsid w:val="67305EDA"/>
    <w:rsid w:val="674A3201"/>
    <w:rsid w:val="676663B4"/>
    <w:rsid w:val="67B71637"/>
    <w:rsid w:val="67CD705D"/>
    <w:rsid w:val="67DD3A75"/>
    <w:rsid w:val="67E60D91"/>
    <w:rsid w:val="67EB660D"/>
    <w:rsid w:val="68026233"/>
    <w:rsid w:val="680A7DBC"/>
    <w:rsid w:val="6819694F"/>
    <w:rsid w:val="681A38D9"/>
    <w:rsid w:val="682F7FFB"/>
    <w:rsid w:val="685811C0"/>
    <w:rsid w:val="686739D9"/>
    <w:rsid w:val="68706867"/>
    <w:rsid w:val="687C00FB"/>
    <w:rsid w:val="68BA24A7"/>
    <w:rsid w:val="68BC4024"/>
    <w:rsid w:val="68C8394A"/>
    <w:rsid w:val="68CB5C7C"/>
    <w:rsid w:val="68E42FA2"/>
    <w:rsid w:val="68E92CAD"/>
    <w:rsid w:val="69090FE4"/>
    <w:rsid w:val="69185D7B"/>
    <w:rsid w:val="69862A24"/>
    <w:rsid w:val="698E59B9"/>
    <w:rsid w:val="69A1245C"/>
    <w:rsid w:val="69C00B62"/>
    <w:rsid w:val="69C57D0A"/>
    <w:rsid w:val="69CF1CA6"/>
    <w:rsid w:val="6A017EF7"/>
    <w:rsid w:val="6A0C6288"/>
    <w:rsid w:val="6A0E178B"/>
    <w:rsid w:val="6A254C33"/>
    <w:rsid w:val="6A35744C"/>
    <w:rsid w:val="6A383C54"/>
    <w:rsid w:val="6A694423"/>
    <w:rsid w:val="6A9D5B77"/>
    <w:rsid w:val="6AC07030"/>
    <w:rsid w:val="6ADA2AB4"/>
    <w:rsid w:val="6B1D1147"/>
    <w:rsid w:val="6B21034E"/>
    <w:rsid w:val="6B2370D5"/>
    <w:rsid w:val="6B2B1F62"/>
    <w:rsid w:val="6B2B5474"/>
    <w:rsid w:val="6B2D1BE2"/>
    <w:rsid w:val="6B3C21FD"/>
    <w:rsid w:val="6B4A606F"/>
    <w:rsid w:val="6B681DC7"/>
    <w:rsid w:val="6B7226D7"/>
    <w:rsid w:val="6B745BDA"/>
    <w:rsid w:val="6BC740BF"/>
    <w:rsid w:val="6BCD3CEA"/>
    <w:rsid w:val="6BD15F74"/>
    <w:rsid w:val="6C105A58"/>
    <w:rsid w:val="6C5E35D9"/>
    <w:rsid w:val="6C9411BA"/>
    <w:rsid w:val="6CBB3973"/>
    <w:rsid w:val="6CCE4B92"/>
    <w:rsid w:val="6CE407A0"/>
    <w:rsid w:val="6CEF5734"/>
    <w:rsid w:val="6CF91B0B"/>
    <w:rsid w:val="6D201BB4"/>
    <w:rsid w:val="6D5737F1"/>
    <w:rsid w:val="6D920153"/>
    <w:rsid w:val="6D992397"/>
    <w:rsid w:val="6DA97D78"/>
    <w:rsid w:val="6DC53E25"/>
    <w:rsid w:val="6DCB4373"/>
    <w:rsid w:val="6DCF7F9F"/>
    <w:rsid w:val="6DDA3DCA"/>
    <w:rsid w:val="6DDF0252"/>
    <w:rsid w:val="6DE446DA"/>
    <w:rsid w:val="6E052668"/>
    <w:rsid w:val="6E095813"/>
    <w:rsid w:val="6E100A21"/>
    <w:rsid w:val="6E3661C1"/>
    <w:rsid w:val="6E491E80"/>
    <w:rsid w:val="6E981E7E"/>
    <w:rsid w:val="6EBF3FAB"/>
    <w:rsid w:val="6ECC3352"/>
    <w:rsid w:val="6ED2525C"/>
    <w:rsid w:val="6ED829E8"/>
    <w:rsid w:val="6F123AC7"/>
    <w:rsid w:val="6F47651F"/>
    <w:rsid w:val="6F624B4B"/>
    <w:rsid w:val="6F7F6679"/>
    <w:rsid w:val="6F83507F"/>
    <w:rsid w:val="6FC935F6"/>
    <w:rsid w:val="70007ECC"/>
    <w:rsid w:val="70206203"/>
    <w:rsid w:val="70221706"/>
    <w:rsid w:val="70481945"/>
    <w:rsid w:val="70666977"/>
    <w:rsid w:val="706F1805"/>
    <w:rsid w:val="709303D9"/>
    <w:rsid w:val="70953140"/>
    <w:rsid w:val="709616C4"/>
    <w:rsid w:val="709A00CB"/>
    <w:rsid w:val="70A67761"/>
    <w:rsid w:val="70AE0761"/>
    <w:rsid w:val="70C14F73"/>
    <w:rsid w:val="70CA2E18"/>
    <w:rsid w:val="711F0324"/>
    <w:rsid w:val="712447AC"/>
    <w:rsid w:val="714D3D36"/>
    <w:rsid w:val="71673F9B"/>
    <w:rsid w:val="716A4F20"/>
    <w:rsid w:val="71845ACA"/>
    <w:rsid w:val="719B0D75"/>
    <w:rsid w:val="71EB4575"/>
    <w:rsid w:val="72010916"/>
    <w:rsid w:val="721C4D44"/>
    <w:rsid w:val="72311466"/>
    <w:rsid w:val="72411700"/>
    <w:rsid w:val="72501D1B"/>
    <w:rsid w:val="725561A2"/>
    <w:rsid w:val="72663EBE"/>
    <w:rsid w:val="727950DD"/>
    <w:rsid w:val="7298210F"/>
    <w:rsid w:val="72E13808"/>
    <w:rsid w:val="72F97729"/>
    <w:rsid w:val="730E1CC8"/>
    <w:rsid w:val="73157942"/>
    <w:rsid w:val="73345810"/>
    <w:rsid w:val="73372F12"/>
    <w:rsid w:val="7362505B"/>
    <w:rsid w:val="73A87D4E"/>
    <w:rsid w:val="73AC6754"/>
    <w:rsid w:val="73C93B06"/>
    <w:rsid w:val="73D7089D"/>
    <w:rsid w:val="73DA1821"/>
    <w:rsid w:val="73FA42D5"/>
    <w:rsid w:val="742D5A28"/>
    <w:rsid w:val="743431B5"/>
    <w:rsid w:val="74512765"/>
    <w:rsid w:val="74567ED4"/>
    <w:rsid w:val="74655B82"/>
    <w:rsid w:val="74671085"/>
    <w:rsid w:val="74707796"/>
    <w:rsid w:val="74792624"/>
    <w:rsid w:val="74C4399D"/>
    <w:rsid w:val="74D74BBC"/>
    <w:rsid w:val="74E706DA"/>
    <w:rsid w:val="7500014E"/>
    <w:rsid w:val="75055A8C"/>
    <w:rsid w:val="750D5096"/>
    <w:rsid w:val="752175BA"/>
    <w:rsid w:val="753D7DE4"/>
    <w:rsid w:val="755469EE"/>
    <w:rsid w:val="7566482B"/>
    <w:rsid w:val="757415C3"/>
    <w:rsid w:val="7591786E"/>
    <w:rsid w:val="75A3688F"/>
    <w:rsid w:val="75A51D92"/>
    <w:rsid w:val="75C857C9"/>
    <w:rsid w:val="75DA0F67"/>
    <w:rsid w:val="75F41B11"/>
    <w:rsid w:val="760133A5"/>
    <w:rsid w:val="76114C42"/>
    <w:rsid w:val="763C5788"/>
    <w:rsid w:val="764D41DD"/>
    <w:rsid w:val="767223DF"/>
    <w:rsid w:val="76835EFD"/>
    <w:rsid w:val="76912C94"/>
    <w:rsid w:val="76B07CC5"/>
    <w:rsid w:val="76C11474"/>
    <w:rsid w:val="76C778EB"/>
    <w:rsid w:val="76CD5077"/>
    <w:rsid w:val="76CF057A"/>
    <w:rsid w:val="76D05FFC"/>
    <w:rsid w:val="76D3117F"/>
    <w:rsid w:val="77093988"/>
    <w:rsid w:val="770F1364"/>
    <w:rsid w:val="771A18F3"/>
    <w:rsid w:val="77427955"/>
    <w:rsid w:val="7780039E"/>
    <w:rsid w:val="77A90693"/>
    <w:rsid w:val="77B64FF5"/>
    <w:rsid w:val="77E757C4"/>
    <w:rsid w:val="77EE09D2"/>
    <w:rsid w:val="77F10E3C"/>
    <w:rsid w:val="78070277"/>
    <w:rsid w:val="78181816"/>
    <w:rsid w:val="784A7A67"/>
    <w:rsid w:val="784D67ED"/>
    <w:rsid w:val="7862510D"/>
    <w:rsid w:val="78711EA5"/>
    <w:rsid w:val="787B6037"/>
    <w:rsid w:val="78977B00"/>
    <w:rsid w:val="78B705EE"/>
    <w:rsid w:val="79063A1D"/>
    <w:rsid w:val="791A26BE"/>
    <w:rsid w:val="793D02F4"/>
    <w:rsid w:val="79443502"/>
    <w:rsid w:val="795821A2"/>
    <w:rsid w:val="7968243D"/>
    <w:rsid w:val="796A5940"/>
    <w:rsid w:val="79741AD3"/>
    <w:rsid w:val="7974624F"/>
    <w:rsid w:val="79815565"/>
    <w:rsid w:val="798E3A58"/>
    <w:rsid w:val="799F4B15"/>
    <w:rsid w:val="79B160B4"/>
    <w:rsid w:val="79CF5664"/>
    <w:rsid w:val="79E1716A"/>
    <w:rsid w:val="79ED2696"/>
    <w:rsid w:val="7A101951"/>
    <w:rsid w:val="7A3C3A9A"/>
    <w:rsid w:val="7A5977C7"/>
    <w:rsid w:val="7A9479AC"/>
    <w:rsid w:val="7AC94B56"/>
    <w:rsid w:val="7AD21A0F"/>
    <w:rsid w:val="7AD579F5"/>
    <w:rsid w:val="7ADE32A3"/>
    <w:rsid w:val="7B050F64"/>
    <w:rsid w:val="7B086666"/>
    <w:rsid w:val="7B1018A7"/>
    <w:rsid w:val="7B1C5306"/>
    <w:rsid w:val="7B4C77FE"/>
    <w:rsid w:val="7B58655C"/>
    <w:rsid w:val="7B7C1EA8"/>
    <w:rsid w:val="7B7E53AB"/>
    <w:rsid w:val="7B9E7E5E"/>
    <w:rsid w:val="7BBC2C91"/>
    <w:rsid w:val="7BDD31C6"/>
    <w:rsid w:val="7BE2184C"/>
    <w:rsid w:val="7BEB46DA"/>
    <w:rsid w:val="7BFB4974"/>
    <w:rsid w:val="7BFD5C79"/>
    <w:rsid w:val="7C0242FF"/>
    <w:rsid w:val="7C106E98"/>
    <w:rsid w:val="7C272341"/>
    <w:rsid w:val="7C3B0FE1"/>
    <w:rsid w:val="7C56760C"/>
    <w:rsid w:val="7C63309F"/>
    <w:rsid w:val="7C6678A7"/>
    <w:rsid w:val="7C6B3D2F"/>
    <w:rsid w:val="7C8B2065"/>
    <w:rsid w:val="7C8C45DE"/>
    <w:rsid w:val="7C902C69"/>
    <w:rsid w:val="7CA80310"/>
    <w:rsid w:val="7CB83E2E"/>
    <w:rsid w:val="7CCD4CCD"/>
    <w:rsid w:val="7CD05C51"/>
    <w:rsid w:val="7D032FA8"/>
    <w:rsid w:val="7D0719AF"/>
    <w:rsid w:val="7D3127F3"/>
    <w:rsid w:val="7D972197"/>
    <w:rsid w:val="7D9E75A3"/>
    <w:rsid w:val="7DE32FFC"/>
    <w:rsid w:val="7DF34AAF"/>
    <w:rsid w:val="7DF612B7"/>
    <w:rsid w:val="7E032B4B"/>
    <w:rsid w:val="7E207EFD"/>
    <w:rsid w:val="7E271A86"/>
    <w:rsid w:val="7E2E4C94"/>
    <w:rsid w:val="7E8678A1"/>
    <w:rsid w:val="7E912CFB"/>
    <w:rsid w:val="7EAE0A66"/>
    <w:rsid w:val="7EB503F0"/>
    <w:rsid w:val="7EBB22FA"/>
    <w:rsid w:val="7EDB06A4"/>
    <w:rsid w:val="7EF8277F"/>
    <w:rsid w:val="7F122D08"/>
    <w:rsid w:val="7F143C8D"/>
    <w:rsid w:val="7F2619A9"/>
    <w:rsid w:val="7F271629"/>
    <w:rsid w:val="7F461EDE"/>
    <w:rsid w:val="7F5E0FEF"/>
    <w:rsid w:val="7F800DBE"/>
    <w:rsid w:val="7F913256"/>
    <w:rsid w:val="7F982BE1"/>
    <w:rsid w:val="7F9E4AEB"/>
    <w:rsid w:val="7FBC5C32"/>
    <w:rsid w:val="7FDD7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120" w:after="120" w:line="60" w:lineRule="auto"/>
      <w:jc w:val="center"/>
      <w:outlineLvl w:val="0"/>
    </w:pPr>
    <w:rPr>
      <w:rFonts w:eastAsia="仿宋"/>
      <w:b/>
      <w:bCs/>
      <w:kern w:val="44"/>
      <w:sz w:val="32"/>
      <w:szCs w:val="44"/>
    </w:rPr>
  </w:style>
  <w:style w:type="paragraph" w:styleId="3">
    <w:name w:val="heading 2"/>
    <w:basedOn w:val="1"/>
    <w:next w:val="1"/>
    <w:qFormat/>
    <w:uiPriority w:val="0"/>
    <w:pPr>
      <w:keepNext/>
      <w:keepLines/>
      <w:spacing w:line="415" w:lineRule="auto"/>
      <w:outlineLvl w:val="1"/>
    </w:pPr>
    <w:rPr>
      <w:rFonts w:ascii="Arial" w:hAnsi="Arial" w:eastAsia="仿宋"/>
      <w:b/>
      <w:bCs/>
      <w:sz w:val="28"/>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4"/>
    </w:rPr>
  </w:style>
  <w:style w:type="character" w:default="1" w:styleId="26">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6">
    <w:name w:val="annotation text"/>
    <w:basedOn w:val="1"/>
    <w:link w:val="54"/>
    <w:qFormat/>
    <w:uiPriority w:val="0"/>
    <w:pPr>
      <w:jc w:val="left"/>
    </w:pPr>
  </w:style>
  <w:style w:type="paragraph" w:styleId="7">
    <w:name w:val="Body Text 3"/>
    <w:basedOn w:val="1"/>
    <w:qFormat/>
    <w:uiPriority w:val="0"/>
    <w:pPr>
      <w:snapToGrid w:val="0"/>
      <w:spacing w:line="360" w:lineRule="auto"/>
    </w:pPr>
    <w:rPr>
      <w:rFonts w:ascii="仿宋_GB2312" w:eastAsia="仿宋_GB2312"/>
      <w:color w:val="000000"/>
      <w:sz w:val="28"/>
      <w:szCs w:val="20"/>
    </w:rPr>
  </w:style>
  <w:style w:type="paragraph" w:styleId="8">
    <w:name w:val="Body Text"/>
    <w:basedOn w:val="1"/>
    <w:link w:val="43"/>
    <w:qFormat/>
    <w:uiPriority w:val="0"/>
    <w:pPr>
      <w:spacing w:after="120"/>
    </w:pPr>
    <w:rPr>
      <w:rFonts w:ascii="宋体" w:hAnsi="宋体"/>
    </w:rPr>
  </w:style>
  <w:style w:type="paragraph" w:styleId="9">
    <w:name w:val="Body Text Indent"/>
    <w:basedOn w:val="1"/>
    <w:link w:val="47"/>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link w:val="49"/>
    <w:qFormat/>
    <w:uiPriority w:val="0"/>
    <w:rPr>
      <w:rFonts w:ascii="宋体" w:hAnsi="Courier New"/>
      <w:szCs w:val="20"/>
    </w:rPr>
  </w:style>
  <w:style w:type="paragraph" w:styleId="12">
    <w:name w:val="Date"/>
    <w:basedOn w:val="1"/>
    <w:next w:val="1"/>
    <w:qFormat/>
    <w:uiPriority w:val="0"/>
    <w:pPr>
      <w:widowControl/>
      <w:overflowPunct w:val="0"/>
      <w:autoSpaceDE w:val="0"/>
      <w:autoSpaceDN w:val="0"/>
      <w:adjustRightInd w:val="0"/>
      <w:jc w:val="right"/>
      <w:textAlignment w:val="baseline"/>
    </w:pPr>
    <w:rPr>
      <w:rFonts w:ascii="楷体_GB2312" w:eastAsia="楷体_GB2312"/>
      <w:kern w:val="0"/>
      <w:sz w:val="28"/>
      <w:szCs w:val="20"/>
    </w:rPr>
  </w:style>
  <w:style w:type="paragraph" w:styleId="13">
    <w:name w:val="Body Text Indent 2"/>
    <w:basedOn w:val="1"/>
    <w:link w:val="41"/>
    <w:unhideWhenUsed/>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630"/>
      </w:tabs>
      <w:snapToGrid w:val="0"/>
      <w:spacing w:line="360" w:lineRule="auto"/>
    </w:pPr>
    <w:rPr>
      <w:rFonts w:ascii="仿宋_GB2312" w:hAnsi="宋体" w:eastAsia="仿宋_GB2312"/>
      <w:b/>
      <w:sz w:val="28"/>
      <w:szCs w:val="28"/>
    </w:rPr>
  </w:style>
  <w:style w:type="paragraph" w:styleId="18">
    <w:name w:val="toc 4"/>
    <w:basedOn w:val="1"/>
    <w:next w:val="1"/>
    <w:qFormat/>
    <w:uiPriority w:val="0"/>
    <w:pPr>
      <w:ind w:left="1260" w:leftChars="600"/>
    </w:pPr>
  </w:style>
  <w:style w:type="paragraph" w:styleId="19">
    <w:name w:val="Body Text Indent 3"/>
    <w:basedOn w:val="1"/>
    <w:link w:val="72"/>
    <w:qFormat/>
    <w:uiPriority w:val="0"/>
    <w:pPr>
      <w:spacing w:line="360" w:lineRule="auto"/>
      <w:ind w:firstLine="560" w:firstLineChars="200"/>
    </w:pPr>
    <w:rPr>
      <w:rFonts w:ascii="仿宋_GB2312" w:eastAsia="仿宋_GB2312"/>
      <w:color w:val="000000"/>
      <w:sz w:val="28"/>
      <w:szCs w:val="20"/>
    </w:rPr>
  </w:style>
  <w:style w:type="paragraph" w:styleId="20">
    <w:name w:val="toc 2"/>
    <w:basedOn w:val="1"/>
    <w:next w:val="1"/>
    <w:qFormat/>
    <w:uiPriority w:val="39"/>
    <w:pPr>
      <w:tabs>
        <w:tab w:val="right" w:leader="dot" w:pos="8647"/>
      </w:tabs>
      <w:spacing w:line="500" w:lineRule="exact"/>
      <w:ind w:left="420" w:leftChars="200"/>
    </w:pPr>
    <w:rPr>
      <w:rFonts w:ascii="Arial Narrow" w:hAnsi="Arial Narrow" w:eastAsia="仿宋_GB2312"/>
      <w:color w:val="000000"/>
      <w:sz w:val="28"/>
      <w:szCs w:val="28"/>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lang w:eastAsia="en-US"/>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link w:val="53"/>
    <w:qFormat/>
    <w:uiPriority w:val="10"/>
    <w:pPr>
      <w:spacing w:before="240" w:after="60"/>
      <w:jc w:val="left"/>
      <w:outlineLvl w:val="0"/>
    </w:pPr>
    <w:rPr>
      <w:rFonts w:ascii="Cambria" w:hAnsi="Cambria" w:eastAsia="仿宋"/>
      <w:b/>
      <w:bCs/>
      <w:sz w:val="28"/>
      <w:szCs w:val="32"/>
    </w:rPr>
  </w:style>
  <w:style w:type="paragraph" w:styleId="24">
    <w:name w:val="annotation subject"/>
    <w:basedOn w:val="6"/>
    <w:next w:val="6"/>
    <w:semiHidden/>
    <w:qFormat/>
    <w:uiPriority w:val="0"/>
    <w:rPr>
      <w:b/>
      <w:bCs/>
    </w:rPr>
  </w:style>
  <w:style w:type="character" w:styleId="27">
    <w:name w:val="Strong"/>
    <w:qFormat/>
    <w:uiPriority w:val="22"/>
    <w:rPr>
      <w:b/>
      <w:bCs/>
    </w:rPr>
  </w:style>
  <w:style w:type="character" w:styleId="28">
    <w:name w:val="page number"/>
    <w:basedOn w:val="26"/>
    <w:qFormat/>
    <w:uiPriority w:val="0"/>
  </w:style>
  <w:style w:type="character" w:styleId="29">
    <w:name w:val="Emphasis"/>
    <w:qFormat/>
    <w:uiPriority w:val="0"/>
  </w:style>
  <w:style w:type="character" w:styleId="30">
    <w:name w:val="HTML Definition"/>
    <w:qFormat/>
    <w:uiPriority w:val="0"/>
  </w:style>
  <w:style w:type="character" w:styleId="31">
    <w:name w:val="HTML Variable"/>
    <w:qFormat/>
    <w:uiPriority w:val="0"/>
  </w:style>
  <w:style w:type="character" w:styleId="32">
    <w:name w:val="Hyperlink"/>
    <w:qFormat/>
    <w:uiPriority w:val="99"/>
    <w:rPr>
      <w:color w:val="338DE6"/>
      <w:u w:val="none"/>
    </w:rPr>
  </w:style>
  <w:style w:type="character" w:styleId="33">
    <w:name w:val="HTML Code"/>
    <w:qFormat/>
    <w:uiPriority w:val="0"/>
    <w:rPr>
      <w:rFonts w:hint="default" w:ascii="monospace" w:hAnsi="monospace" w:eastAsia="monospace" w:cs="monospace"/>
      <w:sz w:val="21"/>
      <w:szCs w:val="21"/>
    </w:rPr>
  </w:style>
  <w:style w:type="character" w:styleId="34">
    <w:name w:val="annotation reference"/>
    <w:semiHidden/>
    <w:qFormat/>
    <w:uiPriority w:val="0"/>
    <w:rPr>
      <w:sz w:val="21"/>
      <w:szCs w:val="21"/>
    </w:rPr>
  </w:style>
  <w:style w:type="character" w:styleId="35">
    <w:name w:val="HTML Cite"/>
    <w:qFormat/>
    <w:uiPriority w:val="0"/>
  </w:style>
  <w:style w:type="character" w:styleId="36">
    <w:name w:val="HTML Keyboard"/>
    <w:qFormat/>
    <w:uiPriority w:val="0"/>
    <w:rPr>
      <w:rFonts w:hint="default" w:ascii="monospace" w:hAnsi="monospace" w:eastAsia="monospace" w:cs="monospace"/>
      <w:sz w:val="21"/>
      <w:szCs w:val="21"/>
    </w:rPr>
  </w:style>
  <w:style w:type="character" w:styleId="37">
    <w:name w:val="HTML Sample"/>
    <w:qFormat/>
    <w:uiPriority w:val="0"/>
    <w:rPr>
      <w:rFonts w:ascii="monospace" w:hAnsi="monospace" w:eastAsia="monospace" w:cs="monospace"/>
      <w:sz w:val="21"/>
      <w:szCs w:val="21"/>
    </w:rPr>
  </w:style>
  <w:style w:type="character" w:customStyle="1" w:styleId="38">
    <w:name w:val="fontborder"/>
    <w:qFormat/>
    <w:uiPriority w:val="0"/>
    <w:rPr>
      <w:bdr w:val="single" w:color="000000" w:sz="6" w:space="0"/>
    </w:rPr>
  </w:style>
  <w:style w:type="character" w:customStyle="1" w:styleId="39">
    <w:name w:val="apple-converted-space"/>
    <w:basedOn w:val="26"/>
    <w:qFormat/>
    <w:uiPriority w:val="0"/>
  </w:style>
  <w:style w:type="character" w:customStyle="1" w:styleId="40">
    <w:name w:val="正文文本缩进 Char1"/>
    <w:semiHidden/>
    <w:qFormat/>
    <w:uiPriority w:val="99"/>
    <w:rPr>
      <w:kern w:val="2"/>
      <w:sz w:val="21"/>
      <w:szCs w:val="24"/>
    </w:rPr>
  </w:style>
  <w:style w:type="character" w:customStyle="1" w:styleId="41">
    <w:name w:val="正文文本缩进 2 字符"/>
    <w:link w:val="13"/>
    <w:qFormat/>
    <w:uiPriority w:val="0"/>
    <w:rPr>
      <w:kern w:val="2"/>
      <w:sz w:val="21"/>
      <w:szCs w:val="24"/>
    </w:rPr>
  </w:style>
  <w:style w:type="character" w:customStyle="1" w:styleId="42">
    <w:name w:val="标题 1 字符"/>
    <w:qFormat/>
    <w:uiPriority w:val="0"/>
    <w:rPr>
      <w:rFonts w:eastAsia="仿宋"/>
      <w:b/>
      <w:bCs/>
      <w:kern w:val="44"/>
      <w:sz w:val="32"/>
      <w:szCs w:val="44"/>
    </w:rPr>
  </w:style>
  <w:style w:type="character" w:customStyle="1" w:styleId="43">
    <w:name w:val="正文文本 字符"/>
    <w:link w:val="8"/>
    <w:qFormat/>
    <w:uiPriority w:val="0"/>
    <w:rPr>
      <w:rFonts w:ascii="宋体" w:hAnsi="宋体"/>
      <w:kern w:val="2"/>
      <w:sz w:val="21"/>
      <w:szCs w:val="24"/>
    </w:rPr>
  </w:style>
  <w:style w:type="character" w:customStyle="1" w:styleId="44">
    <w:name w:val="标题 1 字符1"/>
    <w:link w:val="2"/>
    <w:qFormat/>
    <w:uiPriority w:val="0"/>
    <w:rPr>
      <w:rFonts w:eastAsia="仿宋"/>
      <w:b/>
      <w:bCs/>
      <w:kern w:val="44"/>
      <w:sz w:val="32"/>
      <w:szCs w:val="44"/>
    </w:rPr>
  </w:style>
  <w:style w:type="character" w:customStyle="1" w:styleId="45">
    <w:name w:val="纯文本 Char Char"/>
    <w:link w:val="46"/>
    <w:qFormat/>
    <w:uiPriority w:val="0"/>
    <w:rPr>
      <w:rFonts w:ascii="宋体" w:hAnsi="Courier New"/>
      <w:kern w:val="2"/>
      <w:sz w:val="21"/>
      <w:lang w:bidi="ar-SA"/>
    </w:rPr>
  </w:style>
  <w:style w:type="paragraph" w:customStyle="1" w:styleId="46">
    <w:name w:val="纯文本1"/>
    <w:basedOn w:val="1"/>
    <w:link w:val="45"/>
    <w:qFormat/>
    <w:uiPriority w:val="0"/>
    <w:rPr>
      <w:rFonts w:ascii="宋体" w:hAnsi="Courier New"/>
      <w:szCs w:val="20"/>
    </w:rPr>
  </w:style>
  <w:style w:type="character" w:customStyle="1" w:styleId="47">
    <w:name w:val="正文文本缩进 字符"/>
    <w:link w:val="9"/>
    <w:qFormat/>
    <w:uiPriority w:val="0"/>
    <w:rPr>
      <w:kern w:val="2"/>
      <w:sz w:val="21"/>
      <w:szCs w:val="24"/>
    </w:rPr>
  </w:style>
  <w:style w:type="character" w:customStyle="1" w:styleId="48">
    <w:name w:val="访问过的超链接1"/>
    <w:qFormat/>
    <w:uiPriority w:val="0"/>
    <w:rPr>
      <w:color w:val="338DE6"/>
      <w:u w:val="none"/>
    </w:rPr>
  </w:style>
  <w:style w:type="character" w:customStyle="1" w:styleId="49">
    <w:name w:val="纯文本 字符2"/>
    <w:link w:val="11"/>
    <w:qFormat/>
    <w:uiPriority w:val="0"/>
    <w:rPr>
      <w:rFonts w:ascii="宋体" w:hAnsi="Courier New" w:eastAsia="宋体"/>
      <w:kern w:val="2"/>
      <w:sz w:val="21"/>
      <w:lang w:val="en-US" w:eastAsia="zh-CN" w:bidi="ar-SA"/>
    </w:rPr>
  </w:style>
  <w:style w:type="character" w:customStyle="1" w:styleId="50">
    <w:name w:val="纯文本 Char"/>
    <w:link w:val="51"/>
    <w:qFormat/>
    <w:uiPriority w:val="0"/>
    <w:rPr>
      <w:rFonts w:ascii="宋体" w:hAnsi="Courier New" w:eastAsia="宋体"/>
      <w:kern w:val="2"/>
      <w:sz w:val="21"/>
      <w:lang w:val="en-US" w:eastAsia="zh-CN" w:bidi="ar-SA"/>
    </w:rPr>
  </w:style>
  <w:style w:type="paragraph" w:customStyle="1" w:styleId="51">
    <w:name w:val="纯文本11"/>
    <w:basedOn w:val="1"/>
    <w:link w:val="50"/>
    <w:qFormat/>
    <w:uiPriority w:val="0"/>
    <w:rPr>
      <w:rFonts w:ascii="宋体" w:hAnsi="Courier New"/>
      <w:szCs w:val="20"/>
    </w:rPr>
  </w:style>
  <w:style w:type="character" w:customStyle="1" w:styleId="52">
    <w:name w:val="headline-content2"/>
    <w:basedOn w:val="26"/>
    <w:qFormat/>
    <w:uiPriority w:val="0"/>
  </w:style>
  <w:style w:type="character" w:customStyle="1" w:styleId="53">
    <w:name w:val="标题 字符"/>
    <w:link w:val="23"/>
    <w:qFormat/>
    <w:uiPriority w:val="10"/>
    <w:rPr>
      <w:rFonts w:ascii="Cambria" w:hAnsi="Cambria" w:eastAsia="仿宋"/>
      <w:b/>
      <w:bCs/>
      <w:kern w:val="2"/>
      <w:sz w:val="28"/>
      <w:szCs w:val="32"/>
    </w:rPr>
  </w:style>
  <w:style w:type="character" w:customStyle="1" w:styleId="54">
    <w:name w:val="批注文字 字符1"/>
    <w:link w:val="6"/>
    <w:qFormat/>
    <w:uiPriority w:val="0"/>
    <w:rPr>
      <w:rFonts w:eastAsia="宋体"/>
      <w:kern w:val="2"/>
      <w:sz w:val="21"/>
      <w:szCs w:val="24"/>
      <w:lang w:val="en-US" w:eastAsia="zh-CN" w:bidi="ar-SA"/>
    </w:rPr>
  </w:style>
  <w:style w:type="character" w:customStyle="1" w:styleId="55">
    <w:name w:val="font11"/>
    <w:qFormat/>
    <w:uiPriority w:val="0"/>
    <w:rPr>
      <w:rFonts w:hint="eastAsia" w:ascii="仿宋" w:hAnsi="仿宋" w:eastAsia="仿宋" w:cs="仿宋"/>
      <w:color w:val="000000"/>
      <w:sz w:val="22"/>
      <w:szCs w:val="22"/>
      <w:u w:val="none"/>
      <w:vertAlign w:val="superscript"/>
    </w:rPr>
  </w:style>
  <w:style w:type="character" w:customStyle="1" w:styleId="56">
    <w:name w:val="纯文本 字符"/>
    <w:semiHidden/>
    <w:qFormat/>
    <w:uiPriority w:val="0"/>
    <w:rPr>
      <w:rFonts w:ascii="宋体" w:hAnsi="Courier New"/>
      <w:kern w:val="2"/>
      <w:sz w:val="21"/>
    </w:rPr>
  </w:style>
  <w:style w:type="character" w:customStyle="1" w:styleId="57">
    <w:name w:val="批注文字 字符"/>
    <w:semiHidden/>
    <w:qFormat/>
    <w:uiPriority w:val="0"/>
    <w:rPr>
      <w:kern w:val="2"/>
      <w:sz w:val="21"/>
      <w:szCs w:val="24"/>
    </w:rPr>
  </w:style>
  <w:style w:type="character" w:customStyle="1" w:styleId="58">
    <w:name w:val="fontstrikethrough"/>
    <w:qFormat/>
    <w:uiPriority w:val="0"/>
    <w:rPr>
      <w:strike/>
    </w:rPr>
  </w:style>
  <w:style w:type="character" w:customStyle="1" w:styleId="59">
    <w:name w:val="font41"/>
    <w:qFormat/>
    <w:uiPriority w:val="0"/>
    <w:rPr>
      <w:rFonts w:hint="eastAsia" w:ascii="仿宋" w:hAnsi="仿宋" w:eastAsia="仿宋" w:cs="仿宋"/>
      <w:color w:val="000000"/>
      <w:sz w:val="21"/>
      <w:szCs w:val="21"/>
      <w:u w:val="none"/>
    </w:rPr>
  </w:style>
  <w:style w:type="character" w:customStyle="1" w:styleId="60">
    <w:name w:val="页眉 字符"/>
    <w:link w:val="16"/>
    <w:qFormat/>
    <w:uiPriority w:val="99"/>
    <w:rPr>
      <w:kern w:val="2"/>
      <w:sz w:val="18"/>
      <w:szCs w:val="18"/>
    </w:rPr>
  </w:style>
  <w:style w:type="character" w:customStyle="1" w:styleId="61">
    <w:name w:val="name"/>
    <w:qFormat/>
    <w:uiPriority w:val="0"/>
  </w:style>
  <w:style w:type="character" w:customStyle="1" w:styleId="62">
    <w:name w:val="页码1"/>
    <w:qFormat/>
    <w:uiPriority w:val="99"/>
    <w:rPr>
      <w:rFonts w:cs="Times New Roman"/>
    </w:rPr>
  </w:style>
  <w:style w:type="paragraph" w:customStyle="1" w:styleId="63">
    <w:name w:val="龙泰正文"/>
    <w:basedOn w:val="1"/>
    <w:qFormat/>
    <w:uiPriority w:val="0"/>
    <w:pPr>
      <w:autoSpaceDE w:val="0"/>
      <w:autoSpaceDN w:val="0"/>
      <w:adjustRightInd w:val="0"/>
      <w:spacing w:line="360" w:lineRule="auto"/>
      <w:ind w:firstLine="200" w:firstLineChars="200"/>
      <w:textAlignment w:val="baseline"/>
    </w:pPr>
    <w:rPr>
      <w:rFonts w:ascii="仿宋_GB2312" w:hAnsi="Arial" w:eastAsia="仿宋_GB2312"/>
      <w:sz w:val="28"/>
      <w:szCs w:val="28"/>
    </w:rPr>
  </w:style>
  <w:style w:type="paragraph" w:customStyle="1" w:styleId="6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TOC 标题1"/>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6">
    <w:name w:val="p18"/>
    <w:basedOn w:val="1"/>
    <w:qFormat/>
    <w:uiPriority w:val="0"/>
    <w:pPr>
      <w:widowControl/>
    </w:pPr>
    <w:rPr>
      <w:rFonts w:ascii="宋体" w:hAnsi="宋体" w:cs="宋体"/>
      <w:kern w:val="0"/>
      <w:szCs w:val="21"/>
    </w:rPr>
  </w:style>
  <w:style w:type="paragraph" w:customStyle="1" w:styleId="67">
    <w:name w:val="纯文本2"/>
    <w:basedOn w:val="1"/>
    <w:qFormat/>
    <w:uiPriority w:val="0"/>
    <w:rPr>
      <w:rFonts w:hint="eastAsia" w:ascii="宋体" w:hAnsi="Courier New"/>
      <w:szCs w:val="20"/>
    </w:rPr>
  </w:style>
  <w:style w:type="paragraph" w:customStyle="1" w:styleId="68">
    <w:name w:val="p0"/>
    <w:basedOn w:val="1"/>
    <w:qFormat/>
    <w:uiPriority w:val="0"/>
    <w:pPr>
      <w:widowControl/>
    </w:pPr>
    <w:rPr>
      <w:kern w:val="0"/>
      <w:szCs w:val="21"/>
    </w:rPr>
  </w:style>
  <w:style w:type="paragraph" w:customStyle="1" w:styleId="6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styleId="70">
    <w:name w:val="List Paragraph"/>
    <w:basedOn w:val="1"/>
    <w:qFormat/>
    <w:uiPriority w:val="99"/>
    <w:pPr>
      <w:ind w:firstLine="420" w:firstLineChars="200"/>
    </w:pPr>
  </w:style>
  <w:style w:type="character" w:customStyle="1" w:styleId="71">
    <w:name w:val="纯文本 字符1"/>
    <w:qFormat/>
    <w:uiPriority w:val="0"/>
    <w:rPr>
      <w:rFonts w:ascii="宋体" w:hAnsi="Courier New" w:eastAsia="宋体"/>
      <w:kern w:val="2"/>
      <w:sz w:val="21"/>
      <w:lang w:val="en-US" w:eastAsia="zh-CN" w:bidi="ar-SA"/>
    </w:rPr>
  </w:style>
  <w:style w:type="character" w:customStyle="1" w:styleId="72">
    <w:name w:val="正文文本缩进 3 字符"/>
    <w:basedOn w:val="26"/>
    <w:link w:val="19"/>
    <w:qFormat/>
    <w:uiPriority w:val="0"/>
    <w:rPr>
      <w:rFonts w:ascii="仿宋_GB2312" w:eastAsia="仿宋_GB2312"/>
      <w:color w:val="000000"/>
      <w:kern w:val="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E62B7-9452-41C2-A4FA-1CC88A430C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1894</Words>
  <Characters>10801</Characters>
  <Lines>90</Lines>
  <Paragraphs>25</Paragraphs>
  <TotalTime>26</TotalTime>
  <ScaleCrop>false</ScaleCrop>
  <LinksUpToDate>false</LinksUpToDate>
  <CharactersWithSpaces>12670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2019-07-23T18:29:00Z</dcterms:created>
  <dc:creator>friend</dc:creator>
  <cp:lastModifiedBy>tf</cp:lastModifiedBy>
  <cp:lastPrinted>2019-07-30T08:01:29Z</cp:lastPrinted>
  <dcterms:modified xsi:type="dcterms:W3CDTF">2019-07-30T08:08:48Z</dcterms:modified>
  <dc:title>房地产估价报告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